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3D70" w:rsidRDefault="00503D70">
      <w:pPr>
        <w:snapToGrid w:val="0"/>
        <w:jc w:val="center"/>
        <w:rPr>
          <w:sz w:val="6"/>
          <w:szCs w:val="6"/>
        </w:rPr>
      </w:pPr>
    </w:p>
    <w:p w:rsidR="00503D70" w:rsidRDefault="00503D70">
      <w:pPr>
        <w:snapToGrid w:val="0"/>
        <w:jc w:val="center"/>
        <w:rPr>
          <w:sz w:val="6"/>
          <w:szCs w:val="6"/>
        </w:rPr>
      </w:pPr>
    </w:p>
    <w:p w:rsidR="00503D70" w:rsidRDefault="001E4D9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03D70" w:rsidRDefault="001E4D9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1"/>
        <w:gridCol w:w="1174"/>
        <w:gridCol w:w="1451"/>
        <w:gridCol w:w="1471"/>
        <w:gridCol w:w="1462"/>
      </w:tblGrid>
      <w:tr w:rsidR="00503D70">
        <w:trPr>
          <w:trHeight w:val="342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语言综合技能与实践</w:t>
            </w:r>
          </w:p>
        </w:tc>
      </w:tr>
      <w:tr w:rsidR="00503D70">
        <w:trPr>
          <w:trHeight w:val="57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2020509</w:t>
            </w:r>
          </w:p>
        </w:tc>
        <w:tc>
          <w:tcPr>
            <w:tcW w:w="1174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6241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6258/</w:t>
            </w:r>
          </w:p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6264</w:t>
            </w:r>
          </w:p>
        </w:tc>
        <w:tc>
          <w:tcPr>
            <w:tcW w:w="1471" w:type="dxa"/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503D70">
        <w:trPr>
          <w:trHeight w:val="33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:rsidR="00503D70">
        <w:trPr>
          <w:trHeight w:val="912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英语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B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-1/2/3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74" w:type="dxa"/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-1:</w:t>
            </w: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-2:</w:t>
            </w: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-3:</w:t>
            </w:r>
            <w:r>
              <w:rPr>
                <w:rFonts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471" w:type="dxa"/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205</w:t>
            </w:r>
          </w:p>
        </w:tc>
      </w:tr>
      <w:tr w:rsidR="00503D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1-8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周周一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5.6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9-16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周周二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3.4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地点：外国语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503D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https://mooc1.chaoxing.com/mooc-ans/mycourse/teachercourse?moocId=261208306&amp;clazzid=141118374&amp;edit=true&amp;v=0&amp;cpi=33777177&amp;pageHeader=-1&amp;needVirtualApproved=0&amp;mooc2HideHead=0&amp;m=0</w:t>
            </w:r>
          </w:p>
        </w:tc>
      </w:tr>
      <w:tr w:rsidR="00503D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03D70" w:rsidRDefault="001E4D9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《国际人才英语教程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（中级）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宋薇，秦丽莉，姜慧玲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</w:t>
            </w:r>
          </w:p>
        </w:tc>
      </w:tr>
      <w:tr w:rsidR="00503D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3D70" w:rsidRDefault="001E4D9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1.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《国际人才英语考试官方指南》中国外语测评中心，外语教学与研究出版社，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2017</w:t>
            </w:r>
          </w:p>
          <w:p w:rsidR="00503D70" w:rsidRDefault="001E4D9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《国才考试备考全攻略（中级）》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许群航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2017</w:t>
            </w:r>
          </w:p>
        </w:tc>
      </w:tr>
    </w:tbl>
    <w:p w:rsidR="00503D70" w:rsidRDefault="001E4D9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455"/>
        <w:gridCol w:w="992"/>
        <w:gridCol w:w="3086"/>
      </w:tblGrid>
      <w:tr w:rsidR="00503D70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03D70" w:rsidRDefault="001E4D9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An introduction to the teaching arrangements of the course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Case Briefing</w:t>
            </w:r>
          </w:p>
          <w:p w:rsidR="00503D70" w:rsidRDefault="001E4D9C">
            <w:pPr>
              <w:widowControl/>
              <w:spacing w:line="0" w:lineRule="atLeast"/>
              <w:ind w:left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Case 1 Can the new demands be accepted? </w:t>
            </w:r>
            <w:r>
              <w:rPr>
                <w:rFonts w:eastAsia="宋体"/>
                <w:sz w:val="21"/>
                <w:szCs w:val="21"/>
                <w:lang w:eastAsia="zh-CN"/>
              </w:rPr>
              <w:t>）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1 Discuss the new </w:t>
            </w:r>
            <w:r>
              <w:rPr>
                <w:rFonts w:eastAsia="宋体"/>
                <w:sz w:val="21"/>
                <w:szCs w:val="21"/>
                <w:lang w:eastAsia="zh-CN"/>
              </w:rPr>
              <w:t>demands for improving the robot</w:t>
            </w:r>
          </w:p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New Demands for improving the robot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相关讨论结果表格</w:t>
            </w:r>
          </w:p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What is the Future of Technology in Education?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1 Discuss the new demands for improving the </w:t>
            </w:r>
            <w:r>
              <w:rPr>
                <w:rFonts w:eastAsia="宋体"/>
                <w:sz w:val="21"/>
                <w:szCs w:val="21"/>
                <w:lang w:eastAsia="zh-CN"/>
              </w:rPr>
              <w:t>robot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讨论会展示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spacing w:line="0" w:lineRule="atLeast"/>
              <w:ind w:left="42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Carrying out of Unit 1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(Taking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,Carrying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Write a rejection email</w:t>
            </w:r>
          </w:p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VR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Future in Education is Becoming Tangible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Case Briefing</w:t>
            </w:r>
          </w:p>
          <w:p w:rsidR="00503D70" w:rsidRDefault="001E4D9C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(Case 2 What needs to be improved on the product?)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:rsidR="00503D70" w:rsidRDefault="001E4D9C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Collect Customer Feedback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表格</w:t>
            </w:r>
          </w:p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AI Finally Stepped Into Our Everyday World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up, 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Using VR and gamification to personalize therapy</w:t>
            </w:r>
          </w:p>
        </w:tc>
      </w:tr>
      <w:tr w:rsidR="00503D70">
        <w:trPr>
          <w:trHeight w:val="1296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Carrying out of Unit 3 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up,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））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Unit 7 Introduce the company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Get Customer Feedback and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Solutions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表格</w:t>
            </w:r>
          </w:p>
          <w:p w:rsidR="00503D70" w:rsidRDefault="001E4D9C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）撰写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Business Proposal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Case Briefing</w:t>
            </w:r>
          </w:p>
          <w:p w:rsidR="00503D70" w:rsidRDefault="001E4D9C">
            <w:pPr>
              <w:widowControl/>
              <w:spacing w:line="0" w:lineRule="atLeast"/>
              <w:ind w:firstLineChars="200" w:firstLine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(Case 3 What does the data mean?)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 Get to know the logistics industry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Review Unit 1-5, 7</w:t>
            </w:r>
          </w:p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Introduction of ETIC and final exam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nit 1-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5,7</w:t>
            </w:r>
          </w:p>
        </w:tc>
      </w:tr>
      <w:tr w:rsidR="00503D7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503D70" w:rsidRDefault="001E4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Test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1E4D9C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30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D70" w:rsidRDefault="00503D70">
            <w:p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03D70" w:rsidRDefault="001E4D9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03D70">
        <w:trPr>
          <w:trHeight w:val="418"/>
        </w:trPr>
        <w:tc>
          <w:tcPr>
            <w:tcW w:w="1809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03D70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D70" w:rsidRDefault="001E4D9C">
            <w:pPr>
              <w:pStyle w:val="DG"/>
            </w:pPr>
            <w:r>
              <w:rPr>
                <w:rFonts w:eastAsia="宋体" w:hint="eastAsia"/>
                <w:lang w:eastAsia="zh-CN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3D70" w:rsidRDefault="001E4D9C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0"/>
                <w:lang w:eastAsia="zh-CN"/>
              </w:rPr>
              <w:t>口头展示</w:t>
            </w:r>
          </w:p>
        </w:tc>
      </w:tr>
      <w:tr w:rsidR="00503D70">
        <w:trPr>
          <w:trHeight w:val="254"/>
        </w:trPr>
        <w:tc>
          <w:tcPr>
            <w:tcW w:w="1809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D70" w:rsidRDefault="001E4D9C">
            <w:pPr>
              <w:pStyle w:val="DG"/>
            </w:pPr>
            <w:r>
              <w:rPr>
                <w:rFonts w:hint="eastAsia"/>
                <w:lang w:eastAsia="zh-CN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3D70" w:rsidRDefault="001E4D9C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0"/>
                <w:lang w:eastAsia="zh-CN"/>
              </w:rPr>
              <w:t>作业、考勤、课堂表现</w:t>
            </w:r>
          </w:p>
        </w:tc>
      </w:tr>
      <w:tr w:rsidR="00503D70">
        <w:trPr>
          <w:trHeight w:val="214"/>
        </w:trPr>
        <w:tc>
          <w:tcPr>
            <w:tcW w:w="1809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D70" w:rsidRDefault="001E4D9C">
            <w:pPr>
              <w:pStyle w:val="DG"/>
            </w:pPr>
            <w:r>
              <w:rPr>
                <w:rFonts w:eastAsia="宋体" w:hint="eastAsia"/>
                <w:lang w:eastAsia="zh-CN"/>
              </w:rPr>
              <w:t>40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3D70" w:rsidRDefault="001E4D9C">
            <w:pPr>
              <w:snapToGrid w:val="0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color w:val="000000"/>
                <w:sz w:val="21"/>
                <w:szCs w:val="20"/>
              </w:rPr>
              <w:t>纸笔测试</w:t>
            </w:r>
          </w:p>
        </w:tc>
      </w:tr>
    </w:tbl>
    <w:p w:rsidR="00503D70" w:rsidRDefault="00503D7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03D70" w:rsidRDefault="001E4D9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5080" b="762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lang w:eastAsia="zh-CN"/>
        </w:rPr>
        <w:drawing>
          <wp:inline distT="0" distB="0" distL="0" distR="0">
            <wp:extent cx="671195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03D7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4D9C">
      <w:r>
        <w:separator/>
      </w:r>
    </w:p>
  </w:endnote>
  <w:endnote w:type="continuationSeparator" w:id="0">
    <w:p w:rsidR="00000000" w:rsidRDefault="001E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70" w:rsidRDefault="001E4D9C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03D70" w:rsidRDefault="001E4D9C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70" w:rsidRDefault="001E4D9C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03D70" w:rsidRDefault="00503D7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4D9C">
      <w:r>
        <w:separator/>
      </w:r>
    </w:p>
  </w:footnote>
  <w:footnote w:type="continuationSeparator" w:id="0">
    <w:p w:rsidR="00000000" w:rsidRDefault="001E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70" w:rsidRDefault="001E4D9C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70" w:rsidRDefault="001E4D9C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3D70" w:rsidRDefault="001E4D9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503D70" w:rsidRDefault="001E4D9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471B8"/>
    <w:multiLevelType w:val="multilevel"/>
    <w:tmpl w:val="43D471B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C9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3D97"/>
    <w:rsid w:val="00187761"/>
    <w:rsid w:val="00187F2F"/>
    <w:rsid w:val="00190BF2"/>
    <w:rsid w:val="001918B2"/>
    <w:rsid w:val="001A3DD1"/>
    <w:rsid w:val="001A5966"/>
    <w:rsid w:val="001A6911"/>
    <w:rsid w:val="001B19F3"/>
    <w:rsid w:val="001B1B60"/>
    <w:rsid w:val="001B6F0E"/>
    <w:rsid w:val="001B7389"/>
    <w:rsid w:val="001C2E51"/>
    <w:rsid w:val="001C441F"/>
    <w:rsid w:val="001C57B1"/>
    <w:rsid w:val="001D1C00"/>
    <w:rsid w:val="001D3C62"/>
    <w:rsid w:val="001D6B75"/>
    <w:rsid w:val="001E3DBD"/>
    <w:rsid w:val="001E4D9C"/>
    <w:rsid w:val="001E573C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6EB"/>
    <w:rsid w:val="002C578A"/>
    <w:rsid w:val="002D21B9"/>
    <w:rsid w:val="002E0E77"/>
    <w:rsid w:val="002E39E6"/>
    <w:rsid w:val="002E7F5C"/>
    <w:rsid w:val="002F20BD"/>
    <w:rsid w:val="002F2551"/>
    <w:rsid w:val="002F4DC5"/>
    <w:rsid w:val="002F7657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AD9"/>
    <w:rsid w:val="00382FDD"/>
    <w:rsid w:val="00387718"/>
    <w:rsid w:val="00391A51"/>
    <w:rsid w:val="003958D4"/>
    <w:rsid w:val="003A11F8"/>
    <w:rsid w:val="003A3DE5"/>
    <w:rsid w:val="003A440D"/>
    <w:rsid w:val="003B1E31"/>
    <w:rsid w:val="003B6082"/>
    <w:rsid w:val="003B78CD"/>
    <w:rsid w:val="003B7925"/>
    <w:rsid w:val="003B79A5"/>
    <w:rsid w:val="003B7E66"/>
    <w:rsid w:val="003C2AFE"/>
    <w:rsid w:val="003C3105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3D70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0A8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2A8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4F2"/>
    <w:rsid w:val="00756D57"/>
    <w:rsid w:val="00761732"/>
    <w:rsid w:val="007637A0"/>
    <w:rsid w:val="00773182"/>
    <w:rsid w:val="007752C7"/>
    <w:rsid w:val="0078027D"/>
    <w:rsid w:val="00780EC3"/>
    <w:rsid w:val="007825FB"/>
    <w:rsid w:val="007829F6"/>
    <w:rsid w:val="00787558"/>
    <w:rsid w:val="00787DF8"/>
    <w:rsid w:val="0079152C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9ED"/>
    <w:rsid w:val="00833D66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758"/>
    <w:rsid w:val="009035F1"/>
    <w:rsid w:val="00910DF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18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6EA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DAF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285"/>
    <w:rsid w:val="00B527EC"/>
    <w:rsid w:val="00B751A9"/>
    <w:rsid w:val="00B7624C"/>
    <w:rsid w:val="00B767B7"/>
    <w:rsid w:val="00BA2981"/>
    <w:rsid w:val="00BA5396"/>
    <w:rsid w:val="00BB00B3"/>
    <w:rsid w:val="00BC09B7"/>
    <w:rsid w:val="00BC2F1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D0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6C11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8F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7F6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F5E"/>
    <w:rsid w:val="00DE660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FCF"/>
    <w:rsid w:val="00E27623"/>
    <w:rsid w:val="00E31628"/>
    <w:rsid w:val="00E3257C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869"/>
    <w:rsid w:val="00E80D3A"/>
    <w:rsid w:val="00E8561E"/>
    <w:rsid w:val="00E92914"/>
    <w:rsid w:val="00E939F9"/>
    <w:rsid w:val="00E9734C"/>
    <w:rsid w:val="00EA0B0D"/>
    <w:rsid w:val="00EA36A4"/>
    <w:rsid w:val="00EA5341"/>
    <w:rsid w:val="00EA54AF"/>
    <w:rsid w:val="00EB264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C3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C85546"/>
    <w:rsid w:val="0B02141F"/>
    <w:rsid w:val="0DB76A4A"/>
    <w:rsid w:val="199D2E85"/>
    <w:rsid w:val="1B9B294B"/>
    <w:rsid w:val="24433A9F"/>
    <w:rsid w:val="269229A8"/>
    <w:rsid w:val="2B6C016C"/>
    <w:rsid w:val="2E59298A"/>
    <w:rsid w:val="324017A9"/>
    <w:rsid w:val="37E50B00"/>
    <w:rsid w:val="3A8D3A9A"/>
    <w:rsid w:val="3D6518B6"/>
    <w:rsid w:val="42EF5DC0"/>
    <w:rsid w:val="49DF08B3"/>
    <w:rsid w:val="545729B8"/>
    <w:rsid w:val="5C1C1A0F"/>
    <w:rsid w:val="5C224E13"/>
    <w:rsid w:val="65310993"/>
    <w:rsid w:val="6B0563BC"/>
    <w:rsid w:val="6CD17AC1"/>
    <w:rsid w:val="6E256335"/>
    <w:rsid w:val="6F0F4163"/>
    <w:rsid w:val="700912C5"/>
    <w:rsid w:val="74F62C8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61327"/>
  <w15:docId w15:val="{75A43E77-6C12-44D6-B893-18E578BA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autoRedefine/>
    <w:qFormat/>
  </w:style>
  <w:style w:type="character" w:styleId="a9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>CMT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SJQU</cp:lastModifiedBy>
  <cp:revision>139</cp:revision>
  <cp:lastPrinted>2026-03-06T09:12:00Z</cp:lastPrinted>
  <dcterms:created xsi:type="dcterms:W3CDTF">2015-08-27T04:51:00Z</dcterms:created>
  <dcterms:modified xsi:type="dcterms:W3CDTF">2026-03-10T02:05:00Z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71421FE62EDD424885046004F381738F_12</vt:lpwstr>
  </property>
  <property fmtid="{D5CDD505-2E9C-101B-9397-08002B2CF9AE}" pid="4" name="KSOTemplateDocerSaveRecord">
    <vt:lpwstr>eyJoZGlkIjoiNTZiMGFjZWI3Njg5ZjkwZTk3YTZhOGVmMzhhZjE1NDQiLCJ1c2VySWQiOiI4NjMxODU4NjMifQ==</vt:lpwstr>
  </property>
</Properties>
</file>