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4F29A">
      <w:pPr>
        <w:jc w:val="center"/>
        <w:rPr>
          <w:rFonts w:hint="eastAsia" w:ascii="黑体" w:hAnsi="黑体" w:eastAsia="黑体"/>
          <w:bCs/>
          <w:sz w:val="32"/>
          <w:szCs w:val="32"/>
          <w:lang w:eastAsia="zh-CN"/>
        </w:rPr>
      </w:pPr>
      <w:r>
        <w:rPr>
          <w:rFonts w:hint="eastAsia" w:ascii="黑体" w:hAnsi="黑体" w:eastAsia="黑体" w:cs="黑体"/>
          <w:bCs/>
          <w:sz w:val="32"/>
          <w:szCs w:val="32"/>
        </w:rPr>
        <w:t>《</w:t>
      </w:r>
      <w:r>
        <w:rPr>
          <w:rFonts w:hint="eastAsia" w:ascii="黑体" w:hAnsi="黑体" w:eastAsia="黑体" w:cs="黑体"/>
          <w:bCs/>
          <w:sz w:val="32"/>
          <w:szCs w:val="32"/>
          <w:lang w:val="en-US" w:eastAsia="zh-CN"/>
        </w:rPr>
        <w:t>德语分析阅读</w:t>
      </w:r>
      <w:r>
        <w:rPr>
          <w:rFonts w:hint="eastAsia" w:ascii="黑体" w:hAnsi="黑体" w:eastAsia="黑体" w:cs="黑体"/>
          <w:bCs/>
          <w:sz w:val="32"/>
          <w:szCs w:val="32"/>
        </w:rPr>
        <w:t>》</w:t>
      </w:r>
      <w:r>
        <w:rPr>
          <w:rFonts w:hint="eastAsia" w:ascii="黑体" w:hAnsi="黑体" w:eastAsia="黑体"/>
          <w:bCs/>
          <w:sz w:val="32"/>
          <w:szCs w:val="32"/>
        </w:rPr>
        <w:t>课程教学大纲</w:t>
      </w:r>
    </w:p>
    <w:p w14:paraId="0740010D">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7B7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3CAC75E6">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EC2DDC3">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德语分析阅读</w:t>
            </w:r>
          </w:p>
        </w:tc>
      </w:tr>
      <w:tr w14:paraId="763E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28345D1">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0E31A0C3">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German Analytical Reading</w:t>
            </w:r>
          </w:p>
        </w:tc>
      </w:tr>
      <w:tr w14:paraId="6500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D56FCC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1CE8EAA">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lang w:val="en-US" w:eastAsia="zh-CN"/>
                <w14:textFill>
                  <w14:solidFill>
                    <w14:schemeClr w14:val="tx1"/>
                  </w14:solidFill>
                </w14:textFill>
              </w:rPr>
              <w:t>2020</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384</w:t>
            </w:r>
          </w:p>
        </w:tc>
        <w:tc>
          <w:tcPr>
            <w:tcW w:w="2126" w:type="dxa"/>
            <w:gridSpan w:val="2"/>
            <w:vAlign w:val="center"/>
          </w:tcPr>
          <w:p w14:paraId="5B45AA9E">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5D8E7160">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w:t>
            </w:r>
          </w:p>
        </w:tc>
      </w:tr>
      <w:tr w14:paraId="5856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7815E4D">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D599770">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32</w:t>
            </w:r>
          </w:p>
        </w:tc>
        <w:tc>
          <w:tcPr>
            <w:tcW w:w="1272" w:type="dxa"/>
            <w:vAlign w:val="center"/>
          </w:tcPr>
          <w:p w14:paraId="5F3CF31C">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33068838">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8</w:t>
            </w:r>
          </w:p>
        </w:tc>
        <w:tc>
          <w:tcPr>
            <w:tcW w:w="1413" w:type="dxa"/>
            <w:gridSpan w:val="2"/>
            <w:vAlign w:val="center"/>
          </w:tcPr>
          <w:p w14:paraId="5BC8E2FF">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219785C8">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24</w:t>
            </w:r>
          </w:p>
        </w:tc>
      </w:tr>
      <w:tr w14:paraId="4FA0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94AA12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9EAAAD1">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外国语学院</w:t>
            </w:r>
          </w:p>
        </w:tc>
        <w:tc>
          <w:tcPr>
            <w:tcW w:w="2126" w:type="dxa"/>
            <w:gridSpan w:val="2"/>
            <w:vAlign w:val="center"/>
          </w:tcPr>
          <w:p w14:paraId="31859C5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1F5CAC8">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德语专业 大学二年级</w:t>
            </w:r>
          </w:p>
        </w:tc>
      </w:tr>
      <w:tr w14:paraId="760A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CC1A6CF">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577E17B9">
            <w:pPr>
              <w:widowControl w:val="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专业教育课程</w:t>
            </w:r>
          </w:p>
          <w:p w14:paraId="6EA467C1">
            <w:pPr>
              <w:widowControl w:val="0"/>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必修课</w:t>
            </w:r>
          </w:p>
        </w:tc>
        <w:tc>
          <w:tcPr>
            <w:tcW w:w="2126" w:type="dxa"/>
            <w:gridSpan w:val="2"/>
            <w:vAlign w:val="center"/>
          </w:tcPr>
          <w:p w14:paraId="39AB24C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C1B051D">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6896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958ED0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59B09D61">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宋体" w:hAnsi="宋体" w:eastAsia="宋体" w:cs="宋体"/>
                <w:color w:val="000000"/>
                <w:sz w:val="21"/>
                <w:szCs w:val="21"/>
              </w:rPr>
              <w:t>《</w:t>
            </w:r>
            <w:r>
              <w:rPr>
                <w:rFonts w:hint="eastAsia" w:cs="宋体"/>
                <w:color w:val="000000"/>
                <w:spacing w:val="0"/>
                <w:sz w:val="21"/>
                <w:szCs w:val="21"/>
                <w:lang w:val="en-US" w:eastAsia="zh-CN"/>
              </w:rPr>
              <w:t>备战德语专业四级考试</w:t>
            </w:r>
            <w:r>
              <w:rPr>
                <w:rFonts w:hint="default" w:cs="宋体"/>
                <w:color w:val="000000"/>
                <w:spacing w:val="0"/>
                <w:sz w:val="21"/>
                <w:szCs w:val="21"/>
                <w:lang w:val="de-DE" w:eastAsia="zh-CN"/>
              </w:rPr>
              <w:t>.</w:t>
            </w:r>
            <w:r>
              <w:rPr>
                <w:rFonts w:hint="eastAsia" w:cs="宋体"/>
                <w:color w:val="000000"/>
                <w:spacing w:val="0"/>
                <w:sz w:val="21"/>
                <w:szCs w:val="21"/>
                <w:lang w:val="en-US" w:eastAsia="zh-CN"/>
              </w:rPr>
              <w:t>阅读</w:t>
            </w:r>
            <w:r>
              <w:rPr>
                <w:rFonts w:hint="eastAsia" w:ascii="宋体" w:hAnsi="宋体" w:eastAsia="宋体" w:cs="宋体"/>
                <w:color w:val="000000"/>
                <w:sz w:val="21"/>
                <w:szCs w:val="21"/>
              </w:rPr>
              <w:t>》</w:t>
            </w:r>
            <w:r>
              <w:rPr>
                <w:rFonts w:hint="eastAsia" w:cs="宋体"/>
                <w:color w:val="000000"/>
                <w:spacing w:val="0"/>
                <w:sz w:val="20"/>
                <w:lang w:eastAsia="zh-CN"/>
              </w:rPr>
              <w:t>，</w:t>
            </w:r>
            <w:r>
              <w:rPr>
                <w:rFonts w:hint="eastAsia" w:cs="宋体"/>
                <w:color w:val="000000"/>
                <w:spacing w:val="0"/>
                <w:sz w:val="20"/>
                <w:lang w:val="en-US" w:eastAsia="zh-CN"/>
              </w:rPr>
              <w:t>黄克琴，赵国伟</w:t>
            </w:r>
            <w:r>
              <w:rPr>
                <w:rFonts w:hint="eastAsia" w:ascii="宋体" w:hAnsi="宋体" w:eastAsia="宋体" w:cs="宋体"/>
                <w:color w:val="000000"/>
                <w:spacing w:val="0"/>
                <w:sz w:val="21"/>
                <w:szCs w:val="21"/>
              </w:rPr>
              <w:t>主编，</w:t>
            </w:r>
            <w:r>
              <w:rPr>
                <w:rFonts w:hint="default" w:ascii="宋体" w:hAnsi="宋体" w:eastAsia="宋体" w:cs="宋体"/>
                <w:color w:val="000000"/>
                <w:spacing w:val="0"/>
                <w:sz w:val="21"/>
                <w:szCs w:val="21"/>
                <w:lang w:val="en-US" w:eastAsia="zh-CN"/>
              </w:rPr>
              <w:t>ISBN</w:t>
            </w:r>
            <w:r>
              <w:rPr>
                <w:rFonts w:hint="default" w:ascii="宋体" w:hAnsi="宋体" w:eastAsia="宋体" w:cs="宋体"/>
                <w:color w:val="000000"/>
                <w:spacing w:val="0"/>
                <w:sz w:val="21"/>
                <w:szCs w:val="21"/>
                <w:lang w:val="de-DE" w:eastAsia="zh-CN"/>
              </w:rPr>
              <w:t xml:space="preserve"> </w:t>
            </w:r>
            <w:r>
              <w:rPr>
                <w:rFonts w:hint="eastAsia" w:ascii="宋体" w:hAnsi="宋体" w:eastAsia="宋体" w:cs="宋体"/>
                <w:color w:val="000000"/>
                <w:spacing w:val="0"/>
                <w:sz w:val="21"/>
                <w:szCs w:val="21"/>
                <w:lang w:val="en-US" w:eastAsia="zh-CN"/>
              </w:rPr>
              <w:t>978</w:t>
            </w:r>
            <w:r>
              <w:rPr>
                <w:rFonts w:hint="default" w:ascii="宋体" w:hAnsi="宋体" w:eastAsia="宋体" w:cs="宋体"/>
                <w:color w:val="000000"/>
                <w:spacing w:val="0"/>
                <w:sz w:val="21"/>
                <w:szCs w:val="21"/>
                <w:lang w:val="de-DE" w:eastAsia="zh-CN"/>
              </w:rPr>
              <w:t>-</w:t>
            </w:r>
            <w:r>
              <w:rPr>
                <w:rFonts w:hint="eastAsia" w:ascii="宋体" w:hAnsi="宋体" w:eastAsia="宋体" w:cs="宋体"/>
                <w:color w:val="000000"/>
                <w:spacing w:val="0"/>
                <w:sz w:val="21"/>
                <w:szCs w:val="21"/>
                <w:lang w:val="en-US" w:eastAsia="zh-CN"/>
              </w:rPr>
              <w:t>7</w:t>
            </w:r>
            <w:r>
              <w:rPr>
                <w:rFonts w:hint="default" w:ascii="宋体" w:hAnsi="宋体" w:eastAsia="宋体" w:cs="宋体"/>
                <w:color w:val="000000"/>
                <w:spacing w:val="0"/>
                <w:sz w:val="21"/>
                <w:szCs w:val="21"/>
                <w:lang w:val="de-DE" w:eastAsia="zh-CN"/>
              </w:rPr>
              <w:t>-</w:t>
            </w:r>
            <w:r>
              <w:rPr>
                <w:rFonts w:hint="eastAsia" w:ascii="宋体" w:hAnsi="宋体" w:eastAsia="宋体" w:cs="宋体"/>
                <w:color w:val="000000"/>
                <w:spacing w:val="0"/>
                <w:sz w:val="21"/>
                <w:szCs w:val="21"/>
                <w:lang w:val="en-US" w:eastAsia="zh-CN"/>
              </w:rPr>
              <w:t>5</w:t>
            </w:r>
            <w:r>
              <w:rPr>
                <w:rFonts w:hint="eastAsia" w:cs="宋体"/>
                <w:color w:val="000000"/>
                <w:spacing w:val="0"/>
                <w:sz w:val="21"/>
                <w:szCs w:val="21"/>
                <w:lang w:val="en-US" w:eastAsia="zh-CN"/>
              </w:rPr>
              <w:t>213</w:t>
            </w:r>
            <w:r>
              <w:rPr>
                <w:rFonts w:hint="default" w:ascii="宋体" w:hAnsi="宋体" w:eastAsia="宋体" w:cs="宋体"/>
                <w:color w:val="000000"/>
                <w:spacing w:val="0"/>
                <w:sz w:val="21"/>
                <w:szCs w:val="21"/>
                <w:lang w:val="de-DE" w:eastAsia="zh-CN"/>
              </w:rPr>
              <w:t>-</w:t>
            </w:r>
            <w:r>
              <w:rPr>
                <w:rFonts w:hint="eastAsia" w:cs="宋体"/>
                <w:color w:val="000000"/>
                <w:spacing w:val="0"/>
                <w:sz w:val="21"/>
                <w:szCs w:val="21"/>
                <w:lang w:val="en-US" w:eastAsia="zh-CN"/>
              </w:rPr>
              <w:t>3159</w:t>
            </w:r>
            <w:r>
              <w:rPr>
                <w:rFonts w:hint="default" w:ascii="宋体" w:hAnsi="宋体" w:eastAsia="宋体" w:cs="宋体"/>
                <w:color w:val="000000"/>
                <w:spacing w:val="0"/>
                <w:sz w:val="21"/>
                <w:szCs w:val="21"/>
                <w:lang w:val="de-DE" w:eastAsia="zh-CN"/>
              </w:rPr>
              <w:t>-</w:t>
            </w:r>
            <w:r>
              <w:rPr>
                <w:rFonts w:hint="eastAsia" w:cs="宋体"/>
                <w:color w:val="000000"/>
                <w:spacing w:val="0"/>
                <w:sz w:val="21"/>
                <w:szCs w:val="21"/>
                <w:lang w:val="en-US" w:eastAsia="zh-CN"/>
              </w:rPr>
              <w:t>2</w:t>
            </w:r>
            <w:r>
              <w:rPr>
                <w:rFonts w:hint="eastAsia" w:ascii="宋体" w:hAnsi="宋体" w:eastAsia="宋体" w:cs="宋体"/>
                <w:color w:val="000000"/>
                <w:spacing w:val="0"/>
                <w:sz w:val="21"/>
                <w:szCs w:val="21"/>
                <w:lang w:val="de-DE" w:eastAsia="zh-CN"/>
              </w:rPr>
              <w:t>，</w:t>
            </w:r>
            <w:r>
              <w:rPr>
                <w:rFonts w:hint="eastAsia" w:ascii="宋体" w:hAnsi="宋体" w:eastAsia="宋体" w:cs="宋体"/>
                <w:color w:val="000000"/>
                <w:spacing w:val="0"/>
                <w:sz w:val="21"/>
                <w:szCs w:val="21"/>
              </w:rPr>
              <w:t>外语</w:t>
            </w:r>
            <w:r>
              <w:rPr>
                <w:rFonts w:hint="eastAsia" w:ascii="宋体" w:hAnsi="宋体"/>
                <w:color w:val="000000"/>
                <w:sz w:val="21"/>
                <w:szCs w:val="21"/>
              </w:rPr>
              <w:t>教学与研究出版社，</w:t>
            </w:r>
            <w:r>
              <w:rPr>
                <w:rFonts w:hint="eastAsia"/>
                <w:color w:val="000000"/>
                <w:sz w:val="21"/>
                <w:szCs w:val="21"/>
                <w:lang w:val="en-US" w:eastAsia="zh-CN"/>
              </w:rPr>
              <w:t>2021</w:t>
            </w:r>
          </w:p>
        </w:tc>
        <w:tc>
          <w:tcPr>
            <w:tcW w:w="1413" w:type="dxa"/>
            <w:gridSpan w:val="2"/>
            <w:vAlign w:val="center"/>
          </w:tcPr>
          <w:p w14:paraId="0815B00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6A62259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301BC64D">
            <w:pPr>
              <w:widowControl w:val="0"/>
              <w:ind w:left="120" w:leftChars="50"/>
              <w:jc w:val="left"/>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4F99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3829D1D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41EB598B">
            <w:pPr>
              <w:pStyle w:val="14"/>
              <w:widowControl w:val="0"/>
              <w:spacing w:line="240" w:lineRule="auto"/>
              <w:jc w:val="center"/>
              <w:rPr>
                <w:rFonts w:hint="default" w:eastAsia="宋体"/>
                <w:lang w:val="en-US" w:eastAsia="zh-CN"/>
              </w:rPr>
            </w:pPr>
            <w:r>
              <w:rPr>
                <w:rFonts w:ascii="宋体" w:hAnsi="宋体" w:cs="宋体"/>
                <w:color w:val="auto"/>
                <w:spacing w:val="0"/>
                <w:sz w:val="21"/>
                <w:szCs w:val="21"/>
              </w:rPr>
              <w:t>基础德语</w:t>
            </w:r>
            <w:r>
              <w:rPr>
                <w:rFonts w:ascii="宋体" w:hAnsi="宋体" w:cs="宋体"/>
                <w:color w:val="auto"/>
                <w:spacing w:val="0"/>
                <w:sz w:val="20"/>
              </w:rPr>
              <w:t xml:space="preserve"> </w:t>
            </w:r>
            <w:r>
              <w:rPr>
                <w:rFonts w:hint="default" w:ascii="Times New Roman" w:hAnsi="Times New Roman" w:cs="Times New Roman"/>
                <w:color w:val="auto"/>
                <w:spacing w:val="0"/>
                <w:sz w:val="21"/>
                <w:szCs w:val="21"/>
              </w:rPr>
              <w:t>2，2020408，(12)</w:t>
            </w:r>
          </w:p>
        </w:tc>
      </w:tr>
      <w:tr w14:paraId="2415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02DA63E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133DD734">
            <w:pPr>
              <w:widowControl w:val="0"/>
              <w:autoSpaceDE w:val="0"/>
              <w:autoSpaceDN w:val="0"/>
              <w:spacing w:before="0" w:after="0" w:line="240" w:lineRule="auto"/>
              <w:ind w:right="0" w:firstLine="420" w:firstLineChars="200"/>
              <w:jc w:val="left"/>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本课程面向德语专业二年级学生，以《备战德语专业四级考试·阅读》为核心教材，旨在系统提升学生的德语阅读理解与文本分析能力。课程聚焦专四考试阅读题型，通过精选社科、文化、日常生活等主题的文本，训练学生快速提取信息、把握逻辑结构、推断深层含义的能力。  教学中将结合精读与泛读策略，引导学生掌握关键词定位、段落主旨归纳及语境猜词等实用技巧，同时注重培养批判性思维，学会分析作者观点、文体特征及文化背景。通过课堂讲解、小组讨论和定时练习相结合的方式，强化语言综合运用能力，为专四考试打下坚实基础。课程不仅强调应试技能，更重视通过阅读训练增强语感、拓展词汇量、深化对德语国家社会文化的认知，为高年级语言学习和跨文化研究奠定基石。</w:t>
            </w:r>
          </w:p>
          <w:p w14:paraId="1F887264">
            <w:pPr>
              <w:widowControl w:val="0"/>
              <w:autoSpaceDE w:val="0"/>
              <w:autoSpaceDN w:val="0"/>
              <w:spacing w:before="0" w:after="0" w:line="240" w:lineRule="auto"/>
              <w:ind w:right="0" w:firstLine="420" w:firstLineChars="200"/>
              <w:jc w:val="left"/>
              <w:rPr>
                <w:rFonts w:hint="eastAsia" w:eastAsia="宋体"/>
                <w:lang w:eastAsia="zh-CN"/>
              </w:rPr>
            </w:pPr>
            <w:r>
              <w:rPr>
                <w:rFonts w:hint="eastAsia" w:ascii="宋体" w:hAnsi="宋体" w:eastAsia="宋体" w:cs="宋体"/>
                <w:color w:val="auto"/>
                <w:spacing w:val="0"/>
                <w:sz w:val="21"/>
                <w:szCs w:val="21"/>
                <w:lang w:val="en-US" w:eastAsia="zh-CN"/>
              </w:rPr>
              <w:t>在教学中，培养学生语言文化素养，使其有正确的语言道德和文化素质。引导学生形成国际化视野和多元化意识，尊重不同国家和地区的文化差异，培养跨文化交际的能力和意识。培养学生的爱国主义情感和全球化视野，引导学生树立正确的国家观和民族观</w:t>
            </w:r>
            <w:r>
              <w:rPr>
                <w:rFonts w:hint="eastAsia" w:ascii="宋体" w:hAnsi="宋体" w:eastAsia="宋体" w:cs="宋体"/>
                <w:i w:val="0"/>
                <w:iCs w:val="0"/>
                <w:caps w:val="0"/>
                <w:color w:val="auto"/>
                <w:spacing w:val="0"/>
                <w:sz w:val="21"/>
                <w:szCs w:val="21"/>
                <w:lang w:val="en-US" w:eastAsia="zh-CN"/>
              </w:rPr>
              <w:t>。</w:t>
            </w:r>
          </w:p>
        </w:tc>
      </w:tr>
      <w:tr w14:paraId="44E3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34A7447B">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34894DE5">
            <w:pPr>
              <w:pStyle w:val="14"/>
              <w:widowControl w:val="0"/>
              <w:jc w:val="center"/>
              <w:rPr>
                <w:rFonts w:hint="eastAsia"/>
                <w:color w:val="000000"/>
                <w:sz w:val="21"/>
                <w:szCs w:val="21"/>
              </w:rPr>
            </w:pPr>
          </w:p>
          <w:p w14:paraId="61E53041">
            <w:pPr>
              <w:pStyle w:val="14"/>
              <w:widowControl w:val="0"/>
              <w:jc w:val="center"/>
              <w:rPr>
                <w:rFonts w:hint="eastAsia"/>
                <w:color w:val="000000"/>
                <w:sz w:val="21"/>
                <w:szCs w:val="21"/>
              </w:rPr>
            </w:pPr>
          </w:p>
          <w:p w14:paraId="09CC7341">
            <w:pPr>
              <w:pStyle w:val="14"/>
              <w:widowControl w:val="0"/>
              <w:jc w:val="center"/>
            </w:pPr>
            <w:r>
              <w:rPr>
                <w:rFonts w:hint="eastAsia"/>
                <w:color w:val="000000"/>
                <w:sz w:val="21"/>
                <w:szCs w:val="21"/>
              </w:rPr>
              <w:t>该课程是德语</w:t>
            </w:r>
            <w:r>
              <w:rPr>
                <w:rFonts w:hint="eastAsia"/>
                <w:color w:val="000000"/>
                <w:sz w:val="21"/>
                <w:szCs w:val="21"/>
                <w:lang w:val="en-US" w:eastAsia="zh-CN"/>
              </w:rPr>
              <w:t>专业二年级学生</w:t>
            </w:r>
            <w:r>
              <w:rPr>
                <w:rFonts w:hint="eastAsia"/>
                <w:color w:val="000000"/>
                <w:sz w:val="21"/>
                <w:szCs w:val="21"/>
              </w:rPr>
              <w:t>的必修课</w:t>
            </w:r>
            <w:r>
              <w:rPr>
                <w:rFonts w:hint="eastAsia"/>
                <w:color w:val="000000"/>
                <w:sz w:val="21"/>
                <w:szCs w:val="21"/>
                <w:lang w:val="en-US" w:eastAsia="zh-CN"/>
              </w:rPr>
              <w:t>程</w:t>
            </w:r>
            <w:r>
              <w:rPr>
                <w:rFonts w:hint="eastAsia"/>
                <w:color w:val="000000"/>
                <w:sz w:val="21"/>
                <w:szCs w:val="21"/>
              </w:rPr>
              <w:t>。</w:t>
            </w:r>
          </w:p>
        </w:tc>
      </w:tr>
      <w:tr w14:paraId="3F1B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5CEB7D7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1519DC16">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548640" cy="271780"/>
                  <wp:effectExtent l="0" t="0" r="381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48640" cy="271780"/>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044D215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0382BBB7">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r w14:paraId="07E7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230677F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1B906365">
            <w:pPr>
              <w:widowControl w:val="0"/>
              <w:jc w:val="right"/>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0" distR="0">
                  <wp:extent cx="396240" cy="220980"/>
                  <wp:effectExtent l="0" t="0" r="10160" b="7620"/>
                  <wp:docPr id="3356131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13154"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96274" cy="220999"/>
                          </a:xfrm>
                          <a:prstGeom prst="rect">
                            <a:avLst/>
                          </a:prstGeom>
                        </pic:spPr>
                      </pic:pic>
                    </a:graphicData>
                  </a:graphic>
                </wp:inline>
              </w:drawing>
            </w:r>
            <w:r>
              <w:rPr>
                <w:rFonts w:hint="eastAsia"/>
                <w:sz w:val="21"/>
                <w:szCs w:val="21"/>
              </w:rPr>
              <w:t>（签名）</w:t>
            </w:r>
          </w:p>
        </w:tc>
        <w:tc>
          <w:tcPr>
            <w:tcW w:w="1425" w:type="dxa"/>
            <w:gridSpan w:val="2"/>
            <w:vAlign w:val="center"/>
          </w:tcPr>
          <w:p w14:paraId="167CCE3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466BA40F">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r w14:paraId="3DE2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1A693B7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01097248">
            <w:pPr>
              <w:widowControl w:val="0"/>
              <w:jc w:val="right"/>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0" distR="0">
                  <wp:extent cx="385445" cy="192405"/>
                  <wp:effectExtent l="0" t="0" r="8255" b="10795"/>
                  <wp:docPr id="7183947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94799" name="图片 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91725" cy="195863"/>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D73714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6937ABE0">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bl>
    <w:p w14:paraId="00497637">
      <w:pPr>
        <w:spacing w:line="100" w:lineRule="exact"/>
        <w:rPr>
          <w:rFonts w:ascii="Arial" w:hAnsi="Arial" w:eastAsia="黑体"/>
        </w:rPr>
      </w:pPr>
      <w:r>
        <w:br w:type="page"/>
      </w:r>
      <w:bookmarkStart w:id="6" w:name="_GoBack"/>
      <w:bookmarkEnd w:id="6"/>
    </w:p>
    <w:p w14:paraId="5C27AD5D">
      <w:pPr>
        <w:pStyle w:val="16"/>
        <w:spacing w:before="326" w:beforeLines="100" w:line="360" w:lineRule="auto"/>
        <w:rPr>
          <w:rFonts w:ascii="黑体" w:hAnsi="宋体"/>
        </w:rPr>
      </w:pPr>
      <w:r>
        <w:rPr>
          <w:rFonts w:hint="eastAsia" w:ascii="黑体" w:hAnsi="宋体"/>
        </w:rPr>
        <w:t>二、课程目标与毕业要求</w:t>
      </w:r>
    </w:p>
    <w:p w14:paraId="33223C46">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108CA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2F20FAF9">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6288DA3E">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852ECE5">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13B1D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64977B53">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77A559B5">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1420AFEA">
            <w:pPr>
              <w:spacing w:line="240" w:lineRule="auto"/>
              <w:rPr>
                <w:rFonts w:ascii="宋体" w:hAnsi="宋体"/>
                <w:bCs/>
              </w:rPr>
            </w:pPr>
            <w:r>
              <w:rPr>
                <w:rFonts w:hint="eastAsia" w:ascii="宋体" w:hAnsi="宋体" w:eastAsia="宋体" w:cs="宋体"/>
                <w:color w:val="auto"/>
                <w:sz w:val="21"/>
                <w:szCs w:val="21"/>
              </w:rPr>
              <w:t>掌握阅读的基本方法以及各类生词的处理技巧，了解阅读中常见的问题类型。</w:t>
            </w:r>
          </w:p>
        </w:tc>
      </w:tr>
      <w:tr w14:paraId="28907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58247BC">
            <w:pPr>
              <w:pStyle w:val="14"/>
              <w:rPr>
                <w:bCs/>
              </w:rPr>
            </w:pPr>
          </w:p>
        </w:tc>
        <w:tc>
          <w:tcPr>
            <w:tcW w:w="764" w:type="dxa"/>
            <w:shd w:val="clear" w:color="auto" w:fill="auto"/>
            <w:vAlign w:val="center"/>
          </w:tcPr>
          <w:p w14:paraId="22D6935C">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12EC96A1">
            <w:pPr>
              <w:pStyle w:val="14"/>
              <w:spacing w:line="240" w:lineRule="auto"/>
              <w:jc w:val="left"/>
              <w:rPr>
                <w:rFonts w:hint="eastAsia" w:ascii="宋体" w:hAnsi="宋体" w:eastAsia="宋体"/>
                <w:bCs/>
                <w:lang w:eastAsia="zh-CN"/>
              </w:rPr>
            </w:pPr>
            <w:r>
              <w:rPr>
                <w:rFonts w:hint="eastAsia" w:ascii="宋体" w:hAnsi="宋体" w:eastAsia="宋体" w:cs="宋体"/>
                <w:color w:val="auto"/>
                <w:kern w:val="0"/>
                <w:sz w:val="21"/>
                <w:szCs w:val="21"/>
              </w:rPr>
              <w:t>改善不良的阅读习惯，扩大词汇量</w:t>
            </w:r>
            <w:r>
              <w:rPr>
                <w:rFonts w:hint="eastAsia"/>
                <w:color w:val="auto"/>
                <w:kern w:val="0"/>
                <w:sz w:val="21"/>
                <w:szCs w:val="21"/>
                <w:lang w:eastAsia="zh-CN"/>
              </w:rPr>
              <w:t>。</w:t>
            </w:r>
          </w:p>
        </w:tc>
      </w:tr>
      <w:tr w14:paraId="7548E6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E79C89F">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3D562359">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62565EC2">
            <w:pPr>
              <w:pStyle w:val="14"/>
              <w:jc w:val="left"/>
              <w:rPr>
                <w:rFonts w:ascii="宋体" w:hAnsi="宋体"/>
                <w:bCs/>
              </w:rPr>
            </w:pPr>
            <w:r>
              <w:rPr>
                <w:rFonts w:hint="default" w:ascii="Times New Roman" w:hAnsi="Times New Roman"/>
                <w:color w:val="auto"/>
                <w:sz w:val="21"/>
                <w:szCs w:val="21"/>
              </w:rPr>
              <w:t>培养学生课外自主阅读的兴趣和积极性，同时提升跨文化交际能力。</w:t>
            </w:r>
          </w:p>
        </w:tc>
      </w:tr>
      <w:tr w14:paraId="4FAFF4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695E3AD3">
            <w:pPr>
              <w:pStyle w:val="14"/>
              <w:rPr>
                <w:rFonts w:ascii="宋体" w:hAnsi="宋体"/>
              </w:rPr>
            </w:pPr>
          </w:p>
        </w:tc>
        <w:tc>
          <w:tcPr>
            <w:tcW w:w="764" w:type="dxa"/>
            <w:shd w:val="clear" w:color="auto" w:fill="auto"/>
            <w:vAlign w:val="center"/>
          </w:tcPr>
          <w:p w14:paraId="1FE2BD2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5A6DEEA4">
            <w:pPr>
              <w:pStyle w:val="14"/>
              <w:jc w:val="left"/>
              <w:rPr>
                <w:rFonts w:ascii="宋体" w:hAnsi="宋体"/>
                <w:bCs/>
              </w:rPr>
            </w:pPr>
            <w:r>
              <w:rPr>
                <w:rFonts w:hint="default" w:ascii="Times New Roman" w:hAnsi="Times New Roman"/>
                <w:sz w:val="21"/>
                <w:szCs w:val="21"/>
              </w:rPr>
              <w:t>提高学生的人文，科学素养，培养健康向上的人生观。</w:t>
            </w:r>
          </w:p>
        </w:tc>
      </w:tr>
      <w:tr w14:paraId="596ECB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D5EDF2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5FDDB3DC">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3B6A0B4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28344B65">
            <w:pPr>
              <w:pStyle w:val="14"/>
              <w:spacing w:line="240" w:lineRule="auto"/>
              <w:jc w:val="left"/>
              <w:rPr>
                <w:rFonts w:ascii="宋体" w:hAnsi="宋体"/>
                <w:bCs/>
              </w:rPr>
            </w:pPr>
            <w:r>
              <w:rPr>
                <w:rFonts w:hint="eastAsia" w:ascii="宋体" w:hAnsi="宋体" w:eastAsia="宋体" w:cs="宋体"/>
                <w:i w:val="0"/>
                <w:iCs w:val="0"/>
                <w:caps w:val="0"/>
                <w:color w:val="auto"/>
                <w:spacing w:val="0"/>
                <w:sz w:val="21"/>
                <w:szCs w:val="21"/>
                <w:lang w:val="en-US" w:eastAsia="zh-CN"/>
              </w:rPr>
              <w:t>培养学生语言文化素养，使其有正确的语言道德和文化素质。引导学生形成国际化视野和多元化意识，尊重不同国家和地区的文化差异，培养跨文化交际的能力和意识。</w:t>
            </w:r>
          </w:p>
        </w:tc>
      </w:tr>
      <w:tr w14:paraId="069B1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3DF446D">
            <w:pPr>
              <w:pStyle w:val="14"/>
              <w:rPr>
                <w:rFonts w:ascii="宋体" w:hAnsi="宋体"/>
              </w:rPr>
            </w:pPr>
          </w:p>
        </w:tc>
        <w:tc>
          <w:tcPr>
            <w:tcW w:w="764" w:type="dxa"/>
            <w:shd w:val="clear" w:color="auto" w:fill="auto"/>
            <w:vAlign w:val="center"/>
          </w:tcPr>
          <w:p w14:paraId="4BD38A6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74F18307">
            <w:pPr>
              <w:pStyle w:val="14"/>
              <w:jc w:val="left"/>
              <w:rPr>
                <w:rFonts w:ascii="宋体" w:hAnsi="宋体"/>
                <w:bCs/>
              </w:rPr>
            </w:pPr>
            <w:r>
              <w:rPr>
                <w:rFonts w:hint="eastAsia" w:ascii="宋体" w:hAnsi="宋体" w:eastAsia="宋体" w:cs="宋体"/>
                <w:i w:val="0"/>
                <w:iCs w:val="0"/>
                <w:caps w:val="0"/>
                <w:color w:val="auto"/>
                <w:spacing w:val="0"/>
                <w:sz w:val="21"/>
                <w:szCs w:val="21"/>
                <w:lang w:val="en-US" w:eastAsia="zh-CN"/>
              </w:rPr>
              <w:t>培养学生的爱国主义情感和全球化视野，引导学生树立正确的国家观和民族观。</w:t>
            </w:r>
          </w:p>
        </w:tc>
      </w:tr>
    </w:tbl>
    <w:p w14:paraId="4A2C39EC">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6095D45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62A87BA">
            <w:pPr>
              <w:pStyle w:val="14"/>
              <w:widowControl w:val="0"/>
              <w:spacing w:line="240" w:lineRule="auto"/>
              <w:jc w:val="both"/>
              <w:rPr>
                <w:rFonts w:hint="eastAsia" w:ascii="宋体" w:hAnsi="宋体"/>
                <w:bCs/>
              </w:rPr>
            </w:pPr>
            <w:r>
              <w:rPr>
                <w:rFonts w:hint="default" w:ascii="Times New Roman" w:hAnsi="Times New Roman" w:cs="Times New Roman"/>
                <w:color w:val="000000"/>
                <w:kern w:val="0"/>
                <w:szCs w:val="21"/>
              </w:rPr>
              <w:t>LO1</w:t>
            </w:r>
            <w:r>
              <w:rPr>
                <w:rFonts w:hint="eastAsia" w:ascii="宋体" w:hAnsi="宋体" w:cs="宋体"/>
                <w:color w:val="000000"/>
                <w:kern w:val="0"/>
                <w:szCs w:val="21"/>
              </w:rPr>
              <w:t>品德修养</w:t>
            </w:r>
            <w:r>
              <w:rPr>
                <w:rFonts w:hint="eastAsia" w:ascii="宋体" w:hAnsi="宋体" w:cs="宋体"/>
                <w:color w:val="000000"/>
                <w:kern w:val="0"/>
                <w:szCs w:val="21"/>
                <w:lang w:eastAsia="zh-CN"/>
              </w:rPr>
              <w:t>：</w:t>
            </w:r>
            <w:r>
              <w:rPr>
                <w:rFonts w:ascii="Cambria Math" w:hAnsi="Cambria Math" w:cs="Cambria Math"/>
                <w:bCs/>
              </w:rPr>
              <w:t>①</w:t>
            </w:r>
            <w:r>
              <w:rPr>
                <w:rFonts w:hint="eastAsia" w:ascii="宋体" w:hAnsi="宋体" w:cs="宋体"/>
                <w:color w:val="000000"/>
                <w:kern w:val="0"/>
                <w:szCs w:val="21"/>
              </w:rPr>
              <w:t>爱党爱国，坚决拥护党的领导，热爱祖国的大好河山、悠久历史、灿烂文化，自觉维护民族利益和国家尊严。</w:t>
            </w:r>
            <w:r>
              <w:rPr>
                <w:rFonts w:ascii="Cambria Math" w:hAnsi="Cambria Math" w:cs="Cambria Math"/>
                <w:bCs/>
              </w:rPr>
              <w:t>④</w:t>
            </w:r>
            <w:r>
              <w:rPr>
                <w:rFonts w:hint="eastAsia" w:ascii="宋体" w:hAnsi="宋体" w:cs="宋体"/>
                <w:color w:val="000000"/>
                <w:kern w:val="0"/>
                <w:szCs w:val="21"/>
              </w:rPr>
              <w:t>爱岗敬业，热爱所学专业，勤学多练，锤炼技能。熟悉本专业相关的法律法规，在实习实践中自觉遵守职业规范，具备职业道德操守。</w:t>
            </w:r>
          </w:p>
        </w:tc>
      </w:tr>
      <w:tr w14:paraId="405B50A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538BA6F">
            <w:pPr>
              <w:widowControl/>
              <w:spacing w:line="240" w:lineRule="auto"/>
              <w:jc w:val="both"/>
              <w:rPr>
                <w:rFonts w:hint="eastAsia" w:ascii="宋体" w:hAnsi="宋体"/>
                <w:bCs/>
              </w:rPr>
            </w:pPr>
            <w:r>
              <w:rPr>
                <w:rFonts w:hint="default" w:ascii="Times New Roman" w:hAnsi="Times New Roman" w:cs="Times New Roman"/>
                <w:color w:val="000000"/>
                <w:kern w:val="0"/>
                <w:sz w:val="21"/>
                <w:szCs w:val="21"/>
              </w:rPr>
              <w:t>LO2</w:t>
            </w:r>
            <w:r>
              <w:rPr>
                <w:rFonts w:hint="eastAsia" w:ascii="宋体" w:hAnsi="宋体" w:cs="宋体"/>
                <w:color w:val="000000"/>
                <w:kern w:val="0"/>
                <w:sz w:val="21"/>
                <w:szCs w:val="21"/>
              </w:rPr>
              <w:t>专业能力</w:t>
            </w:r>
            <w:r>
              <w:rPr>
                <w:rFonts w:hint="eastAsia" w:cs="宋体"/>
                <w:color w:val="000000"/>
                <w:kern w:val="0"/>
                <w:sz w:val="21"/>
                <w:szCs w:val="21"/>
                <w:lang w:eastAsia="zh-CN"/>
              </w:rPr>
              <w:t>：</w:t>
            </w:r>
            <w:r>
              <w:rPr>
                <w:rFonts w:hint="default" w:ascii="Cambria Math" w:hAnsi="Cambria Math" w:cs="Cambria Math"/>
                <w:bCs/>
                <w:sz w:val="21"/>
                <w:szCs w:val="21"/>
              </w:rPr>
              <w:t>②</w:t>
            </w:r>
            <w:r>
              <w:rPr>
                <w:rFonts w:hint="eastAsia" w:ascii="宋体" w:hAnsi="宋体" w:cs="宋体"/>
                <w:color w:val="000000"/>
                <w:kern w:val="0"/>
                <w:sz w:val="21"/>
                <w:szCs w:val="21"/>
              </w:rPr>
              <w:t>掌握德语语言基本理论与知识，具备扎实的语言基本功和听、说、读、写、译等语言应用能力。</w:t>
            </w:r>
            <w:r>
              <w:rPr>
                <w:rFonts w:ascii="Cambria Math" w:hAnsi="Cambria Math" w:cs="Cambria Math"/>
                <w:bCs/>
                <w:sz w:val="21"/>
                <w:szCs w:val="21"/>
              </w:rPr>
              <w:t>④</w:t>
            </w:r>
            <w:r>
              <w:rPr>
                <w:rFonts w:hint="eastAsia" w:ascii="宋体" w:hAnsi="宋体" w:cs="宋体"/>
                <w:color w:val="000000"/>
                <w:kern w:val="0"/>
                <w:sz w:val="21"/>
                <w:szCs w:val="21"/>
              </w:rPr>
              <w:t>了解德国国情历史和社会概况，熟悉两国文化差异，能够与德国人进行深入交流。</w:t>
            </w:r>
          </w:p>
        </w:tc>
      </w:tr>
      <w:tr w14:paraId="265CF63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ED418C7">
            <w:pPr>
              <w:widowControl/>
              <w:jc w:val="both"/>
              <w:rPr>
                <w:rFonts w:hint="eastAsia" w:ascii="宋体" w:hAnsi="宋体"/>
                <w:bCs/>
              </w:rPr>
            </w:pPr>
            <w:r>
              <w:rPr>
                <w:rFonts w:hint="default" w:ascii="Times New Roman" w:hAnsi="Times New Roman" w:cs="Times New Roman"/>
                <w:color w:val="000000"/>
                <w:kern w:val="0"/>
                <w:sz w:val="21"/>
                <w:szCs w:val="21"/>
              </w:rPr>
              <w:t>LO4</w:t>
            </w:r>
            <w:r>
              <w:rPr>
                <w:rFonts w:hint="eastAsia" w:ascii="宋体" w:hAnsi="宋体" w:cs="宋体"/>
                <w:color w:val="000000"/>
                <w:kern w:val="0"/>
                <w:sz w:val="21"/>
                <w:szCs w:val="21"/>
              </w:rPr>
              <w:t>自主学习</w:t>
            </w:r>
            <w:r>
              <w:rPr>
                <w:rFonts w:hint="eastAsia" w:cs="宋体"/>
                <w:color w:val="000000"/>
                <w:kern w:val="0"/>
                <w:sz w:val="21"/>
                <w:szCs w:val="21"/>
                <w:lang w:eastAsia="zh-CN"/>
              </w:rPr>
              <w:t>：</w:t>
            </w:r>
            <w:r>
              <w:rPr>
                <w:rFonts w:ascii="Cambria Math" w:hAnsi="Cambria Math" w:cs="Cambria Math"/>
                <w:bCs/>
                <w:sz w:val="21"/>
                <w:szCs w:val="21"/>
              </w:rPr>
              <w:t>①</w:t>
            </w:r>
            <w:r>
              <w:rPr>
                <w:rFonts w:hint="eastAsia"/>
                <w:sz w:val="21"/>
                <w:szCs w:val="21"/>
              </w:rPr>
              <w:t>能根据需要确定学习目标，并设计学习计划。</w:t>
            </w:r>
            <w:r>
              <w:rPr>
                <w:rFonts w:hint="default" w:ascii="Cambria Math" w:hAnsi="Cambria Math" w:cs="Cambria Math"/>
                <w:bCs/>
                <w:sz w:val="21"/>
                <w:szCs w:val="21"/>
              </w:rPr>
              <w:t>②</w:t>
            </w:r>
            <w:r>
              <w:rPr>
                <w:rFonts w:hint="eastAsia"/>
                <w:sz w:val="21"/>
                <w:szCs w:val="21"/>
              </w:rPr>
              <w:t>能搜集、获取达到目标所需要的学习资源，实施学习计划、反思学习计划、持续改进，达到学习目标。</w:t>
            </w:r>
          </w:p>
        </w:tc>
      </w:tr>
      <w:tr w14:paraId="3CE75BE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A1484B0">
            <w:pPr>
              <w:widowControl/>
              <w:spacing w:line="240" w:lineRule="auto"/>
              <w:jc w:val="both"/>
              <w:rPr>
                <w:rFonts w:hint="eastAsia" w:ascii="Times New Roman" w:hAnsi="Times New Roman" w:eastAsia="宋体" w:cs="Times New Roman"/>
                <w:color w:val="000000"/>
                <w:kern w:val="0"/>
                <w:sz w:val="21"/>
                <w:szCs w:val="21"/>
                <w:lang w:eastAsia="zh-CN"/>
              </w:rPr>
            </w:pPr>
            <w:r>
              <w:rPr>
                <w:rFonts w:hint="default" w:ascii="Times New Roman" w:hAnsi="Times New Roman" w:cs="Times New Roman"/>
                <w:color w:val="000000"/>
                <w:kern w:val="0"/>
                <w:sz w:val="21"/>
                <w:szCs w:val="21"/>
              </w:rPr>
              <w:t>LO</w:t>
            </w:r>
            <w:r>
              <w:rPr>
                <w:rFonts w:hint="eastAsia" w:ascii="Times New Roman" w:hAnsi="Times New Roman" w:cs="Times New Roman"/>
                <w:color w:val="000000"/>
                <w:kern w:val="0"/>
                <w:sz w:val="21"/>
                <w:szCs w:val="21"/>
                <w:lang w:val="en-US" w:eastAsia="zh-CN"/>
              </w:rPr>
              <w:t>8</w:t>
            </w:r>
            <w:r>
              <w:rPr>
                <w:rFonts w:hint="eastAsia" w:ascii="宋体" w:hAnsi="宋体" w:cs="宋体"/>
                <w:color w:val="000000"/>
                <w:kern w:val="0"/>
                <w:sz w:val="21"/>
                <w:szCs w:val="21"/>
              </w:rPr>
              <w:t>国际视野</w:t>
            </w:r>
            <w:r>
              <w:rPr>
                <w:rFonts w:hint="eastAsia" w:cs="宋体"/>
                <w:color w:val="000000"/>
                <w:kern w:val="0"/>
                <w:sz w:val="21"/>
                <w:szCs w:val="21"/>
                <w:lang w:eastAsia="zh-CN"/>
              </w:rPr>
              <w:t>：</w:t>
            </w:r>
            <w:r>
              <w:rPr>
                <w:rFonts w:ascii="Cambria Math" w:hAnsi="Cambria Math" w:cs="Cambria Math"/>
                <w:bCs/>
                <w:sz w:val="21"/>
                <w:szCs w:val="21"/>
              </w:rPr>
              <w:t>①</w:t>
            </w:r>
            <w:r>
              <w:rPr>
                <w:rFonts w:hint="eastAsia" w:ascii="宋体" w:hAnsi="宋体" w:cs="宋体"/>
                <w:color w:val="000000"/>
                <w:kern w:val="0"/>
                <w:sz w:val="21"/>
                <w:szCs w:val="21"/>
              </w:rPr>
              <w:t>具备外语表达沟通能力，达到本专业的要求。</w:t>
            </w:r>
            <w:r>
              <w:rPr>
                <w:rFonts w:hint="default" w:ascii="Cambria Math" w:hAnsi="Cambria Math" w:cs="Cambria Math"/>
                <w:bCs/>
                <w:sz w:val="21"/>
                <w:szCs w:val="21"/>
              </w:rPr>
              <w:t>②</w:t>
            </w:r>
            <w:r>
              <w:rPr>
                <w:rFonts w:hint="eastAsia" w:ascii="宋体" w:hAnsi="宋体" w:cs="宋体"/>
                <w:color w:val="000000"/>
                <w:kern w:val="0"/>
                <w:sz w:val="21"/>
                <w:szCs w:val="21"/>
              </w:rPr>
              <w:t>理解其他国家历史文化，有跨文化交流能力。</w:t>
            </w:r>
          </w:p>
        </w:tc>
      </w:tr>
    </w:tbl>
    <w:p w14:paraId="1432C68C">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435F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7F498902">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47DA24FB">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7D425D5D">
            <w:pPr>
              <w:pStyle w:val="13"/>
              <w:rPr>
                <w:szCs w:val="16"/>
              </w:rPr>
            </w:pPr>
            <w:r>
              <w:rPr>
                <w:rFonts w:hint="eastAsia"/>
                <w:szCs w:val="16"/>
              </w:rPr>
              <w:t>支撑度</w:t>
            </w:r>
          </w:p>
        </w:tc>
        <w:tc>
          <w:tcPr>
            <w:tcW w:w="4763" w:type="dxa"/>
            <w:tcBorders>
              <w:top w:val="single" w:color="auto" w:sz="12" w:space="0"/>
            </w:tcBorders>
            <w:vAlign w:val="center"/>
          </w:tcPr>
          <w:p w14:paraId="08CC67E2">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6EA52F16">
            <w:pPr>
              <w:pStyle w:val="13"/>
              <w:rPr>
                <w:szCs w:val="16"/>
              </w:rPr>
            </w:pPr>
            <w:r>
              <w:rPr>
                <w:rFonts w:hint="eastAsia"/>
                <w:szCs w:val="16"/>
              </w:rPr>
              <w:t>对指标点的贡献度</w:t>
            </w:r>
          </w:p>
        </w:tc>
      </w:tr>
      <w:tr w14:paraId="7782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4CDECD80">
            <w:pPr>
              <w:pStyle w:val="14"/>
            </w:pPr>
            <w:r>
              <w:rPr>
                <w:rFonts w:hint="default" w:ascii="Times New Roman" w:hAnsi="Times New Roman" w:cs="Times New Roman"/>
                <w:b/>
                <w:bCs/>
                <w:color w:val="000000"/>
                <w:kern w:val="0"/>
                <w:szCs w:val="21"/>
              </w:rPr>
              <w:t>LO1</w:t>
            </w:r>
          </w:p>
        </w:tc>
        <w:tc>
          <w:tcPr>
            <w:tcW w:w="794" w:type="dxa"/>
            <w:vMerge w:val="restart"/>
            <w:tcBorders>
              <w:left w:val="single" w:color="auto" w:sz="4" w:space="0"/>
            </w:tcBorders>
            <w:vAlign w:val="center"/>
          </w:tcPr>
          <w:p w14:paraId="4F840995">
            <w:pPr>
              <w:pStyle w:val="14"/>
              <w:rPr>
                <w:rFonts w:cs="Times New Roman"/>
                <w:bCs/>
              </w:rPr>
            </w:pPr>
            <w:r>
              <w:rPr>
                <w:rFonts w:ascii="Cambria Math" w:hAnsi="Cambria Math" w:cs="Cambria Math"/>
                <w:bCs/>
              </w:rPr>
              <w:t>①④</w:t>
            </w:r>
          </w:p>
        </w:tc>
        <w:tc>
          <w:tcPr>
            <w:tcW w:w="794" w:type="dxa"/>
            <w:vMerge w:val="restart"/>
            <w:tcBorders>
              <w:right w:val="double" w:color="auto" w:sz="4" w:space="0"/>
            </w:tcBorders>
            <w:shd w:val="clear" w:color="auto" w:fill="auto"/>
            <w:vAlign w:val="center"/>
          </w:tcPr>
          <w:p w14:paraId="40668264">
            <w:pPr>
              <w:pStyle w:val="14"/>
              <w:rPr>
                <w:rFonts w:hint="eastAsia" w:ascii="宋体" w:hAnsi="宋体" w:eastAsia="宋体"/>
                <w:lang w:val="en-US" w:eastAsia="zh-CN"/>
              </w:rPr>
            </w:pPr>
            <w:r>
              <w:rPr>
                <w:rFonts w:hint="eastAsia" w:cs="Times New Roman"/>
                <w:lang w:val="en-US" w:eastAsia="zh-CN"/>
              </w:rPr>
              <w:t>M</w:t>
            </w:r>
          </w:p>
        </w:tc>
        <w:tc>
          <w:tcPr>
            <w:tcW w:w="4763" w:type="dxa"/>
            <w:vAlign w:val="center"/>
          </w:tcPr>
          <w:p w14:paraId="040A635A">
            <w:pPr>
              <w:pStyle w:val="14"/>
              <w:jc w:val="left"/>
              <w:rPr>
                <w:rFonts w:ascii="宋体" w:hAnsi="宋体"/>
                <w:bCs/>
              </w:rPr>
            </w:pPr>
            <w:r>
              <w:rPr>
                <w:rFonts w:hint="default" w:ascii="Times New Roman" w:hAnsi="Times New Roman" w:cs="Times New Roman"/>
                <w:i w:val="0"/>
                <w:iCs w:val="0"/>
                <w:caps w:val="0"/>
                <w:color w:val="auto"/>
                <w:spacing w:val="0"/>
                <w:sz w:val="21"/>
                <w:szCs w:val="21"/>
                <w:lang w:val="en-US" w:eastAsia="zh-CN"/>
              </w:rPr>
              <w:t>5.</w:t>
            </w:r>
            <w:r>
              <w:rPr>
                <w:rFonts w:hint="eastAsia" w:ascii="宋体" w:hAnsi="宋体" w:eastAsia="宋体" w:cs="宋体"/>
                <w:i w:val="0"/>
                <w:iCs w:val="0"/>
                <w:caps w:val="0"/>
                <w:color w:val="auto"/>
                <w:spacing w:val="0"/>
                <w:sz w:val="21"/>
                <w:szCs w:val="21"/>
                <w:lang w:val="en-US" w:eastAsia="zh-CN"/>
              </w:rPr>
              <w:t>培养学生语言文化素养，使其有正确的语言道德和文化素质。</w:t>
            </w:r>
          </w:p>
        </w:tc>
        <w:tc>
          <w:tcPr>
            <w:tcW w:w="1348" w:type="dxa"/>
            <w:tcBorders>
              <w:right w:val="single" w:color="auto" w:sz="12" w:space="0"/>
            </w:tcBorders>
            <w:vAlign w:val="center"/>
          </w:tcPr>
          <w:p w14:paraId="083E37BD">
            <w:pPr>
              <w:pStyle w:val="14"/>
              <w:rPr>
                <w:rFonts w:hint="default" w:ascii="宋体" w:hAnsi="宋体" w:eastAsia="宋体"/>
                <w:bCs/>
                <w:lang w:val="en-US" w:eastAsia="zh-CN"/>
              </w:rPr>
            </w:pPr>
            <w:r>
              <w:rPr>
                <w:rFonts w:hint="eastAsia" w:cs="Times New Roman"/>
                <w:bCs/>
                <w:lang w:val="en-US" w:eastAsia="zh-CN"/>
              </w:rPr>
              <w:t>40</w:t>
            </w:r>
            <w:r>
              <w:rPr>
                <w:rFonts w:hint="default" w:ascii="Times New Roman" w:hAnsi="Times New Roman" w:cs="Times New Roman"/>
                <w:bCs/>
                <w:lang w:val="en-US" w:eastAsia="zh-CN"/>
              </w:rPr>
              <w:t>%</w:t>
            </w:r>
          </w:p>
        </w:tc>
      </w:tr>
      <w:tr w14:paraId="72C7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7B996569">
            <w:pPr>
              <w:pStyle w:val="14"/>
              <w:rPr>
                <w:b/>
              </w:rPr>
            </w:pPr>
          </w:p>
        </w:tc>
        <w:tc>
          <w:tcPr>
            <w:tcW w:w="794" w:type="dxa"/>
            <w:vMerge w:val="continue"/>
            <w:tcBorders>
              <w:left w:val="single" w:color="auto" w:sz="4" w:space="0"/>
            </w:tcBorders>
            <w:vAlign w:val="center"/>
          </w:tcPr>
          <w:p w14:paraId="06F7D696">
            <w:pPr>
              <w:pStyle w:val="14"/>
              <w:rPr>
                <w:bCs/>
              </w:rPr>
            </w:pPr>
          </w:p>
        </w:tc>
        <w:tc>
          <w:tcPr>
            <w:tcW w:w="794" w:type="dxa"/>
            <w:vMerge w:val="continue"/>
            <w:tcBorders>
              <w:right w:val="double" w:color="auto" w:sz="4" w:space="0"/>
            </w:tcBorders>
            <w:shd w:val="clear" w:color="auto" w:fill="auto"/>
            <w:vAlign w:val="center"/>
          </w:tcPr>
          <w:p w14:paraId="2B53A29E">
            <w:pPr>
              <w:pStyle w:val="14"/>
              <w:rPr>
                <w:rFonts w:ascii="宋体" w:hAnsi="宋体"/>
              </w:rPr>
            </w:pPr>
          </w:p>
        </w:tc>
        <w:tc>
          <w:tcPr>
            <w:tcW w:w="4763" w:type="dxa"/>
            <w:vAlign w:val="center"/>
          </w:tcPr>
          <w:p w14:paraId="064534C5">
            <w:pPr>
              <w:pStyle w:val="14"/>
              <w:jc w:val="left"/>
              <w:rPr>
                <w:rFonts w:ascii="宋体" w:hAnsi="宋体"/>
                <w:bCs/>
              </w:rPr>
            </w:pPr>
            <w:r>
              <w:rPr>
                <w:rFonts w:hint="default" w:ascii="Times New Roman" w:hAnsi="Times New Roman" w:cs="Times New Roman"/>
                <w:i w:val="0"/>
                <w:iCs w:val="0"/>
                <w:caps w:val="0"/>
                <w:color w:val="auto"/>
                <w:spacing w:val="0"/>
                <w:sz w:val="21"/>
                <w:szCs w:val="21"/>
                <w:lang w:val="en-US" w:eastAsia="zh-CN"/>
              </w:rPr>
              <w:t>6.</w:t>
            </w:r>
            <w:r>
              <w:rPr>
                <w:rFonts w:hint="eastAsia" w:ascii="宋体" w:hAnsi="宋体" w:eastAsia="宋体" w:cs="宋体"/>
                <w:i w:val="0"/>
                <w:iCs w:val="0"/>
                <w:caps w:val="0"/>
                <w:color w:val="auto"/>
                <w:spacing w:val="0"/>
                <w:sz w:val="21"/>
                <w:szCs w:val="21"/>
                <w:lang w:val="en-US" w:eastAsia="zh-CN"/>
              </w:rPr>
              <w:t>培养学生的爱国主义情感和全球化视野，引导学生树立正确的国家观和民族观。</w:t>
            </w:r>
          </w:p>
        </w:tc>
        <w:tc>
          <w:tcPr>
            <w:tcW w:w="1348" w:type="dxa"/>
            <w:tcBorders>
              <w:right w:val="single" w:color="auto" w:sz="12" w:space="0"/>
            </w:tcBorders>
            <w:vAlign w:val="center"/>
          </w:tcPr>
          <w:p w14:paraId="62111792">
            <w:pPr>
              <w:pStyle w:val="14"/>
              <w:rPr>
                <w:rFonts w:hint="default" w:ascii="宋体" w:hAnsi="宋体" w:eastAsia="宋体"/>
                <w:bCs/>
                <w:lang w:val="en-US" w:eastAsia="zh-CN"/>
              </w:rPr>
            </w:pPr>
            <w:r>
              <w:rPr>
                <w:rFonts w:hint="eastAsia" w:cs="Times New Roman"/>
                <w:bCs/>
                <w:lang w:val="en-US" w:eastAsia="zh-CN"/>
              </w:rPr>
              <w:t>60</w:t>
            </w:r>
            <w:r>
              <w:rPr>
                <w:rFonts w:hint="default" w:ascii="Times New Roman" w:hAnsi="Times New Roman" w:cs="Times New Roman"/>
                <w:bCs/>
                <w:lang w:val="en-US" w:eastAsia="zh-CN"/>
              </w:rPr>
              <w:t>%</w:t>
            </w:r>
          </w:p>
        </w:tc>
      </w:tr>
      <w:tr w14:paraId="148B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5A5324B2">
            <w:pPr>
              <w:pStyle w:val="14"/>
            </w:pPr>
            <w:r>
              <w:rPr>
                <w:rFonts w:hint="default" w:ascii="Times New Roman" w:hAnsi="Times New Roman" w:cs="Times New Roman"/>
                <w:b/>
                <w:bCs/>
                <w:color w:val="000000"/>
                <w:kern w:val="0"/>
                <w:sz w:val="21"/>
                <w:szCs w:val="21"/>
              </w:rPr>
              <w:t>LO2</w:t>
            </w:r>
          </w:p>
        </w:tc>
        <w:tc>
          <w:tcPr>
            <w:tcW w:w="794" w:type="dxa"/>
            <w:vMerge w:val="restart"/>
            <w:tcBorders>
              <w:left w:val="single" w:color="auto" w:sz="4" w:space="0"/>
            </w:tcBorders>
            <w:vAlign w:val="center"/>
          </w:tcPr>
          <w:p w14:paraId="09471DFC">
            <w:pPr>
              <w:pStyle w:val="14"/>
              <w:rPr>
                <w:rFonts w:cs="Times New Roman"/>
                <w:bCs/>
              </w:rPr>
            </w:pPr>
            <w:r>
              <w:rPr>
                <w:rFonts w:hint="default" w:ascii="Cambria Math" w:hAnsi="Cambria Math" w:cs="Cambria Math"/>
                <w:bCs/>
              </w:rPr>
              <w:t>②</w:t>
            </w:r>
            <w:r>
              <w:rPr>
                <w:rFonts w:ascii="Cambria Math" w:hAnsi="Cambria Math" w:cs="Cambria Math"/>
                <w:bCs/>
              </w:rPr>
              <w:t>④</w:t>
            </w:r>
          </w:p>
        </w:tc>
        <w:tc>
          <w:tcPr>
            <w:tcW w:w="794" w:type="dxa"/>
            <w:vMerge w:val="restart"/>
            <w:tcBorders>
              <w:right w:val="double" w:color="auto" w:sz="4" w:space="0"/>
            </w:tcBorders>
            <w:shd w:val="clear" w:color="auto" w:fill="auto"/>
            <w:vAlign w:val="center"/>
          </w:tcPr>
          <w:p w14:paraId="3CB2DD62">
            <w:pPr>
              <w:pStyle w:val="14"/>
              <w:rPr>
                <w:rFonts w:hint="eastAsia" w:ascii="宋体" w:hAnsi="宋体" w:eastAsia="宋体"/>
                <w:lang w:val="en-US" w:eastAsia="zh-CN"/>
              </w:rPr>
            </w:pPr>
            <w:r>
              <w:rPr>
                <w:rFonts w:hint="default" w:ascii="Times New Roman" w:hAnsi="Times New Roman" w:cs="Times New Roman"/>
                <w:lang w:val="en-US" w:eastAsia="zh-CN"/>
              </w:rPr>
              <w:t>H</w:t>
            </w:r>
          </w:p>
        </w:tc>
        <w:tc>
          <w:tcPr>
            <w:tcW w:w="4763" w:type="dxa"/>
            <w:vAlign w:val="center"/>
          </w:tcPr>
          <w:p w14:paraId="156177A5">
            <w:pPr>
              <w:pStyle w:val="14"/>
              <w:jc w:val="left"/>
              <w:rPr>
                <w:rFonts w:ascii="宋体" w:hAnsi="宋体"/>
                <w:bCs/>
              </w:rPr>
            </w:pPr>
            <w:r>
              <w:rPr>
                <w:rFonts w:hint="default" w:ascii="Times New Roman" w:hAnsi="Times New Roman" w:cs="Times New Roman"/>
                <w:color w:val="auto"/>
                <w:sz w:val="21"/>
                <w:szCs w:val="21"/>
                <w:lang w:val="en-US" w:eastAsia="zh-CN"/>
              </w:rPr>
              <w:t>1.</w:t>
            </w:r>
            <w:r>
              <w:rPr>
                <w:rFonts w:hint="eastAsia" w:ascii="宋体" w:hAnsi="宋体" w:eastAsia="宋体" w:cs="宋体"/>
                <w:color w:val="auto"/>
                <w:sz w:val="21"/>
                <w:szCs w:val="21"/>
              </w:rPr>
              <w:t>掌握阅读的基本方法以及各类生词的处理技巧，了解阅读中常见的问题类型。</w:t>
            </w:r>
          </w:p>
        </w:tc>
        <w:tc>
          <w:tcPr>
            <w:tcW w:w="1348" w:type="dxa"/>
            <w:tcBorders>
              <w:right w:val="single" w:color="auto" w:sz="12" w:space="0"/>
            </w:tcBorders>
            <w:vAlign w:val="center"/>
          </w:tcPr>
          <w:p w14:paraId="52580352">
            <w:pPr>
              <w:pStyle w:val="14"/>
              <w:rPr>
                <w:rFonts w:ascii="宋体" w:hAnsi="宋体"/>
                <w:bCs/>
              </w:rPr>
            </w:pPr>
            <w:r>
              <w:rPr>
                <w:rFonts w:hint="eastAsia" w:cs="Times New Roman"/>
                <w:bCs/>
                <w:lang w:val="en-US" w:eastAsia="zh-CN"/>
              </w:rPr>
              <w:t>50</w:t>
            </w:r>
            <w:r>
              <w:rPr>
                <w:rFonts w:hint="default" w:ascii="Times New Roman" w:hAnsi="Times New Roman" w:cs="Times New Roman"/>
                <w:bCs/>
                <w:lang w:val="en-US" w:eastAsia="zh-CN"/>
              </w:rPr>
              <w:t>%</w:t>
            </w:r>
          </w:p>
        </w:tc>
      </w:tr>
      <w:tr w14:paraId="408C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427A41AF">
            <w:pPr>
              <w:pStyle w:val="14"/>
            </w:pPr>
          </w:p>
        </w:tc>
        <w:tc>
          <w:tcPr>
            <w:tcW w:w="794" w:type="dxa"/>
            <w:vMerge w:val="continue"/>
            <w:tcBorders>
              <w:left w:val="single" w:color="auto" w:sz="4" w:space="0"/>
            </w:tcBorders>
            <w:vAlign w:val="center"/>
          </w:tcPr>
          <w:p w14:paraId="1DAA4C69">
            <w:pPr>
              <w:pStyle w:val="14"/>
              <w:rPr>
                <w:rFonts w:cs="Times New Roman"/>
                <w:bCs/>
              </w:rPr>
            </w:pPr>
          </w:p>
        </w:tc>
        <w:tc>
          <w:tcPr>
            <w:tcW w:w="794" w:type="dxa"/>
            <w:vMerge w:val="continue"/>
            <w:tcBorders>
              <w:right w:val="double" w:color="auto" w:sz="4" w:space="0"/>
            </w:tcBorders>
            <w:shd w:val="clear" w:color="auto" w:fill="auto"/>
            <w:vAlign w:val="center"/>
          </w:tcPr>
          <w:p w14:paraId="16AAA9BE">
            <w:pPr>
              <w:pStyle w:val="14"/>
              <w:rPr>
                <w:rFonts w:ascii="宋体" w:hAnsi="宋体"/>
              </w:rPr>
            </w:pPr>
          </w:p>
        </w:tc>
        <w:tc>
          <w:tcPr>
            <w:tcW w:w="4763" w:type="dxa"/>
            <w:vAlign w:val="center"/>
          </w:tcPr>
          <w:p w14:paraId="0807962A">
            <w:pPr>
              <w:pStyle w:val="14"/>
              <w:jc w:val="left"/>
              <w:rPr>
                <w:rFonts w:ascii="宋体" w:hAnsi="宋体"/>
                <w:bCs/>
              </w:rPr>
            </w:pPr>
            <w:r>
              <w:rPr>
                <w:rFonts w:hint="eastAsia"/>
                <w:color w:val="auto"/>
                <w:kern w:val="0"/>
                <w:sz w:val="21"/>
                <w:szCs w:val="21"/>
                <w:lang w:val="en-US" w:eastAsia="zh-CN"/>
              </w:rPr>
              <w:t>2.</w:t>
            </w:r>
            <w:r>
              <w:rPr>
                <w:rFonts w:hint="eastAsia" w:ascii="宋体" w:hAnsi="宋体" w:eastAsia="宋体" w:cs="宋体"/>
                <w:color w:val="auto"/>
                <w:kern w:val="0"/>
                <w:sz w:val="21"/>
                <w:szCs w:val="21"/>
              </w:rPr>
              <w:t>改善不良的阅读习惯，扩大词汇量</w:t>
            </w:r>
            <w:r>
              <w:rPr>
                <w:rFonts w:hint="eastAsia"/>
                <w:color w:val="auto"/>
                <w:kern w:val="0"/>
                <w:sz w:val="21"/>
                <w:szCs w:val="21"/>
                <w:lang w:eastAsia="zh-CN"/>
              </w:rPr>
              <w:t>。</w:t>
            </w:r>
          </w:p>
        </w:tc>
        <w:tc>
          <w:tcPr>
            <w:tcW w:w="1348" w:type="dxa"/>
            <w:tcBorders>
              <w:right w:val="single" w:color="auto" w:sz="12" w:space="0"/>
            </w:tcBorders>
            <w:vAlign w:val="center"/>
          </w:tcPr>
          <w:p w14:paraId="08BE8B40">
            <w:pPr>
              <w:pStyle w:val="14"/>
              <w:rPr>
                <w:rFonts w:ascii="宋体" w:hAnsi="宋体"/>
                <w:bCs/>
              </w:rPr>
            </w:pPr>
            <w:r>
              <w:rPr>
                <w:rFonts w:hint="eastAsia" w:cs="Times New Roman"/>
                <w:bCs/>
                <w:lang w:val="en-US" w:eastAsia="zh-CN"/>
              </w:rPr>
              <w:t>50</w:t>
            </w:r>
            <w:r>
              <w:rPr>
                <w:rFonts w:hint="default" w:ascii="Times New Roman" w:hAnsi="Times New Roman" w:cs="Times New Roman"/>
                <w:bCs/>
                <w:lang w:val="en-US" w:eastAsia="zh-CN"/>
              </w:rPr>
              <w:t>%</w:t>
            </w:r>
          </w:p>
        </w:tc>
      </w:tr>
      <w:tr w14:paraId="08C0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2" w:hRule="atLeast"/>
          <w:jc w:val="center"/>
        </w:trPr>
        <w:tc>
          <w:tcPr>
            <w:tcW w:w="777" w:type="dxa"/>
            <w:vMerge w:val="restart"/>
            <w:tcBorders>
              <w:left w:val="single" w:color="auto" w:sz="12" w:space="0"/>
              <w:right w:val="single" w:color="auto" w:sz="4" w:space="0"/>
            </w:tcBorders>
            <w:shd w:val="clear" w:color="auto" w:fill="auto"/>
          </w:tcPr>
          <w:p w14:paraId="08EC5371">
            <w:pPr>
              <w:pStyle w:val="14"/>
              <w:rPr>
                <w:rFonts w:hint="default" w:ascii="Times New Roman" w:hAnsi="Times New Roman" w:cs="Times New Roman"/>
                <w:b/>
                <w:bCs/>
                <w:color w:val="000000"/>
                <w:kern w:val="0"/>
                <w:sz w:val="21"/>
                <w:szCs w:val="21"/>
              </w:rPr>
            </w:pPr>
          </w:p>
          <w:p w14:paraId="6640874C">
            <w:pPr>
              <w:pStyle w:val="14"/>
              <w:rPr>
                <w:rFonts w:hint="default" w:ascii="Times New Roman" w:hAnsi="Times New Roman" w:cs="Times New Roman"/>
                <w:b/>
                <w:bCs/>
                <w:color w:val="000000"/>
                <w:kern w:val="0"/>
                <w:sz w:val="21"/>
                <w:szCs w:val="21"/>
              </w:rPr>
            </w:pPr>
          </w:p>
          <w:p w14:paraId="4E285645">
            <w:pPr>
              <w:pStyle w:val="14"/>
            </w:pPr>
            <w:r>
              <w:rPr>
                <w:rFonts w:hint="default" w:ascii="Times New Roman" w:hAnsi="Times New Roman" w:cs="Times New Roman"/>
                <w:b/>
                <w:bCs/>
                <w:color w:val="000000"/>
                <w:kern w:val="0"/>
                <w:sz w:val="21"/>
                <w:szCs w:val="21"/>
              </w:rPr>
              <w:t>LO4</w:t>
            </w:r>
          </w:p>
        </w:tc>
        <w:tc>
          <w:tcPr>
            <w:tcW w:w="794" w:type="dxa"/>
            <w:vMerge w:val="restart"/>
            <w:tcBorders>
              <w:left w:val="single" w:color="auto" w:sz="4" w:space="0"/>
            </w:tcBorders>
            <w:vAlign w:val="center"/>
          </w:tcPr>
          <w:p w14:paraId="7C3D74A0">
            <w:pPr>
              <w:pStyle w:val="14"/>
              <w:rPr>
                <w:rFonts w:cs="Times New Roman"/>
                <w:bCs/>
              </w:rPr>
            </w:pPr>
            <w:r>
              <w:rPr>
                <w:rFonts w:ascii="Cambria Math" w:hAnsi="Cambria Math" w:cs="Cambria Math"/>
                <w:bCs/>
              </w:rPr>
              <w:t>①</w:t>
            </w:r>
            <w:r>
              <w:rPr>
                <w:rFonts w:hint="default" w:ascii="Cambria Math" w:hAnsi="Cambria Math" w:cs="Cambria Math"/>
                <w:bCs/>
              </w:rPr>
              <w:t>②</w:t>
            </w:r>
          </w:p>
        </w:tc>
        <w:tc>
          <w:tcPr>
            <w:tcW w:w="794" w:type="dxa"/>
            <w:vMerge w:val="restart"/>
            <w:tcBorders>
              <w:right w:val="double" w:color="auto" w:sz="4" w:space="0"/>
            </w:tcBorders>
            <w:shd w:val="clear" w:color="auto" w:fill="auto"/>
            <w:vAlign w:val="center"/>
          </w:tcPr>
          <w:p w14:paraId="27B19D35">
            <w:pPr>
              <w:pStyle w:val="14"/>
              <w:rPr>
                <w:rFonts w:hint="eastAsia" w:ascii="宋体" w:hAnsi="宋体" w:eastAsia="宋体"/>
                <w:lang w:val="en-US" w:eastAsia="zh-CN"/>
              </w:rPr>
            </w:pPr>
            <w:r>
              <w:rPr>
                <w:rFonts w:hint="default" w:ascii="Times New Roman" w:hAnsi="Times New Roman" w:cs="Times New Roman"/>
                <w:lang w:val="en-US" w:eastAsia="zh-CN"/>
              </w:rPr>
              <w:t>M</w:t>
            </w:r>
          </w:p>
        </w:tc>
        <w:tc>
          <w:tcPr>
            <w:tcW w:w="4763" w:type="dxa"/>
            <w:vAlign w:val="center"/>
          </w:tcPr>
          <w:p w14:paraId="306F5BFB">
            <w:pPr>
              <w:pStyle w:val="14"/>
              <w:jc w:val="left"/>
              <w:rPr>
                <w:rFonts w:ascii="宋体" w:hAnsi="宋体"/>
                <w:bCs/>
              </w:rPr>
            </w:pPr>
            <w:r>
              <w:rPr>
                <w:rFonts w:hint="eastAsia"/>
                <w:sz w:val="21"/>
                <w:szCs w:val="21"/>
                <w:lang w:val="en-US" w:eastAsia="zh-CN"/>
              </w:rPr>
              <w:t>3.</w:t>
            </w:r>
            <w:r>
              <w:rPr>
                <w:rFonts w:hint="default" w:ascii="Times New Roman" w:hAnsi="Times New Roman"/>
                <w:color w:val="auto"/>
                <w:sz w:val="21"/>
                <w:szCs w:val="21"/>
              </w:rPr>
              <w:t>培养学生课外自主阅读的兴趣和积极性，同时提升跨文化交际能力。</w:t>
            </w:r>
          </w:p>
        </w:tc>
        <w:tc>
          <w:tcPr>
            <w:tcW w:w="1348" w:type="dxa"/>
            <w:tcBorders>
              <w:right w:val="single" w:color="auto" w:sz="12" w:space="0"/>
            </w:tcBorders>
            <w:vAlign w:val="center"/>
          </w:tcPr>
          <w:p w14:paraId="4F171547">
            <w:pPr>
              <w:pStyle w:val="14"/>
              <w:rPr>
                <w:rFonts w:hint="default" w:ascii="宋体" w:hAnsi="宋体" w:eastAsia="宋体"/>
                <w:bCs/>
                <w:lang w:val="en-US" w:eastAsia="zh-CN"/>
              </w:rPr>
            </w:pPr>
            <w:r>
              <w:rPr>
                <w:rFonts w:hint="eastAsia" w:cs="Times New Roman"/>
                <w:bCs/>
                <w:lang w:val="en-US" w:eastAsia="zh-CN"/>
              </w:rPr>
              <w:t>60</w:t>
            </w:r>
            <w:r>
              <w:rPr>
                <w:rFonts w:hint="default" w:ascii="Times New Roman" w:hAnsi="Times New Roman" w:cs="Times New Roman"/>
                <w:bCs/>
                <w:lang w:val="en-US" w:eastAsia="zh-CN"/>
              </w:rPr>
              <w:t>%</w:t>
            </w:r>
          </w:p>
        </w:tc>
      </w:tr>
      <w:tr w14:paraId="4656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2" w:hRule="atLeast"/>
          <w:jc w:val="center"/>
        </w:trPr>
        <w:tc>
          <w:tcPr>
            <w:tcW w:w="777" w:type="dxa"/>
            <w:vMerge w:val="continue"/>
            <w:tcBorders>
              <w:left w:val="single" w:color="auto" w:sz="12" w:space="0"/>
              <w:right w:val="single" w:color="auto" w:sz="4" w:space="0"/>
            </w:tcBorders>
            <w:shd w:val="clear" w:color="auto" w:fill="auto"/>
          </w:tcPr>
          <w:p w14:paraId="6F2B9D97">
            <w:pPr>
              <w:pStyle w:val="14"/>
              <w:jc w:val="left"/>
            </w:pPr>
          </w:p>
        </w:tc>
        <w:tc>
          <w:tcPr>
            <w:tcW w:w="794" w:type="dxa"/>
            <w:vMerge w:val="continue"/>
            <w:tcBorders>
              <w:left w:val="single" w:color="auto" w:sz="4" w:space="0"/>
            </w:tcBorders>
            <w:vAlign w:val="center"/>
          </w:tcPr>
          <w:p w14:paraId="35D48BC0">
            <w:pPr>
              <w:pStyle w:val="14"/>
              <w:jc w:val="left"/>
            </w:pPr>
          </w:p>
        </w:tc>
        <w:tc>
          <w:tcPr>
            <w:tcW w:w="794" w:type="dxa"/>
            <w:vMerge w:val="continue"/>
            <w:tcBorders>
              <w:right w:val="double" w:color="auto" w:sz="4" w:space="0"/>
            </w:tcBorders>
            <w:shd w:val="clear" w:color="auto" w:fill="auto"/>
            <w:vAlign w:val="center"/>
          </w:tcPr>
          <w:p w14:paraId="7EDE8F21">
            <w:pPr>
              <w:pStyle w:val="14"/>
              <w:jc w:val="left"/>
            </w:pPr>
          </w:p>
        </w:tc>
        <w:tc>
          <w:tcPr>
            <w:tcW w:w="4763" w:type="dxa"/>
            <w:vAlign w:val="center"/>
          </w:tcPr>
          <w:p w14:paraId="6948E6C9">
            <w:pPr>
              <w:pStyle w:val="14"/>
              <w:jc w:val="left"/>
              <w:rPr>
                <w:rFonts w:ascii="Times New Roman" w:hAnsi="Times New Roman"/>
                <w:sz w:val="21"/>
                <w:szCs w:val="21"/>
              </w:rPr>
            </w:pPr>
            <w:r>
              <w:rPr>
                <w:rFonts w:hint="eastAsia"/>
                <w:sz w:val="21"/>
                <w:szCs w:val="21"/>
                <w:lang w:val="en-US" w:eastAsia="zh-CN"/>
              </w:rPr>
              <w:t>4.</w:t>
            </w:r>
            <w:r>
              <w:rPr>
                <w:rFonts w:hint="default" w:ascii="Times New Roman" w:hAnsi="Times New Roman"/>
                <w:sz w:val="21"/>
                <w:szCs w:val="21"/>
              </w:rPr>
              <w:t>提高学生的人文，科学素养，培养健康向上的人生观。</w:t>
            </w:r>
          </w:p>
        </w:tc>
        <w:tc>
          <w:tcPr>
            <w:tcW w:w="1348" w:type="dxa"/>
            <w:tcBorders>
              <w:right w:val="single" w:color="auto" w:sz="12" w:space="0"/>
            </w:tcBorders>
            <w:vAlign w:val="center"/>
          </w:tcPr>
          <w:p w14:paraId="59BBCA29">
            <w:pPr>
              <w:pStyle w:val="14"/>
              <w:jc w:val="center"/>
              <w:rPr>
                <w:rFonts w:hint="default" w:ascii="Times New Roman" w:hAnsi="Times New Roman" w:eastAsia="宋体"/>
                <w:sz w:val="21"/>
                <w:szCs w:val="21"/>
                <w:lang w:val="en-US" w:eastAsia="zh-CN"/>
              </w:rPr>
            </w:pPr>
            <w:r>
              <w:rPr>
                <w:rFonts w:hint="eastAsia"/>
                <w:sz w:val="21"/>
                <w:szCs w:val="21"/>
                <w:lang w:val="en-US" w:eastAsia="zh-CN"/>
              </w:rPr>
              <w:t>40%</w:t>
            </w:r>
          </w:p>
        </w:tc>
      </w:tr>
      <w:tr w14:paraId="3462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7" w:hRule="atLeast"/>
          <w:jc w:val="center"/>
        </w:trPr>
        <w:tc>
          <w:tcPr>
            <w:tcW w:w="777" w:type="dxa"/>
            <w:vMerge w:val="restart"/>
            <w:tcBorders>
              <w:left w:val="single" w:color="auto" w:sz="12" w:space="0"/>
              <w:right w:val="single" w:color="auto" w:sz="4" w:space="0"/>
            </w:tcBorders>
            <w:shd w:val="clear" w:color="auto" w:fill="auto"/>
          </w:tcPr>
          <w:p w14:paraId="7B198EFD">
            <w:pPr>
              <w:pStyle w:val="14"/>
              <w:rPr>
                <w:rFonts w:hint="default" w:ascii="Times New Roman" w:hAnsi="Times New Roman" w:cs="Times New Roman"/>
                <w:b/>
                <w:bCs/>
                <w:color w:val="000000"/>
                <w:kern w:val="0"/>
                <w:sz w:val="21"/>
                <w:szCs w:val="21"/>
              </w:rPr>
            </w:pPr>
          </w:p>
          <w:p w14:paraId="1FA296E9">
            <w:pPr>
              <w:pStyle w:val="14"/>
              <w:rPr>
                <w:rFonts w:hint="default" w:ascii="Times New Roman" w:hAnsi="Times New Roman" w:cs="Times New Roman"/>
                <w:b/>
                <w:bCs/>
                <w:color w:val="000000"/>
                <w:kern w:val="0"/>
                <w:sz w:val="21"/>
                <w:szCs w:val="21"/>
              </w:rPr>
            </w:pPr>
          </w:p>
          <w:p w14:paraId="4757C1F0">
            <w:pPr>
              <w:pStyle w:val="14"/>
              <w:rPr>
                <w:rFonts w:hint="default" w:ascii="Times New Roman" w:hAnsi="Times New Roman" w:cs="Times New Roman"/>
                <w:b/>
                <w:bCs/>
                <w:color w:val="000000"/>
                <w:kern w:val="0"/>
                <w:sz w:val="21"/>
                <w:szCs w:val="21"/>
              </w:rPr>
            </w:pPr>
          </w:p>
          <w:p w14:paraId="0CEA0A39">
            <w:pPr>
              <w:pStyle w:val="14"/>
              <w:rPr>
                <w:rFonts w:hint="default" w:ascii="Times New Roman" w:hAnsi="Times New Roman" w:cs="Times New Roman"/>
                <w:b/>
                <w:bCs/>
                <w:color w:val="000000"/>
                <w:kern w:val="0"/>
                <w:sz w:val="21"/>
                <w:szCs w:val="21"/>
              </w:rPr>
            </w:pPr>
            <w:r>
              <w:rPr>
                <w:rFonts w:hint="default" w:ascii="Times New Roman" w:hAnsi="Times New Roman" w:cs="Times New Roman"/>
                <w:b/>
                <w:bCs/>
                <w:color w:val="000000"/>
                <w:kern w:val="0"/>
                <w:sz w:val="21"/>
                <w:szCs w:val="21"/>
              </w:rPr>
              <w:t>LO</w:t>
            </w:r>
            <w:r>
              <w:rPr>
                <w:rFonts w:hint="eastAsia" w:ascii="Times New Roman" w:hAnsi="Times New Roman" w:cs="Times New Roman"/>
                <w:b/>
                <w:bCs/>
                <w:color w:val="000000"/>
                <w:kern w:val="0"/>
                <w:sz w:val="21"/>
                <w:szCs w:val="21"/>
                <w:lang w:val="en-US" w:eastAsia="zh-CN"/>
              </w:rPr>
              <w:t>8</w:t>
            </w:r>
          </w:p>
        </w:tc>
        <w:tc>
          <w:tcPr>
            <w:tcW w:w="794" w:type="dxa"/>
            <w:vMerge w:val="restart"/>
            <w:tcBorders>
              <w:left w:val="single" w:color="auto" w:sz="4" w:space="0"/>
            </w:tcBorders>
            <w:vAlign w:val="center"/>
          </w:tcPr>
          <w:p w14:paraId="2DBFD2B7">
            <w:pPr>
              <w:pStyle w:val="14"/>
              <w:rPr>
                <w:rFonts w:cs="Times New Roman"/>
                <w:bCs/>
              </w:rPr>
            </w:pPr>
            <w:r>
              <w:rPr>
                <w:rFonts w:ascii="Cambria Math" w:hAnsi="Cambria Math" w:cs="Cambria Math"/>
                <w:bCs/>
              </w:rPr>
              <w:t>①</w:t>
            </w:r>
            <w:r>
              <w:rPr>
                <w:rFonts w:hint="default" w:ascii="Cambria Math" w:hAnsi="Cambria Math" w:cs="Cambria Math"/>
                <w:bCs/>
              </w:rPr>
              <w:t>②</w:t>
            </w:r>
          </w:p>
        </w:tc>
        <w:tc>
          <w:tcPr>
            <w:tcW w:w="794" w:type="dxa"/>
            <w:vMerge w:val="restart"/>
            <w:tcBorders>
              <w:right w:val="double" w:color="auto" w:sz="4" w:space="0"/>
            </w:tcBorders>
            <w:shd w:val="clear" w:color="auto" w:fill="auto"/>
            <w:vAlign w:val="center"/>
          </w:tcPr>
          <w:p w14:paraId="78C648A7">
            <w:pPr>
              <w:pStyle w:val="14"/>
              <w:rPr>
                <w:rFonts w:hint="eastAsia" w:ascii="宋体" w:hAnsi="宋体" w:eastAsia="宋体"/>
                <w:lang w:val="en-US" w:eastAsia="zh-CN"/>
              </w:rPr>
            </w:pPr>
            <w:r>
              <w:rPr>
                <w:rFonts w:hint="default" w:ascii="Times New Roman" w:hAnsi="Times New Roman" w:cs="Times New Roman"/>
                <w:lang w:val="en-US" w:eastAsia="zh-CN"/>
              </w:rPr>
              <w:t>H</w:t>
            </w:r>
          </w:p>
        </w:tc>
        <w:tc>
          <w:tcPr>
            <w:tcW w:w="4763" w:type="dxa"/>
            <w:tcBorders>
              <w:bottom w:val="single" w:color="auto" w:sz="12" w:space="0"/>
            </w:tcBorders>
            <w:vAlign w:val="center"/>
          </w:tcPr>
          <w:p w14:paraId="3ADB9661">
            <w:pPr>
              <w:pStyle w:val="14"/>
              <w:jc w:val="left"/>
              <w:rPr>
                <w:rFonts w:ascii="宋体" w:hAnsi="宋体"/>
                <w:bCs/>
              </w:rPr>
            </w:pPr>
            <w:r>
              <w:rPr>
                <w:rFonts w:hint="default" w:ascii="Times New Roman" w:hAnsi="Times New Roman" w:cs="Times New Roman"/>
                <w:i w:val="0"/>
                <w:iCs w:val="0"/>
                <w:caps w:val="0"/>
                <w:color w:val="auto"/>
                <w:spacing w:val="0"/>
                <w:sz w:val="21"/>
                <w:szCs w:val="21"/>
                <w:lang w:val="en-US" w:eastAsia="zh-CN"/>
              </w:rPr>
              <w:t>5.</w:t>
            </w:r>
            <w:r>
              <w:rPr>
                <w:rFonts w:hint="eastAsia" w:ascii="宋体" w:hAnsi="宋体" w:eastAsia="宋体" w:cs="宋体"/>
                <w:i w:val="0"/>
                <w:iCs w:val="0"/>
                <w:caps w:val="0"/>
                <w:color w:val="auto"/>
                <w:spacing w:val="0"/>
                <w:sz w:val="21"/>
                <w:szCs w:val="21"/>
                <w:lang w:val="en-US" w:eastAsia="zh-CN"/>
              </w:rPr>
              <w:t>培养学生语言文化素养，使其有正确的语言道德和文化素质。引导学生形成国际化视野和多元化意识，尊重不同国家和地区的文化差异，培养跨文化交际的能力和意识。</w:t>
            </w:r>
          </w:p>
        </w:tc>
        <w:tc>
          <w:tcPr>
            <w:tcW w:w="1348" w:type="dxa"/>
            <w:tcBorders>
              <w:right w:val="single" w:color="auto" w:sz="12" w:space="0"/>
            </w:tcBorders>
            <w:vAlign w:val="center"/>
          </w:tcPr>
          <w:p w14:paraId="1CCBC5D8">
            <w:pPr>
              <w:pStyle w:val="14"/>
              <w:rPr>
                <w:rFonts w:hint="default" w:ascii="宋体" w:hAnsi="宋体" w:eastAsia="宋体"/>
                <w:bCs/>
                <w:lang w:val="en-US" w:eastAsia="zh-CN"/>
              </w:rPr>
            </w:pPr>
            <w:r>
              <w:rPr>
                <w:rFonts w:hint="eastAsia" w:cs="Times New Roman"/>
                <w:bCs/>
                <w:lang w:val="en-US" w:eastAsia="zh-CN"/>
              </w:rPr>
              <w:t>50</w:t>
            </w:r>
            <w:r>
              <w:rPr>
                <w:rFonts w:hint="default" w:ascii="Times New Roman" w:hAnsi="Times New Roman" w:cs="Times New Roman"/>
                <w:bCs/>
                <w:lang w:val="en-US" w:eastAsia="zh-CN"/>
              </w:rPr>
              <w:t>%</w:t>
            </w:r>
          </w:p>
        </w:tc>
      </w:tr>
      <w:tr w14:paraId="5A13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7" w:hRule="atLeast"/>
          <w:jc w:val="center"/>
        </w:trPr>
        <w:tc>
          <w:tcPr>
            <w:tcW w:w="777" w:type="dxa"/>
            <w:vMerge w:val="continue"/>
            <w:tcBorders>
              <w:left w:val="single" w:color="auto" w:sz="12" w:space="0"/>
              <w:bottom w:val="single" w:color="auto" w:sz="12" w:space="0"/>
              <w:right w:val="single" w:color="auto" w:sz="4" w:space="0"/>
            </w:tcBorders>
            <w:shd w:val="clear" w:color="auto" w:fill="auto"/>
          </w:tcPr>
          <w:p w14:paraId="05ADA1DF">
            <w:pPr>
              <w:pStyle w:val="14"/>
            </w:pPr>
          </w:p>
        </w:tc>
        <w:tc>
          <w:tcPr>
            <w:tcW w:w="794" w:type="dxa"/>
            <w:vMerge w:val="continue"/>
            <w:tcBorders>
              <w:left w:val="single" w:color="auto" w:sz="4" w:space="0"/>
              <w:bottom w:val="single" w:color="auto" w:sz="12" w:space="0"/>
            </w:tcBorders>
            <w:vAlign w:val="center"/>
          </w:tcPr>
          <w:p w14:paraId="443F782A">
            <w:pPr>
              <w:pStyle w:val="14"/>
            </w:pPr>
          </w:p>
        </w:tc>
        <w:tc>
          <w:tcPr>
            <w:tcW w:w="794" w:type="dxa"/>
            <w:vMerge w:val="continue"/>
            <w:tcBorders>
              <w:bottom w:val="single" w:color="auto" w:sz="12" w:space="0"/>
              <w:right w:val="double" w:color="auto" w:sz="4" w:space="0"/>
            </w:tcBorders>
            <w:shd w:val="clear" w:color="auto" w:fill="auto"/>
            <w:vAlign w:val="center"/>
          </w:tcPr>
          <w:p w14:paraId="72B95FE3">
            <w:pPr>
              <w:pStyle w:val="14"/>
            </w:pPr>
          </w:p>
        </w:tc>
        <w:tc>
          <w:tcPr>
            <w:tcW w:w="4763" w:type="dxa"/>
            <w:tcBorders>
              <w:bottom w:val="single" w:color="auto" w:sz="12" w:space="0"/>
            </w:tcBorders>
            <w:vAlign w:val="center"/>
          </w:tcPr>
          <w:p w14:paraId="5EEF6C3E">
            <w:pPr>
              <w:pStyle w:val="14"/>
              <w:jc w:val="left"/>
              <w:rPr>
                <w:rFonts w:ascii="宋体" w:hAnsi="宋体"/>
                <w:bCs/>
              </w:rPr>
            </w:pPr>
            <w:r>
              <w:rPr>
                <w:rFonts w:hint="default" w:ascii="Times New Roman" w:hAnsi="Times New Roman" w:cs="Times New Roman"/>
                <w:i w:val="0"/>
                <w:iCs w:val="0"/>
                <w:caps w:val="0"/>
                <w:color w:val="auto"/>
                <w:spacing w:val="0"/>
                <w:sz w:val="21"/>
                <w:szCs w:val="21"/>
                <w:lang w:val="en-US" w:eastAsia="zh-CN"/>
              </w:rPr>
              <w:t>6.</w:t>
            </w:r>
            <w:r>
              <w:rPr>
                <w:rFonts w:hint="eastAsia" w:ascii="宋体" w:hAnsi="宋体" w:eastAsia="宋体" w:cs="宋体"/>
                <w:i w:val="0"/>
                <w:iCs w:val="0"/>
                <w:caps w:val="0"/>
                <w:color w:val="auto"/>
                <w:spacing w:val="0"/>
                <w:sz w:val="21"/>
                <w:szCs w:val="21"/>
                <w:lang w:val="en-US" w:eastAsia="zh-CN"/>
              </w:rPr>
              <w:t>培养学生的爱国主义情感和全球化视野，引导学生树立正确的国家观和民族观。</w:t>
            </w:r>
          </w:p>
        </w:tc>
        <w:tc>
          <w:tcPr>
            <w:tcW w:w="1348" w:type="dxa"/>
            <w:tcBorders>
              <w:bottom w:val="single" w:color="auto" w:sz="12" w:space="0"/>
              <w:right w:val="single" w:color="auto" w:sz="12" w:space="0"/>
            </w:tcBorders>
            <w:vAlign w:val="center"/>
          </w:tcPr>
          <w:p w14:paraId="7B15E0FE">
            <w:pPr>
              <w:pStyle w:val="14"/>
              <w:rPr>
                <w:rFonts w:hint="default" w:ascii="宋体" w:hAnsi="宋体" w:eastAsia="宋体"/>
                <w:bCs/>
                <w:lang w:val="en-US" w:eastAsia="zh-CN"/>
              </w:rPr>
            </w:pPr>
            <w:r>
              <w:rPr>
                <w:rFonts w:hint="default" w:ascii="Times New Roman" w:hAnsi="Times New Roman" w:cs="Times New Roman"/>
                <w:bCs/>
                <w:lang w:val="en-US" w:eastAsia="zh-CN"/>
              </w:rPr>
              <w:t>50%</w:t>
            </w:r>
          </w:p>
        </w:tc>
      </w:tr>
    </w:tbl>
    <w:p w14:paraId="594A5919">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7B2B0440">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47E2AA5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3C68C14">
            <w:pPr>
              <w:pStyle w:val="14"/>
              <w:widowControl w:val="0"/>
              <w:spacing w:line="240" w:lineRule="auto"/>
              <w:jc w:val="left"/>
              <w:rPr>
                <w:rFonts w:hint="eastAsia" w:ascii="宋体" w:hAnsi="宋体" w:eastAsia="宋体" w:cs="宋体"/>
                <w:bCs/>
                <w:color w:val="auto"/>
                <w:szCs w:val="21"/>
                <w:lang w:val="en-US" w:eastAsia="zh-CN"/>
              </w:rPr>
            </w:pPr>
            <w:bookmarkStart w:id="0" w:name="OLE_LINK6"/>
            <w:bookmarkStart w:id="1" w:name="OLE_LINK5"/>
            <w:r>
              <w:rPr>
                <w:rFonts w:hint="eastAsia" w:ascii="宋体" w:hAnsi="宋体" w:cs="宋体"/>
                <w:bCs/>
                <w:color w:val="auto"/>
                <w:szCs w:val="21"/>
                <w:lang w:val="en-US" w:eastAsia="zh-CN"/>
              </w:rPr>
              <w:t xml:space="preserve">第一课 </w:t>
            </w:r>
            <w:r>
              <w:rPr>
                <w:rFonts w:hint="eastAsia" w:ascii="宋体" w:hAnsi="宋体" w:eastAsia="宋体" w:cs="宋体"/>
                <w:bCs/>
                <w:color w:val="auto"/>
                <w:szCs w:val="21"/>
                <w:lang w:val="en-US" w:eastAsia="zh-CN"/>
              </w:rPr>
              <w:t>专四阅读考试大纲解读与整体策略</w:t>
            </w:r>
          </w:p>
          <w:p w14:paraId="4B818CEE">
            <w:pPr>
              <w:pStyle w:val="14"/>
              <w:widowControl w:val="0"/>
              <w:spacing w:line="240" w:lineRule="auto"/>
              <w:jc w:val="left"/>
              <w:rPr>
                <w:rFonts w:hint="eastAsia" w:ascii="宋体" w:hAnsi="宋体" w:eastAsia="宋体" w:cs="宋体"/>
                <w:bCs/>
                <w:color w:val="auto"/>
                <w:szCs w:val="21"/>
                <w:lang w:val="en-US" w:eastAsia="zh-CN"/>
              </w:rPr>
            </w:pPr>
          </w:p>
          <w:p w14:paraId="24F186B5">
            <w:pPr>
              <w:pStyle w:val="14"/>
              <w:widowControl w:val="0"/>
              <w:spacing w:line="240" w:lineRule="auto"/>
              <w:jc w:val="left"/>
              <w:rPr>
                <w:rFonts w:hint="eastAsia" w:ascii="宋体" w:hAnsi="宋体" w:eastAsia="宋体" w:cs="宋体"/>
                <w:bCs/>
                <w:color w:val="auto"/>
                <w:szCs w:val="21"/>
                <w:lang w:val="en-US" w:eastAsia="zh-CN"/>
              </w:rPr>
            </w:pPr>
            <w:r>
              <w:rPr>
                <w:rFonts w:hint="eastAsia" w:ascii="宋体" w:hAnsi="宋体" w:eastAsia="宋体" w:cs="宋体"/>
                <w:bCs/>
                <w:color w:val="auto"/>
                <w:szCs w:val="21"/>
                <w:lang w:val="en-US" w:eastAsia="zh-CN"/>
              </w:rPr>
              <w:t>预期成果：学生能够清晰了解专四阅读的题型、分值和时间要求；建立正确的备考心态；学会制定个人阅读训练计划。</w:t>
            </w:r>
          </w:p>
          <w:p w14:paraId="5E9A6FF7">
            <w:pPr>
              <w:pStyle w:val="14"/>
              <w:widowControl w:val="0"/>
              <w:spacing w:line="240" w:lineRule="auto"/>
              <w:jc w:val="left"/>
              <w:rPr>
                <w:rFonts w:hint="default" w:ascii="仿宋" w:hAnsi="仿宋" w:eastAsia="仿宋" w:cs="仿宋"/>
                <w:lang w:val="en-US"/>
              </w:rPr>
            </w:pPr>
            <w:r>
              <w:rPr>
                <w:rFonts w:hint="eastAsia" w:ascii="宋体" w:hAnsi="宋体" w:eastAsia="宋体" w:cs="宋体"/>
                <w:bCs/>
                <w:color w:val="auto"/>
                <w:szCs w:val="21"/>
                <w:lang w:val="en-US" w:eastAsia="zh-CN"/>
              </w:rPr>
              <w:t>教学内容：讲解专四阅读考试大纲；分析历年真题题型分布；介绍本课程的整体学习路径与资源。</w:t>
            </w:r>
          </w:p>
        </w:tc>
      </w:tr>
      <w:tr w14:paraId="1F5CCD8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C778FA5">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 xml:space="preserve">第二课 </w:t>
            </w:r>
            <w:r>
              <w:rPr>
                <w:rFonts w:hint="eastAsia" w:ascii="宋体" w:hAnsi="宋体" w:eastAsia="宋体" w:cs="宋体"/>
                <w:bCs/>
                <w:color w:val="auto"/>
                <w:kern w:val="0"/>
                <w:szCs w:val="21"/>
                <w:lang w:val="en-US" w:eastAsia="zh-CN"/>
              </w:rPr>
              <w:t>阅读的“预”操作——读前准备策略（Vorbereitung vor dem Lesen）</w:t>
            </w:r>
          </w:p>
          <w:p w14:paraId="17E6AB95">
            <w:pPr>
              <w:pStyle w:val="14"/>
              <w:widowControl w:val="0"/>
              <w:spacing w:line="240" w:lineRule="auto"/>
              <w:jc w:val="left"/>
              <w:rPr>
                <w:rFonts w:hint="eastAsia" w:ascii="宋体" w:hAnsi="宋体" w:eastAsia="宋体" w:cs="宋体"/>
                <w:bCs/>
                <w:color w:val="auto"/>
                <w:kern w:val="0"/>
                <w:szCs w:val="21"/>
                <w:lang w:val="en-US" w:eastAsia="zh-CN"/>
              </w:rPr>
            </w:pPr>
          </w:p>
          <w:p w14:paraId="4976D3F2">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预期成果：学生能够在阅读前快速分析文章标题、副标题、插图等非文字信息；能够预测文章主旨和大致内容；学会调动相关背景知识。</w:t>
            </w:r>
          </w:p>
          <w:p w14:paraId="71421C36">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教学内容：讲解并示范如何利用“文眼”进行预测；进行预测技巧的课堂练习；以教材中文章为例进行实战演练。</w:t>
            </w:r>
          </w:p>
          <w:p w14:paraId="3ACB557F">
            <w:pPr>
              <w:pStyle w:val="14"/>
              <w:widowControl w:val="0"/>
              <w:jc w:val="left"/>
              <w:rPr>
                <w:rFonts w:hint="default" w:ascii="仿宋" w:hAnsi="仿宋" w:eastAsia="仿宋" w:cs="仿宋"/>
                <w:lang w:val="en-US"/>
              </w:rPr>
            </w:pPr>
          </w:p>
        </w:tc>
      </w:tr>
      <w:tr w14:paraId="617DB4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D471FA5">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 xml:space="preserve">第三课 </w:t>
            </w:r>
            <w:r>
              <w:rPr>
                <w:rFonts w:hint="eastAsia" w:ascii="宋体" w:hAnsi="宋体" w:eastAsia="宋体" w:cs="宋体"/>
                <w:bCs/>
                <w:color w:val="auto"/>
                <w:kern w:val="0"/>
                <w:szCs w:val="21"/>
                <w:lang w:val="en-US" w:eastAsia="zh-CN"/>
              </w:rPr>
              <w:t>精读策略训练（Sequenzielles / gründliches Lesen）</w:t>
            </w:r>
          </w:p>
          <w:p w14:paraId="5A80D9C7">
            <w:pPr>
              <w:pStyle w:val="14"/>
              <w:widowControl w:val="0"/>
              <w:spacing w:line="240" w:lineRule="auto"/>
              <w:jc w:val="left"/>
              <w:rPr>
                <w:rFonts w:hint="eastAsia" w:ascii="宋体" w:hAnsi="宋体" w:eastAsia="宋体" w:cs="宋体"/>
                <w:bCs/>
                <w:color w:val="auto"/>
                <w:kern w:val="0"/>
                <w:szCs w:val="21"/>
                <w:lang w:val="en-US" w:eastAsia="zh-CN"/>
              </w:rPr>
            </w:pPr>
          </w:p>
          <w:p w14:paraId="0514097F">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预期成果：学生能够掌握精读技巧，深入理解文章细节、逻辑结构和作者意图；能够准确回答细节性、推理性问题。</w:t>
            </w:r>
          </w:p>
          <w:p w14:paraId="1894BED7">
            <w:pPr>
              <w:pStyle w:val="14"/>
              <w:widowControl w:val="0"/>
              <w:spacing w:line="240" w:lineRule="auto"/>
              <w:jc w:val="left"/>
              <w:rPr>
                <w:rFonts w:hint="eastAsia" w:ascii="宋体" w:hAnsi="宋体" w:cs="宋体" w:eastAsiaTheme="minorEastAsia"/>
                <w:bCs/>
                <w:sz w:val="21"/>
                <w:szCs w:val="21"/>
                <w:lang w:val="en-US" w:eastAsia="zh-CN"/>
              </w:rPr>
            </w:pPr>
            <w:r>
              <w:rPr>
                <w:rFonts w:hint="eastAsia" w:ascii="宋体" w:hAnsi="宋体" w:eastAsia="宋体" w:cs="宋体"/>
                <w:bCs/>
                <w:color w:val="auto"/>
                <w:kern w:val="0"/>
                <w:szCs w:val="21"/>
                <w:lang w:val="en-US" w:eastAsia="zh-CN"/>
              </w:rPr>
              <w:t>教学内容：讲解精读的适用场景与方法；引导学生分析句子间和段落间的逻辑连接词；通过长难句分析训练深度理解能力。</w:t>
            </w:r>
          </w:p>
        </w:tc>
      </w:tr>
      <w:tr w14:paraId="3B676BB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1AE348A">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 xml:space="preserve">第四课 </w:t>
            </w:r>
            <w:r>
              <w:rPr>
                <w:rFonts w:hint="eastAsia" w:ascii="宋体" w:hAnsi="宋体" w:eastAsia="宋体" w:cs="宋体"/>
                <w:bCs/>
                <w:color w:val="auto"/>
                <w:kern w:val="0"/>
                <w:szCs w:val="21"/>
                <w:lang w:val="en-US" w:eastAsia="zh-CN"/>
              </w:rPr>
              <w:t>泛读策略训练（Kursorisches / überfliegendes Lesen）</w:t>
            </w:r>
          </w:p>
          <w:p w14:paraId="33176904">
            <w:pPr>
              <w:pStyle w:val="14"/>
              <w:widowControl w:val="0"/>
              <w:spacing w:line="240" w:lineRule="auto"/>
              <w:jc w:val="left"/>
              <w:rPr>
                <w:rFonts w:hint="eastAsia" w:ascii="宋体" w:hAnsi="宋体" w:eastAsia="宋体" w:cs="宋体"/>
                <w:bCs/>
                <w:color w:val="auto"/>
                <w:kern w:val="0"/>
                <w:szCs w:val="21"/>
                <w:lang w:val="en-US" w:eastAsia="zh-CN"/>
              </w:rPr>
            </w:pPr>
          </w:p>
          <w:p w14:paraId="123B035B">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预期成果：学生能够快速浏览文章，抓住中心思想（Hauptgedanke）和段落大意；能区分主旨与细节。</w:t>
            </w:r>
          </w:p>
          <w:p w14:paraId="3778D06D">
            <w:pPr>
              <w:pStyle w:val="14"/>
              <w:widowControl w:val="0"/>
              <w:spacing w:line="240" w:lineRule="auto"/>
              <w:jc w:val="left"/>
              <w:rPr>
                <w:rFonts w:hint="eastAsia" w:ascii="宋体" w:hAnsi="宋体" w:eastAsia="仿宋_GB2312" w:cs="宋体"/>
                <w:bCs/>
                <w:sz w:val="21"/>
                <w:szCs w:val="21"/>
                <w:lang w:val="en-US" w:eastAsia="zh-CN"/>
              </w:rPr>
            </w:pPr>
            <w:r>
              <w:rPr>
                <w:rFonts w:hint="eastAsia" w:ascii="宋体" w:hAnsi="宋体" w:eastAsia="宋体" w:cs="宋体"/>
                <w:bCs/>
                <w:color w:val="auto"/>
                <w:kern w:val="0"/>
                <w:szCs w:val="21"/>
                <w:lang w:val="en-US" w:eastAsia="zh-CN"/>
              </w:rPr>
              <w:t>教学内容：讲解泛读的技巧，如重点阅读首尾段、段落首句；训练快速归纳段落大意的能力；进行抓取文章主旨的限时练习。</w:t>
            </w:r>
          </w:p>
        </w:tc>
      </w:tr>
      <w:tr w14:paraId="1E5D91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65C13D6">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 xml:space="preserve">第五课 </w:t>
            </w:r>
            <w:r>
              <w:rPr>
                <w:rFonts w:hint="eastAsia" w:ascii="宋体" w:hAnsi="宋体" w:eastAsia="宋体" w:cs="宋体"/>
                <w:bCs/>
                <w:color w:val="auto"/>
                <w:kern w:val="0"/>
                <w:szCs w:val="21"/>
                <w:lang w:val="en-US" w:eastAsia="zh-CN"/>
              </w:rPr>
              <w:t>精准打击——选择性阅读（Punktuelles / selektives Lesen）</w:t>
            </w:r>
          </w:p>
          <w:p w14:paraId="057562DC">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预期成果：学生能够根据问题要求，快速定位到文章中的特定信息（如数字、人名、地点、时间等）。</w:t>
            </w:r>
          </w:p>
          <w:p w14:paraId="3055FE8B">
            <w:pPr>
              <w:pStyle w:val="14"/>
              <w:widowControl w:val="0"/>
              <w:spacing w:line="240" w:lineRule="auto"/>
              <w:jc w:val="left"/>
              <w:rPr>
                <w:rFonts w:hint="eastAsia" w:ascii="宋体" w:hAnsi="宋体" w:cs="宋体"/>
                <w:bCs/>
                <w:sz w:val="21"/>
                <w:szCs w:val="21"/>
                <w:lang w:val="en-US" w:eastAsia="zh-CN"/>
              </w:rPr>
            </w:pPr>
            <w:r>
              <w:rPr>
                <w:rFonts w:hint="eastAsia" w:ascii="宋体" w:hAnsi="宋体" w:eastAsia="宋体" w:cs="宋体"/>
                <w:bCs/>
                <w:color w:val="auto"/>
                <w:kern w:val="0"/>
                <w:szCs w:val="21"/>
                <w:lang w:val="en-US" w:eastAsia="zh-CN"/>
              </w:rPr>
              <w:t>教学内容：讲解寻读的技巧；进行关键词定位的专项训练；将策略应用于解答事实细节题。</w:t>
            </w:r>
          </w:p>
        </w:tc>
      </w:tr>
      <w:tr w14:paraId="29DF7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29FFC15">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第六课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快速阅读策略（Lernendes Lesen）与综合应用</w:t>
            </w:r>
          </w:p>
          <w:p w14:paraId="266B54FA">
            <w:pPr>
              <w:pStyle w:val="14"/>
              <w:widowControl w:val="0"/>
              <w:spacing w:line="240" w:lineRule="auto"/>
              <w:jc w:val="left"/>
              <w:rPr>
                <w:rFonts w:hint="eastAsia" w:ascii="宋体" w:hAnsi="宋体" w:eastAsia="宋体" w:cs="宋体"/>
                <w:bCs/>
                <w:color w:val="auto"/>
                <w:kern w:val="0"/>
                <w:szCs w:val="21"/>
                <w:lang w:val="en-US" w:eastAsia="zh-CN"/>
              </w:rPr>
            </w:pPr>
          </w:p>
          <w:p w14:paraId="784D7301">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预期成果：学生能够综合运用泛读和寻读技巧，在保证一定理解率的前提下提升阅读速度。</w:t>
            </w:r>
          </w:p>
          <w:p w14:paraId="0A13C2AB">
            <w:pPr>
              <w:pStyle w:val="14"/>
              <w:widowControl w:val="0"/>
              <w:spacing w:line="240" w:lineRule="auto"/>
              <w:jc w:val="left"/>
              <w:rPr>
                <w:rFonts w:hint="eastAsia" w:ascii="宋体" w:hAnsi="宋体" w:cs="宋体"/>
                <w:bCs/>
                <w:sz w:val="21"/>
                <w:szCs w:val="21"/>
                <w:lang w:val="en-US" w:eastAsia="zh-CN"/>
              </w:rPr>
            </w:pPr>
            <w:r>
              <w:rPr>
                <w:rFonts w:hint="eastAsia" w:ascii="宋体" w:hAnsi="宋体" w:eastAsia="宋体" w:cs="宋体"/>
                <w:bCs/>
                <w:color w:val="auto"/>
                <w:kern w:val="0"/>
                <w:szCs w:val="21"/>
                <w:lang w:val="en-US" w:eastAsia="zh-CN"/>
              </w:rPr>
              <w:t>教学内容：进行限时阅读训练，克服默读习惯；讲解如何扩大视幅（Augenspanne）；提供提升阅读速度的长期练习建议。</w:t>
            </w:r>
          </w:p>
        </w:tc>
      </w:tr>
      <w:tr w14:paraId="035E0C0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9FE0175">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第七课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直接信息题（细节题）解题策略</w:t>
            </w:r>
          </w:p>
          <w:p w14:paraId="545BBC49">
            <w:pPr>
              <w:pStyle w:val="14"/>
              <w:widowControl w:val="0"/>
              <w:spacing w:line="240" w:lineRule="auto"/>
              <w:jc w:val="left"/>
              <w:rPr>
                <w:rFonts w:hint="eastAsia" w:ascii="宋体" w:hAnsi="宋体" w:eastAsia="宋体" w:cs="宋体"/>
                <w:bCs/>
                <w:color w:val="auto"/>
                <w:kern w:val="0"/>
                <w:szCs w:val="21"/>
                <w:lang w:val="en-US" w:eastAsia="zh-CN"/>
              </w:rPr>
            </w:pPr>
          </w:p>
          <w:p w14:paraId="19EBEAA1">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预期成果：学生能够识别并快速准确地解答直接信息题；学会核对选项与原文的细微差别。</w:t>
            </w:r>
          </w:p>
          <w:p w14:paraId="7A1B2D99">
            <w:pPr>
              <w:pStyle w:val="14"/>
              <w:widowControl w:val="0"/>
              <w:spacing w:line="240" w:lineRule="auto"/>
              <w:jc w:val="left"/>
              <w:rPr>
                <w:rFonts w:hint="eastAsia" w:ascii="宋体" w:hAnsi="宋体" w:cs="宋体"/>
                <w:bCs/>
                <w:sz w:val="21"/>
                <w:szCs w:val="21"/>
                <w:lang w:val="en-US" w:eastAsia="zh-CN"/>
              </w:rPr>
            </w:pPr>
            <w:r>
              <w:rPr>
                <w:rFonts w:hint="eastAsia" w:ascii="宋体" w:hAnsi="宋体" w:eastAsia="宋体" w:cs="宋体"/>
                <w:bCs/>
                <w:color w:val="auto"/>
                <w:kern w:val="0"/>
                <w:szCs w:val="21"/>
                <w:lang w:val="en-US" w:eastAsia="zh-CN"/>
              </w:rPr>
              <w:t>教学内容：分析直接信息题的题干和选项特点；讲解“同义转述”的常见方式；使用三级阅读文章进行实战演练。</w:t>
            </w:r>
          </w:p>
        </w:tc>
      </w:tr>
      <w:tr w14:paraId="6579ED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95EBBFB">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第八课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推理判断题（Schlussfolgerungsfragen）解题策略</w:t>
            </w:r>
          </w:p>
          <w:p w14:paraId="2F268660">
            <w:pPr>
              <w:pStyle w:val="14"/>
              <w:widowControl w:val="0"/>
              <w:spacing w:line="240" w:lineRule="auto"/>
              <w:jc w:val="left"/>
              <w:rPr>
                <w:rFonts w:hint="eastAsia" w:ascii="宋体" w:hAnsi="宋体" w:eastAsia="宋体" w:cs="宋体"/>
                <w:bCs/>
                <w:color w:val="auto"/>
                <w:kern w:val="0"/>
                <w:szCs w:val="21"/>
                <w:lang w:val="en-US" w:eastAsia="zh-CN"/>
              </w:rPr>
            </w:pPr>
          </w:p>
          <w:p w14:paraId="5DFB19EE">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预期成果：学生能够根据文章线索进行合理逻辑推断，理解言外之意（zwischen den Zeilen lesen）。</w:t>
            </w:r>
          </w:p>
          <w:p w14:paraId="78FE0032">
            <w:pPr>
              <w:pStyle w:val="14"/>
              <w:widowControl w:val="0"/>
              <w:spacing w:line="240" w:lineRule="auto"/>
              <w:jc w:val="left"/>
              <w:rPr>
                <w:rFonts w:hint="eastAsia" w:ascii="宋体" w:hAnsi="宋体" w:cs="宋体"/>
                <w:bCs/>
                <w:sz w:val="21"/>
                <w:szCs w:val="21"/>
                <w:lang w:val="en-US" w:eastAsia="zh-CN"/>
              </w:rPr>
            </w:pPr>
            <w:r>
              <w:rPr>
                <w:rFonts w:hint="eastAsia" w:ascii="宋体" w:hAnsi="宋体" w:eastAsia="宋体" w:cs="宋体"/>
                <w:bCs/>
                <w:color w:val="auto"/>
                <w:kern w:val="0"/>
                <w:szCs w:val="21"/>
                <w:lang w:val="en-US" w:eastAsia="zh-CN"/>
              </w:rPr>
              <w:t>教学内容：区分事实与观点；讲解常见的逻辑推理方法；通过分析典型例题训练推理能力。</w:t>
            </w:r>
          </w:p>
        </w:tc>
      </w:tr>
      <w:tr w14:paraId="678680E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0C8EAB9">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w:t>
            </w:r>
            <w:r>
              <w:rPr>
                <w:rFonts w:hint="eastAsia" w:ascii="宋体" w:hAnsi="宋体" w:cs="宋体"/>
                <w:bCs/>
                <w:color w:val="auto"/>
                <w:szCs w:val="21"/>
                <w:lang w:val="en-US" w:eastAsia="zh-CN"/>
              </w:rPr>
              <w:t>九</w:t>
            </w:r>
            <w:r>
              <w:rPr>
                <w:rFonts w:hint="eastAsia" w:ascii="宋体" w:hAnsi="宋体" w:eastAsia="宋体" w:cs="宋体"/>
                <w:bCs/>
                <w:color w:val="auto"/>
                <w:szCs w:val="21"/>
                <w:lang w:eastAsia="zh-CN"/>
              </w:rPr>
              <w:t>课</w:t>
            </w:r>
            <w:r>
              <w:rPr>
                <w:rFonts w:hint="eastAsia" w:ascii="宋体" w:hAnsi="宋体" w:eastAsia="宋体" w:cs="宋体"/>
                <w:bCs/>
                <w:color w:val="auto"/>
                <w:kern w:val="0"/>
                <w:szCs w:val="21"/>
                <w:lang w:val="en-US" w:eastAsia="zh-CN"/>
              </w:rPr>
              <w:t xml:space="preserve"> 观点态度题（Stellungnahme / Meinung）解题策略</w:t>
            </w:r>
          </w:p>
          <w:p w14:paraId="5643FCDD">
            <w:pPr>
              <w:pStyle w:val="14"/>
              <w:widowControl w:val="0"/>
              <w:spacing w:line="240" w:lineRule="auto"/>
              <w:jc w:val="left"/>
              <w:rPr>
                <w:rFonts w:hint="eastAsia" w:ascii="宋体" w:hAnsi="宋体" w:eastAsia="宋体" w:cs="宋体"/>
                <w:bCs/>
                <w:color w:val="auto"/>
                <w:kern w:val="0"/>
                <w:szCs w:val="21"/>
                <w:lang w:val="en-US" w:eastAsia="zh-CN"/>
              </w:rPr>
            </w:pPr>
          </w:p>
          <w:p w14:paraId="215048C2">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预期成果：学生能够识别作者或文中人物的观点、态度和情感倾向。</w:t>
            </w:r>
          </w:p>
          <w:p w14:paraId="33BFD597">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教学内容：学习表达观点、态度、情感的核心词汇；分析如何从语气、措辞中判断态度；进行相关题型专项训练。</w:t>
            </w:r>
          </w:p>
          <w:p w14:paraId="03B35793">
            <w:pPr>
              <w:pStyle w:val="14"/>
              <w:widowControl w:val="0"/>
              <w:spacing w:line="240" w:lineRule="auto"/>
              <w:jc w:val="left"/>
              <w:rPr>
                <w:rFonts w:hint="eastAsia" w:asciiTheme="minorEastAsia" w:hAnsiTheme="minorEastAsia" w:eastAsiaTheme="minorEastAsia" w:cstheme="minorEastAsia"/>
                <w:bCs/>
                <w:color w:val="auto"/>
                <w:sz w:val="21"/>
                <w:szCs w:val="21"/>
                <w:lang w:val="en-US" w:eastAsia="zh-CN"/>
              </w:rPr>
            </w:pPr>
          </w:p>
        </w:tc>
      </w:tr>
      <w:tr w14:paraId="53F0017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B318776">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val="en-US" w:eastAsia="zh-CN"/>
              </w:rPr>
              <w:t>第</w:t>
            </w:r>
            <w:r>
              <w:rPr>
                <w:rFonts w:hint="eastAsia" w:ascii="宋体" w:hAnsi="宋体" w:cs="宋体"/>
                <w:bCs/>
                <w:color w:val="auto"/>
                <w:szCs w:val="21"/>
                <w:lang w:val="en-US" w:eastAsia="zh-CN"/>
              </w:rPr>
              <w:t>十</w:t>
            </w:r>
            <w:r>
              <w:rPr>
                <w:rFonts w:hint="eastAsia" w:ascii="宋体" w:hAnsi="宋体" w:eastAsia="宋体" w:cs="宋体"/>
                <w:bCs/>
                <w:color w:val="auto"/>
                <w:szCs w:val="21"/>
                <w:lang w:val="en-US" w:eastAsia="zh-CN"/>
              </w:rPr>
              <w:t xml:space="preserve">课 </w:t>
            </w:r>
            <w:r>
              <w:rPr>
                <w:rFonts w:hint="eastAsia" w:ascii="宋体" w:hAnsi="宋体" w:eastAsia="宋体" w:cs="宋体"/>
                <w:bCs/>
                <w:color w:val="auto"/>
                <w:kern w:val="0"/>
                <w:szCs w:val="21"/>
                <w:lang w:val="en-US" w:eastAsia="zh-CN"/>
              </w:rPr>
              <w:t>语义理解题解题策略</w:t>
            </w:r>
          </w:p>
          <w:p w14:paraId="5B893B03">
            <w:pPr>
              <w:pStyle w:val="14"/>
              <w:widowControl w:val="0"/>
              <w:spacing w:line="240" w:lineRule="auto"/>
              <w:jc w:val="left"/>
              <w:rPr>
                <w:rFonts w:hint="eastAsia" w:ascii="宋体" w:hAnsi="宋体" w:eastAsia="宋体" w:cs="宋体"/>
                <w:bCs/>
                <w:color w:val="auto"/>
                <w:kern w:val="0"/>
                <w:szCs w:val="21"/>
                <w:lang w:val="en-US" w:eastAsia="zh-CN"/>
              </w:rPr>
            </w:pPr>
          </w:p>
          <w:p w14:paraId="09A8A016">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预期成果：语义理解题（词义猜测、指代关系）学生能够利用上下文语境、构词法猜测生词词义；能够理清代词所指代的成分。</w:t>
            </w:r>
          </w:p>
          <w:p w14:paraId="27D3CF35">
            <w:pPr>
              <w:pStyle w:val="14"/>
              <w:widowControl w:val="0"/>
              <w:spacing w:line="240" w:lineRule="auto"/>
              <w:jc w:val="left"/>
              <w:rPr>
                <w:rFonts w:hint="eastAsia" w:ascii="宋体" w:hAnsi="宋体" w:cs="宋体" w:eastAsiaTheme="minorEastAsia"/>
                <w:bCs/>
                <w:sz w:val="21"/>
                <w:szCs w:val="21"/>
                <w:lang w:val="en-US" w:eastAsia="zh-CN"/>
              </w:rPr>
            </w:pPr>
            <w:r>
              <w:rPr>
                <w:rFonts w:hint="eastAsia" w:ascii="宋体" w:hAnsi="宋体" w:eastAsia="宋体" w:cs="宋体"/>
                <w:bCs/>
                <w:color w:val="auto"/>
                <w:kern w:val="0"/>
                <w:szCs w:val="21"/>
                <w:lang w:val="en-US" w:eastAsia="zh-CN"/>
              </w:rPr>
              <w:t>教学内容：讲解猜词技巧（定义、举例、同反义词、词根词缀等）；训练指代关系分析；在阅读中综合应用语义理解策略。</w:t>
            </w:r>
          </w:p>
        </w:tc>
      </w:tr>
      <w:tr w14:paraId="7FCC60C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2BBD3CB">
            <w:pPr>
              <w:pStyle w:val="14"/>
              <w:widowControl w:val="0"/>
              <w:numPr>
                <w:ilvl w:val="0"/>
                <w:numId w:val="1"/>
              </w:numPr>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 xml:space="preserve">策略综合应用（一）——自然与环境类文章 </w:t>
            </w:r>
          </w:p>
          <w:p w14:paraId="001331B0">
            <w:pPr>
              <w:pStyle w:val="14"/>
              <w:widowControl w:val="0"/>
              <w:numPr>
                <w:ilvl w:val="0"/>
                <w:numId w:val="0"/>
              </w:numPr>
              <w:spacing w:line="240" w:lineRule="auto"/>
              <w:jc w:val="left"/>
              <w:rPr>
                <w:rFonts w:hint="eastAsia" w:ascii="宋体" w:hAnsi="宋体" w:eastAsia="宋体" w:cs="宋体"/>
                <w:bCs/>
                <w:color w:val="auto"/>
                <w:kern w:val="0"/>
                <w:szCs w:val="21"/>
                <w:lang w:val="en-US" w:eastAsia="zh-CN"/>
              </w:rPr>
            </w:pPr>
          </w:p>
          <w:p w14:paraId="246C2FBE">
            <w:pPr>
              <w:pStyle w:val="14"/>
              <w:widowControl w:val="0"/>
              <w:numPr>
                <w:ilvl w:val="0"/>
                <w:numId w:val="0"/>
              </w:numPr>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预期成果：学生能够将前10单元所学策略综合应用于“自然与环境”主题文章，并积累相关主题词汇。</w:t>
            </w:r>
          </w:p>
          <w:p w14:paraId="3827FA87">
            <w:pPr>
              <w:pStyle w:val="14"/>
              <w:widowControl w:val="0"/>
              <w:spacing w:line="240" w:lineRule="auto"/>
              <w:jc w:val="left"/>
              <w:rPr>
                <w:rFonts w:hint="eastAsia" w:ascii="宋体" w:hAnsi="宋体" w:eastAsia="仿宋_GB2312" w:cs="宋体"/>
                <w:bCs/>
                <w:sz w:val="21"/>
                <w:szCs w:val="21"/>
                <w:lang w:val="en-US" w:eastAsia="zh-CN"/>
              </w:rPr>
            </w:pPr>
            <w:r>
              <w:rPr>
                <w:rFonts w:hint="eastAsia" w:ascii="宋体" w:hAnsi="宋体" w:eastAsia="宋体" w:cs="宋体"/>
                <w:bCs/>
                <w:color w:val="auto"/>
                <w:kern w:val="0"/>
                <w:szCs w:val="21"/>
                <w:lang w:val="en-US" w:eastAsia="zh-CN"/>
              </w:rPr>
              <w:t>教学内容：精</w:t>
            </w:r>
            <w:r>
              <w:rPr>
                <w:rFonts w:hint="eastAsia" w:ascii="宋体" w:hAnsi="宋体" w:cs="宋体"/>
                <w:bCs/>
                <w:color w:val="auto"/>
                <w:kern w:val="0"/>
                <w:szCs w:val="21"/>
                <w:lang w:val="en-US" w:eastAsia="zh-CN"/>
              </w:rPr>
              <w:t>读训练例文</w:t>
            </w:r>
            <w:r>
              <w:rPr>
                <w:rFonts w:hint="eastAsia" w:ascii="宋体" w:hAnsi="宋体" w:eastAsia="宋体" w:cs="宋体"/>
                <w:bCs/>
                <w:color w:val="auto"/>
                <w:kern w:val="0"/>
                <w:szCs w:val="21"/>
                <w:lang w:val="en-US" w:eastAsia="zh-CN"/>
              </w:rPr>
              <w:t>； 总结主题词汇库。</w:t>
            </w:r>
          </w:p>
        </w:tc>
      </w:tr>
      <w:tr w14:paraId="6F213AF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BAFB5CD">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二</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策略综合应用（二）——社会与生活类文章</w:t>
            </w:r>
          </w:p>
          <w:p w14:paraId="354FCB08">
            <w:pPr>
              <w:pStyle w:val="14"/>
              <w:widowControl w:val="0"/>
              <w:spacing w:line="240" w:lineRule="auto"/>
              <w:jc w:val="left"/>
              <w:rPr>
                <w:rFonts w:hint="eastAsia" w:ascii="宋体" w:hAnsi="宋体" w:eastAsia="宋体" w:cs="宋体"/>
                <w:bCs/>
                <w:color w:val="auto"/>
                <w:kern w:val="0"/>
                <w:szCs w:val="21"/>
                <w:lang w:val="en-US" w:eastAsia="zh-CN"/>
              </w:rPr>
            </w:pPr>
          </w:p>
          <w:p w14:paraId="6B3BD96E">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预期成果：学生能熟练运用策略理解“社会与生活”类文章，把握社会现象背后的原因与影响。</w:t>
            </w:r>
          </w:p>
          <w:p w14:paraId="39A11D92">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教学内容：分析</w:t>
            </w:r>
            <w:r>
              <w:rPr>
                <w:rFonts w:hint="eastAsia" w:ascii="宋体" w:hAnsi="宋体" w:cs="宋体"/>
                <w:bCs/>
                <w:color w:val="auto"/>
                <w:kern w:val="0"/>
                <w:szCs w:val="21"/>
                <w:lang w:val="en-US" w:eastAsia="zh-CN"/>
              </w:rPr>
              <w:t>阅读例文</w:t>
            </w:r>
            <w:r>
              <w:rPr>
                <w:rFonts w:hint="eastAsia" w:ascii="宋体" w:hAnsi="宋体" w:eastAsia="宋体" w:cs="宋体"/>
                <w:bCs/>
                <w:color w:val="auto"/>
                <w:kern w:val="0"/>
                <w:szCs w:val="21"/>
                <w:lang w:val="en-US" w:eastAsia="zh-CN"/>
              </w:rPr>
              <w:t>；讨论相关社会话题。</w:t>
            </w:r>
          </w:p>
          <w:p w14:paraId="3D4EDCC9">
            <w:pPr>
              <w:pStyle w:val="14"/>
              <w:widowControl w:val="0"/>
              <w:spacing w:line="240" w:lineRule="auto"/>
              <w:jc w:val="left"/>
              <w:rPr>
                <w:rFonts w:hint="eastAsia" w:ascii="宋体" w:hAnsi="宋体" w:eastAsia="仿宋_GB2312" w:cs="宋体"/>
                <w:bCs/>
                <w:sz w:val="21"/>
                <w:szCs w:val="21"/>
                <w:lang w:val="en-US" w:eastAsia="zh-CN"/>
              </w:rPr>
            </w:pPr>
          </w:p>
        </w:tc>
      </w:tr>
      <w:tr w14:paraId="0473B8A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0EB7A79">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 xml:space="preserve">第十三课 </w:t>
            </w:r>
            <w:r>
              <w:rPr>
                <w:rFonts w:hint="eastAsia" w:ascii="宋体" w:hAnsi="宋体" w:eastAsia="宋体" w:cs="宋体"/>
                <w:bCs/>
                <w:color w:val="auto"/>
                <w:kern w:val="0"/>
                <w:szCs w:val="21"/>
                <w:lang w:val="en-US" w:eastAsia="zh-CN"/>
              </w:rPr>
              <w:t>策略综合应用（三）——文化与教育类文章</w:t>
            </w:r>
          </w:p>
          <w:p w14:paraId="4D542AD6">
            <w:pPr>
              <w:pStyle w:val="14"/>
              <w:widowControl w:val="0"/>
              <w:spacing w:line="240" w:lineRule="auto"/>
              <w:jc w:val="left"/>
              <w:rPr>
                <w:rFonts w:hint="eastAsia" w:ascii="宋体" w:hAnsi="宋体" w:eastAsia="宋体" w:cs="宋体"/>
                <w:bCs/>
                <w:color w:val="auto"/>
                <w:kern w:val="0"/>
                <w:szCs w:val="21"/>
                <w:lang w:val="en-US" w:eastAsia="zh-CN"/>
              </w:rPr>
            </w:pPr>
          </w:p>
          <w:p w14:paraId="23CC5C31">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预期成果：学生能够理解文化概念、教育理念等相关文章，并进行跨文化对比思考。</w:t>
            </w:r>
          </w:p>
          <w:p w14:paraId="02967C44">
            <w:pPr>
              <w:pStyle w:val="14"/>
              <w:widowControl w:val="0"/>
              <w:spacing w:line="240" w:lineRule="auto"/>
              <w:jc w:val="left"/>
              <w:rPr>
                <w:rFonts w:hint="eastAsia" w:ascii="宋体" w:hAnsi="宋体" w:cs="宋体"/>
                <w:bCs/>
                <w:sz w:val="21"/>
                <w:szCs w:val="21"/>
                <w:lang w:val="en-US" w:eastAsia="zh-CN"/>
              </w:rPr>
            </w:pPr>
            <w:r>
              <w:rPr>
                <w:rFonts w:hint="eastAsia" w:ascii="宋体" w:hAnsi="宋体" w:cs="宋体"/>
                <w:bCs/>
                <w:color w:val="auto"/>
                <w:kern w:val="0"/>
                <w:szCs w:val="21"/>
                <w:lang w:val="en-US" w:eastAsia="zh-CN"/>
              </w:rPr>
              <w:t>教学内容</w:t>
            </w:r>
            <w:r>
              <w:rPr>
                <w:rFonts w:hint="eastAsia" w:ascii="宋体" w:hAnsi="宋体" w:eastAsia="宋体" w:cs="宋体"/>
                <w:bCs/>
                <w:color w:val="auto"/>
                <w:kern w:val="0"/>
                <w:szCs w:val="21"/>
                <w:lang w:val="en-US" w:eastAsia="zh-CN"/>
              </w:rPr>
              <w:t>：精读</w:t>
            </w:r>
            <w:r>
              <w:rPr>
                <w:rFonts w:hint="eastAsia" w:ascii="宋体" w:hAnsi="宋体" w:cs="宋体"/>
                <w:bCs/>
                <w:color w:val="auto"/>
                <w:kern w:val="0"/>
                <w:szCs w:val="21"/>
                <w:lang w:val="en-US" w:eastAsia="zh-CN"/>
              </w:rPr>
              <w:t>例文</w:t>
            </w:r>
            <w:r>
              <w:rPr>
                <w:rFonts w:hint="eastAsia" w:ascii="宋体" w:hAnsi="宋体" w:eastAsia="宋体" w:cs="宋体"/>
                <w:bCs/>
                <w:color w:val="auto"/>
                <w:kern w:val="0"/>
                <w:szCs w:val="21"/>
                <w:lang w:val="en-US" w:eastAsia="zh-CN"/>
              </w:rPr>
              <w:t>； 积累文化教育类表达。</w:t>
            </w:r>
          </w:p>
        </w:tc>
      </w:tr>
      <w:tr w14:paraId="0D042A8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9F6551D">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四</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策略综合应用（四）——科技与经济类文章</w:t>
            </w:r>
          </w:p>
          <w:p w14:paraId="13FDACB4">
            <w:pPr>
              <w:pStyle w:val="14"/>
              <w:widowControl w:val="0"/>
              <w:spacing w:line="240" w:lineRule="auto"/>
              <w:jc w:val="left"/>
              <w:rPr>
                <w:rFonts w:hint="eastAsia" w:ascii="宋体" w:hAnsi="宋体" w:eastAsia="宋体" w:cs="宋体"/>
                <w:bCs/>
                <w:color w:val="auto"/>
                <w:kern w:val="0"/>
                <w:szCs w:val="21"/>
                <w:lang w:val="en-US" w:eastAsia="zh-CN"/>
              </w:rPr>
            </w:pPr>
          </w:p>
          <w:p w14:paraId="27D51A93">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预期成果：学生能应对内容稍抽象的科技、经济类文章，理解其基本概念和逻辑关系。</w:t>
            </w:r>
          </w:p>
          <w:p w14:paraId="0283CBB5">
            <w:pPr>
              <w:pStyle w:val="14"/>
              <w:widowControl w:val="0"/>
              <w:spacing w:line="240" w:lineRule="auto"/>
              <w:jc w:val="left"/>
              <w:rPr>
                <w:rFonts w:hint="eastAsia" w:ascii="宋体" w:hAnsi="宋体" w:eastAsia="仿宋_GB2312" w:cs="宋体"/>
                <w:bCs/>
                <w:sz w:val="21"/>
                <w:szCs w:val="21"/>
                <w:lang w:val="en-US" w:eastAsia="zh-CN"/>
              </w:rPr>
            </w:pPr>
            <w:r>
              <w:rPr>
                <w:rFonts w:hint="eastAsia" w:ascii="宋体" w:hAnsi="宋体" w:eastAsia="宋体" w:cs="宋体"/>
                <w:bCs/>
                <w:color w:val="auto"/>
                <w:kern w:val="0"/>
                <w:szCs w:val="21"/>
                <w:lang w:val="en-US" w:eastAsia="zh-CN"/>
              </w:rPr>
              <w:t>教学内容：讲解</w:t>
            </w:r>
            <w:r>
              <w:rPr>
                <w:rFonts w:hint="eastAsia" w:ascii="宋体" w:hAnsi="宋体" w:cs="宋体"/>
                <w:bCs/>
                <w:color w:val="auto"/>
                <w:kern w:val="0"/>
                <w:szCs w:val="21"/>
                <w:lang w:val="en-US" w:eastAsia="zh-CN"/>
              </w:rPr>
              <w:t>例文</w:t>
            </w:r>
            <w:r>
              <w:rPr>
                <w:rFonts w:hint="eastAsia" w:ascii="宋体" w:hAnsi="宋体" w:eastAsia="宋体" w:cs="宋体"/>
                <w:bCs/>
                <w:color w:val="auto"/>
                <w:kern w:val="0"/>
                <w:szCs w:val="21"/>
                <w:lang w:val="en-US" w:eastAsia="zh-CN"/>
              </w:rPr>
              <w:t>中的长难句；寻读关键信息；归纳主题词汇。</w:t>
            </w:r>
          </w:p>
        </w:tc>
      </w:tr>
      <w:tr w14:paraId="2CB2CF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9A7000F">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五</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实战模拟与速度强化</w:t>
            </w:r>
          </w:p>
          <w:p w14:paraId="1D7BA422">
            <w:pPr>
              <w:pStyle w:val="14"/>
              <w:widowControl w:val="0"/>
              <w:spacing w:line="240" w:lineRule="auto"/>
              <w:jc w:val="left"/>
              <w:rPr>
                <w:rFonts w:hint="eastAsia" w:ascii="宋体" w:hAnsi="宋体" w:eastAsia="宋体" w:cs="宋体"/>
                <w:bCs/>
                <w:color w:val="auto"/>
                <w:kern w:val="0"/>
                <w:szCs w:val="21"/>
                <w:lang w:val="en-US" w:eastAsia="zh-CN"/>
              </w:rPr>
            </w:pPr>
          </w:p>
          <w:p w14:paraId="41B6CAFF">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三级阅读文章限时模考与讲评</w:t>
            </w:r>
          </w:p>
          <w:p w14:paraId="1BE30919">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预期成果：学生在时间压力下综合运用阅读策略，提升解题效率和准确率。</w:t>
            </w:r>
          </w:p>
          <w:p w14:paraId="304ED185">
            <w:pPr>
              <w:pStyle w:val="14"/>
              <w:widowControl w:val="0"/>
              <w:spacing w:line="240" w:lineRule="auto"/>
              <w:jc w:val="left"/>
              <w:rPr>
                <w:rFonts w:hint="eastAsia" w:ascii="宋体" w:hAnsi="宋体" w:eastAsia="宋体" w:cs="宋体"/>
                <w:bCs/>
                <w:sz w:val="21"/>
                <w:szCs w:val="21"/>
                <w:lang w:val="en-US" w:eastAsia="zh-CN"/>
              </w:rPr>
            </w:pPr>
            <w:r>
              <w:rPr>
                <w:rFonts w:hint="eastAsia" w:ascii="宋体" w:hAnsi="宋体" w:eastAsia="宋体" w:cs="宋体"/>
                <w:bCs/>
                <w:color w:val="auto"/>
                <w:kern w:val="0"/>
                <w:szCs w:val="21"/>
                <w:lang w:val="en-US" w:eastAsia="zh-CN"/>
              </w:rPr>
              <w:t>教学内容：抽取2-3篇未学过的三级阅读文章进行限时套题训练；详细讲评文章和题目，分析错误原因。</w:t>
            </w:r>
          </w:p>
        </w:tc>
      </w:tr>
      <w:tr w14:paraId="696A08F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AA805BE">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六</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总结与复习</w:t>
            </w:r>
          </w:p>
          <w:p w14:paraId="6C640810">
            <w:pPr>
              <w:pStyle w:val="14"/>
              <w:widowControl w:val="0"/>
              <w:spacing w:line="240" w:lineRule="auto"/>
              <w:jc w:val="left"/>
              <w:rPr>
                <w:rFonts w:hint="eastAsia" w:ascii="宋体" w:hAnsi="宋体" w:eastAsia="宋体" w:cs="宋体"/>
                <w:bCs/>
                <w:color w:val="auto"/>
                <w:kern w:val="0"/>
                <w:szCs w:val="21"/>
                <w:lang w:val="en-US" w:eastAsia="zh-CN"/>
              </w:rPr>
            </w:pPr>
          </w:p>
          <w:p w14:paraId="4F2840E2">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知识体系梳理与复习</w:t>
            </w:r>
          </w:p>
          <w:p w14:paraId="3F805344">
            <w:pPr>
              <w:pStyle w:val="14"/>
              <w:widowControl w:val="0"/>
              <w:spacing w:line="240" w:lineRule="auto"/>
              <w:jc w:val="left"/>
              <w:rPr>
                <w:rFonts w:hint="eastAsia" w:ascii="宋体" w:hAnsi="宋体" w:eastAsia="宋体" w:cs="宋体"/>
                <w:bCs/>
                <w:color w:val="auto"/>
                <w:kern w:val="0"/>
                <w:szCs w:val="21"/>
                <w:lang w:val="en-US" w:eastAsia="zh-CN"/>
              </w:rPr>
            </w:pPr>
            <w:r>
              <w:rPr>
                <w:rFonts w:hint="eastAsia" w:ascii="宋体" w:hAnsi="宋体" w:eastAsia="宋体" w:cs="宋体"/>
                <w:bCs/>
                <w:color w:val="auto"/>
                <w:kern w:val="0"/>
                <w:szCs w:val="21"/>
                <w:lang w:val="en-US" w:eastAsia="zh-CN"/>
              </w:rPr>
              <w:t>预期成果：学生能回顾并整合所学全部阅读策略和主题知识，明确自身强弱项，制定下一阶段复习计划。</w:t>
            </w:r>
          </w:p>
          <w:p w14:paraId="52FF2D62">
            <w:pPr>
              <w:pStyle w:val="14"/>
              <w:widowControl w:val="0"/>
              <w:spacing w:line="240" w:lineRule="auto"/>
              <w:jc w:val="left"/>
              <w:rPr>
                <w:rFonts w:hint="eastAsia" w:ascii="宋体" w:hAnsi="宋体" w:eastAsia="宋体" w:cs="宋体"/>
                <w:bCs/>
                <w:sz w:val="21"/>
                <w:szCs w:val="21"/>
                <w:lang w:val="en-US" w:eastAsia="zh-CN"/>
              </w:rPr>
            </w:pPr>
            <w:r>
              <w:rPr>
                <w:rFonts w:hint="eastAsia" w:ascii="宋体" w:hAnsi="宋体" w:eastAsia="宋体" w:cs="宋体"/>
                <w:bCs/>
                <w:color w:val="auto"/>
                <w:kern w:val="0"/>
                <w:szCs w:val="21"/>
                <w:lang w:val="en-US" w:eastAsia="zh-CN"/>
              </w:rPr>
              <w:t>教学内容：系统梳理所有阅读技巧和题型攻略；提供个性化学习建议；介绍教材后续（四级阅读、模拟题）内容与使用方法。</w:t>
            </w:r>
          </w:p>
        </w:tc>
      </w:tr>
      <w:bookmarkEnd w:id="0"/>
      <w:bookmarkEnd w:id="1"/>
    </w:tbl>
    <w:p w14:paraId="7EE8267F">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40DB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78" w:type="dxa"/>
            <w:tcBorders>
              <w:top w:val="single" w:color="auto" w:sz="12" w:space="0"/>
              <w:left w:val="single" w:color="auto" w:sz="12" w:space="0"/>
              <w:tl2br w:val="single" w:color="auto" w:sz="4" w:space="0"/>
            </w:tcBorders>
          </w:tcPr>
          <w:p w14:paraId="22E7B3B3">
            <w:pPr>
              <w:pStyle w:val="13"/>
              <w:ind w:firstLine="489"/>
              <w:jc w:val="right"/>
              <w:rPr>
                <w:szCs w:val="16"/>
              </w:rPr>
            </w:pPr>
            <w:r>
              <w:rPr>
                <w:rFonts w:hint="eastAsia"/>
                <w:szCs w:val="16"/>
              </w:rPr>
              <w:t>课程目标</w:t>
            </w:r>
          </w:p>
          <w:p w14:paraId="267D8D99">
            <w:pPr>
              <w:pStyle w:val="13"/>
              <w:ind w:right="210"/>
              <w:jc w:val="left"/>
              <w:rPr>
                <w:rFonts w:hint="eastAsia"/>
                <w:szCs w:val="16"/>
              </w:rPr>
            </w:pPr>
          </w:p>
          <w:p w14:paraId="0A6CC539">
            <w:pPr>
              <w:pStyle w:val="13"/>
              <w:ind w:right="210"/>
              <w:jc w:val="left"/>
              <w:rPr>
                <w:szCs w:val="16"/>
              </w:rPr>
            </w:pPr>
            <w:r>
              <w:rPr>
                <w:rFonts w:hint="eastAsia"/>
                <w:szCs w:val="16"/>
              </w:rPr>
              <w:t>教学单元</w:t>
            </w:r>
          </w:p>
        </w:tc>
        <w:tc>
          <w:tcPr>
            <w:tcW w:w="1100" w:type="dxa"/>
            <w:tcBorders>
              <w:top w:val="single" w:color="auto" w:sz="12" w:space="0"/>
            </w:tcBorders>
            <w:vAlign w:val="center"/>
          </w:tcPr>
          <w:p w14:paraId="369341E1">
            <w:pPr>
              <w:pStyle w:val="13"/>
              <w:rPr>
                <w:rFonts w:hint="eastAsia" w:eastAsia="黑体"/>
                <w:szCs w:val="16"/>
                <w:lang w:val="en-US" w:eastAsia="zh-CN"/>
              </w:rPr>
            </w:pPr>
            <w:r>
              <w:rPr>
                <w:rFonts w:hint="default" w:ascii="Times New Roman" w:hAnsi="Times New Roman" w:cs="Times New Roman"/>
                <w:szCs w:val="16"/>
                <w:lang w:val="en-US" w:eastAsia="zh-CN"/>
              </w:rPr>
              <w:t>1</w:t>
            </w:r>
          </w:p>
        </w:tc>
        <w:tc>
          <w:tcPr>
            <w:tcW w:w="1100" w:type="dxa"/>
            <w:tcBorders>
              <w:top w:val="single" w:color="auto" w:sz="12" w:space="0"/>
            </w:tcBorders>
            <w:vAlign w:val="center"/>
          </w:tcPr>
          <w:p w14:paraId="3E898A36">
            <w:pPr>
              <w:pStyle w:val="13"/>
              <w:rPr>
                <w:rFonts w:hint="eastAsia" w:eastAsia="黑体"/>
                <w:szCs w:val="16"/>
                <w:lang w:val="en-US" w:eastAsia="zh-CN"/>
              </w:rPr>
            </w:pPr>
            <w:r>
              <w:rPr>
                <w:rFonts w:hint="default" w:ascii="Times New Roman" w:hAnsi="Times New Roman" w:cs="Times New Roman"/>
                <w:szCs w:val="16"/>
                <w:lang w:val="en-US" w:eastAsia="zh-CN"/>
              </w:rPr>
              <w:t>2</w:t>
            </w:r>
          </w:p>
        </w:tc>
        <w:tc>
          <w:tcPr>
            <w:tcW w:w="1100" w:type="dxa"/>
            <w:tcBorders>
              <w:top w:val="single" w:color="auto" w:sz="12" w:space="0"/>
            </w:tcBorders>
            <w:vAlign w:val="center"/>
          </w:tcPr>
          <w:p w14:paraId="168FB2D1">
            <w:pPr>
              <w:pStyle w:val="13"/>
              <w:rPr>
                <w:rFonts w:hint="eastAsia" w:eastAsia="黑体"/>
                <w:szCs w:val="16"/>
                <w:lang w:val="en-US" w:eastAsia="zh-CN"/>
              </w:rPr>
            </w:pPr>
            <w:r>
              <w:rPr>
                <w:rFonts w:hint="default" w:ascii="Times New Roman" w:hAnsi="Times New Roman" w:cs="Times New Roman"/>
                <w:szCs w:val="16"/>
                <w:lang w:val="en-US" w:eastAsia="zh-CN"/>
              </w:rPr>
              <w:t>3</w:t>
            </w:r>
          </w:p>
        </w:tc>
        <w:tc>
          <w:tcPr>
            <w:tcW w:w="1099" w:type="dxa"/>
            <w:tcBorders>
              <w:top w:val="single" w:color="auto" w:sz="12" w:space="0"/>
            </w:tcBorders>
            <w:vAlign w:val="center"/>
          </w:tcPr>
          <w:p w14:paraId="076BD9B8">
            <w:pPr>
              <w:pStyle w:val="13"/>
              <w:rPr>
                <w:rFonts w:hint="eastAsia" w:eastAsia="黑体"/>
                <w:szCs w:val="16"/>
                <w:lang w:val="en-US" w:eastAsia="zh-CN"/>
              </w:rPr>
            </w:pPr>
            <w:r>
              <w:rPr>
                <w:rFonts w:hint="default" w:ascii="Times New Roman" w:hAnsi="Times New Roman" w:cs="Times New Roman"/>
                <w:szCs w:val="16"/>
                <w:lang w:val="en-US" w:eastAsia="zh-CN"/>
              </w:rPr>
              <w:t>4</w:t>
            </w:r>
          </w:p>
        </w:tc>
        <w:tc>
          <w:tcPr>
            <w:tcW w:w="1099" w:type="dxa"/>
            <w:tcBorders>
              <w:top w:val="single" w:color="auto" w:sz="12" w:space="0"/>
            </w:tcBorders>
            <w:vAlign w:val="center"/>
          </w:tcPr>
          <w:p w14:paraId="3167396E">
            <w:pPr>
              <w:pStyle w:val="13"/>
              <w:rPr>
                <w:rFonts w:hint="eastAsia" w:eastAsia="黑体"/>
                <w:szCs w:val="16"/>
                <w:lang w:val="en-US" w:eastAsia="zh-CN"/>
              </w:rPr>
            </w:pPr>
            <w:r>
              <w:rPr>
                <w:rFonts w:hint="default" w:ascii="Times New Roman" w:hAnsi="Times New Roman" w:cs="Times New Roman"/>
                <w:szCs w:val="16"/>
                <w:lang w:val="en-US" w:eastAsia="zh-CN"/>
              </w:rPr>
              <w:t>5</w:t>
            </w:r>
          </w:p>
        </w:tc>
        <w:tc>
          <w:tcPr>
            <w:tcW w:w="1100" w:type="dxa"/>
            <w:tcBorders>
              <w:top w:val="single" w:color="auto" w:sz="12" w:space="0"/>
              <w:right w:val="single" w:color="auto" w:sz="12" w:space="0"/>
            </w:tcBorders>
            <w:vAlign w:val="center"/>
          </w:tcPr>
          <w:p w14:paraId="59534699">
            <w:pPr>
              <w:pStyle w:val="13"/>
              <w:rPr>
                <w:rFonts w:hint="eastAsia" w:eastAsia="黑体"/>
                <w:szCs w:val="16"/>
                <w:lang w:val="en-US" w:eastAsia="zh-CN"/>
              </w:rPr>
            </w:pPr>
            <w:r>
              <w:rPr>
                <w:rFonts w:hint="default" w:ascii="Times New Roman" w:hAnsi="Times New Roman" w:cs="Times New Roman"/>
                <w:szCs w:val="16"/>
                <w:lang w:val="en-US" w:eastAsia="zh-CN"/>
              </w:rPr>
              <w:t>6</w:t>
            </w:r>
          </w:p>
        </w:tc>
      </w:tr>
      <w:tr w14:paraId="2871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2795E3CA">
            <w:pPr>
              <w:pStyle w:val="14"/>
              <w:widowControl w:val="0"/>
              <w:spacing w:line="240" w:lineRule="auto"/>
              <w:jc w:val="left"/>
            </w:pPr>
            <w:r>
              <w:rPr>
                <w:rFonts w:hint="eastAsia" w:ascii="宋体" w:hAnsi="宋体" w:eastAsia="宋体" w:cs="宋体"/>
                <w:bCs/>
                <w:color w:val="auto"/>
                <w:szCs w:val="21"/>
                <w:lang w:eastAsia="zh-CN"/>
              </w:rPr>
              <w:t>第一课</w:t>
            </w:r>
            <w:r>
              <w:rPr>
                <w:rFonts w:hint="eastAsia" w:ascii="宋体" w:hAnsi="宋体" w:eastAsia="宋体" w:cs="宋体"/>
                <w:bCs/>
                <w:color w:val="auto"/>
                <w:szCs w:val="21"/>
                <w:lang w:val="en-US" w:eastAsia="zh-CN"/>
              </w:rPr>
              <w:t xml:space="preserve"> 专四阅读考试大纲解读与整体策略</w:t>
            </w:r>
          </w:p>
        </w:tc>
        <w:tc>
          <w:tcPr>
            <w:tcW w:w="1100" w:type="dxa"/>
            <w:vAlign w:val="center"/>
          </w:tcPr>
          <w:p w14:paraId="5EA6AFC8">
            <w:pPr>
              <w:pStyle w:val="14"/>
            </w:pPr>
            <w:r>
              <w:rPr>
                <w:rFonts w:hint="default" w:ascii="Arial" w:hAnsi="Arial" w:cs="Arial"/>
              </w:rPr>
              <w:t>√</w:t>
            </w:r>
          </w:p>
        </w:tc>
        <w:tc>
          <w:tcPr>
            <w:tcW w:w="1100" w:type="dxa"/>
            <w:vAlign w:val="center"/>
          </w:tcPr>
          <w:p w14:paraId="34041693">
            <w:pPr>
              <w:pStyle w:val="14"/>
            </w:pPr>
            <w:r>
              <w:rPr>
                <w:rFonts w:hint="default" w:ascii="Arial" w:hAnsi="Arial" w:cs="Arial"/>
              </w:rPr>
              <w:t>√</w:t>
            </w:r>
          </w:p>
        </w:tc>
        <w:tc>
          <w:tcPr>
            <w:tcW w:w="1100" w:type="dxa"/>
            <w:vAlign w:val="center"/>
          </w:tcPr>
          <w:p w14:paraId="2DEF14F3">
            <w:pPr>
              <w:pStyle w:val="14"/>
            </w:pPr>
          </w:p>
        </w:tc>
        <w:tc>
          <w:tcPr>
            <w:tcW w:w="1099" w:type="dxa"/>
            <w:vAlign w:val="center"/>
          </w:tcPr>
          <w:p w14:paraId="4E4EE2F1">
            <w:pPr>
              <w:pStyle w:val="14"/>
            </w:pPr>
          </w:p>
        </w:tc>
        <w:tc>
          <w:tcPr>
            <w:tcW w:w="1099" w:type="dxa"/>
            <w:vAlign w:val="center"/>
          </w:tcPr>
          <w:p w14:paraId="5AF337AA">
            <w:pPr>
              <w:pStyle w:val="14"/>
            </w:pPr>
            <w:r>
              <w:rPr>
                <w:rFonts w:hint="default" w:ascii="Arial" w:hAnsi="Arial" w:cs="Arial"/>
              </w:rPr>
              <w:t>√</w:t>
            </w:r>
          </w:p>
        </w:tc>
        <w:tc>
          <w:tcPr>
            <w:tcW w:w="1100" w:type="dxa"/>
            <w:tcBorders>
              <w:right w:val="single" w:color="auto" w:sz="12" w:space="0"/>
            </w:tcBorders>
            <w:vAlign w:val="center"/>
          </w:tcPr>
          <w:p w14:paraId="54264121">
            <w:pPr>
              <w:pStyle w:val="14"/>
            </w:pPr>
            <w:r>
              <w:rPr>
                <w:rFonts w:hint="default" w:ascii="Arial" w:hAnsi="Arial" w:cs="Arial"/>
              </w:rPr>
              <w:t>√</w:t>
            </w:r>
          </w:p>
        </w:tc>
      </w:tr>
      <w:tr w14:paraId="2558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54F00151">
            <w:pPr>
              <w:pStyle w:val="14"/>
              <w:widowControl w:val="0"/>
              <w:numPr>
                <w:ilvl w:val="0"/>
                <w:numId w:val="0"/>
              </w:numPr>
              <w:spacing w:line="240" w:lineRule="auto"/>
              <w:jc w:val="left"/>
            </w:pPr>
            <w:r>
              <w:rPr>
                <w:rFonts w:hint="eastAsia" w:ascii="宋体" w:hAnsi="宋体" w:cs="宋体"/>
                <w:bCs/>
                <w:color w:val="auto"/>
                <w:szCs w:val="21"/>
                <w:lang w:val="en-US" w:eastAsia="zh-CN"/>
              </w:rPr>
              <w:t xml:space="preserve">第二课 </w:t>
            </w:r>
            <w:r>
              <w:rPr>
                <w:rFonts w:hint="eastAsia" w:ascii="宋体" w:hAnsi="宋体" w:eastAsia="宋体" w:cs="宋体"/>
                <w:bCs/>
                <w:color w:val="auto"/>
                <w:kern w:val="0"/>
                <w:szCs w:val="21"/>
                <w:lang w:val="en-US" w:eastAsia="zh-CN"/>
              </w:rPr>
              <w:t>阅读的“预”操作——读前准备策略（Vorbereitung vor dem Lesen）</w:t>
            </w:r>
          </w:p>
        </w:tc>
        <w:tc>
          <w:tcPr>
            <w:tcW w:w="1100" w:type="dxa"/>
            <w:vAlign w:val="center"/>
          </w:tcPr>
          <w:p w14:paraId="2D50C887">
            <w:pPr>
              <w:pStyle w:val="14"/>
            </w:pPr>
            <w:r>
              <w:rPr>
                <w:rFonts w:hint="default" w:ascii="Arial" w:hAnsi="Arial" w:cs="Arial"/>
              </w:rPr>
              <w:t>√</w:t>
            </w:r>
          </w:p>
        </w:tc>
        <w:tc>
          <w:tcPr>
            <w:tcW w:w="1100" w:type="dxa"/>
            <w:vAlign w:val="center"/>
          </w:tcPr>
          <w:p w14:paraId="550BB312">
            <w:pPr>
              <w:pStyle w:val="14"/>
            </w:pPr>
            <w:r>
              <w:rPr>
                <w:rFonts w:hint="default" w:ascii="Arial" w:hAnsi="Arial" w:cs="Arial"/>
              </w:rPr>
              <w:t>√</w:t>
            </w:r>
          </w:p>
        </w:tc>
        <w:tc>
          <w:tcPr>
            <w:tcW w:w="1100" w:type="dxa"/>
            <w:vAlign w:val="center"/>
          </w:tcPr>
          <w:p w14:paraId="36528A67">
            <w:pPr>
              <w:pStyle w:val="14"/>
            </w:pPr>
            <w:r>
              <w:rPr>
                <w:rFonts w:hint="default" w:ascii="Arial" w:hAnsi="Arial" w:cs="Arial"/>
              </w:rPr>
              <w:t>√</w:t>
            </w:r>
          </w:p>
        </w:tc>
        <w:tc>
          <w:tcPr>
            <w:tcW w:w="1099" w:type="dxa"/>
            <w:vAlign w:val="center"/>
          </w:tcPr>
          <w:p w14:paraId="7C7F80C9">
            <w:pPr>
              <w:pStyle w:val="14"/>
            </w:pPr>
            <w:r>
              <w:rPr>
                <w:rFonts w:hint="default" w:ascii="Arial" w:hAnsi="Arial" w:cs="Arial"/>
              </w:rPr>
              <w:t>√</w:t>
            </w:r>
          </w:p>
        </w:tc>
        <w:tc>
          <w:tcPr>
            <w:tcW w:w="1099" w:type="dxa"/>
            <w:vAlign w:val="center"/>
          </w:tcPr>
          <w:p w14:paraId="5844770F">
            <w:pPr>
              <w:pStyle w:val="14"/>
            </w:pPr>
            <w:r>
              <w:rPr>
                <w:rFonts w:hint="default" w:ascii="Arial" w:hAnsi="Arial" w:cs="Arial"/>
              </w:rPr>
              <w:t>√</w:t>
            </w:r>
          </w:p>
        </w:tc>
        <w:tc>
          <w:tcPr>
            <w:tcW w:w="1100" w:type="dxa"/>
            <w:tcBorders>
              <w:right w:val="single" w:color="auto" w:sz="12" w:space="0"/>
            </w:tcBorders>
            <w:vAlign w:val="center"/>
          </w:tcPr>
          <w:p w14:paraId="074E0034">
            <w:pPr>
              <w:pStyle w:val="14"/>
            </w:pPr>
            <w:r>
              <w:rPr>
                <w:rFonts w:hint="default" w:ascii="Arial" w:hAnsi="Arial" w:cs="Arial"/>
              </w:rPr>
              <w:t>√</w:t>
            </w:r>
          </w:p>
        </w:tc>
      </w:tr>
      <w:tr w14:paraId="6AAF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3E26672F">
            <w:pPr>
              <w:pStyle w:val="14"/>
              <w:widowControl w:val="0"/>
              <w:spacing w:line="240" w:lineRule="auto"/>
              <w:jc w:val="left"/>
            </w:pPr>
            <w:r>
              <w:rPr>
                <w:rFonts w:hint="eastAsia" w:ascii="宋体" w:hAnsi="宋体" w:eastAsia="宋体" w:cs="宋体"/>
                <w:bCs/>
                <w:color w:val="auto"/>
                <w:szCs w:val="21"/>
                <w:lang w:eastAsia="zh-CN"/>
              </w:rPr>
              <w:t>第三课</w:t>
            </w:r>
            <w:r>
              <w:rPr>
                <w:rFonts w:hint="eastAsia" w:ascii="宋体" w:hAnsi="宋体" w:cs="宋体"/>
                <w:bCs/>
                <w:color w:val="auto"/>
                <w:szCs w:val="21"/>
                <w:lang w:val="en-US" w:eastAsia="zh-CN"/>
              </w:rPr>
              <w:t xml:space="preserve"> </w:t>
            </w:r>
            <w:r>
              <w:rPr>
                <w:rFonts w:hint="eastAsia" w:ascii="宋体" w:hAnsi="宋体" w:eastAsia="宋体" w:cs="宋体"/>
                <w:bCs/>
                <w:color w:val="auto"/>
                <w:kern w:val="0"/>
                <w:szCs w:val="21"/>
                <w:lang w:val="en-US" w:eastAsia="zh-CN"/>
              </w:rPr>
              <w:t>精读策略训练（Sequenzielles / gründliches Lesen）</w:t>
            </w:r>
          </w:p>
        </w:tc>
        <w:tc>
          <w:tcPr>
            <w:tcW w:w="1100" w:type="dxa"/>
            <w:vAlign w:val="center"/>
          </w:tcPr>
          <w:p w14:paraId="5B0DAF03">
            <w:pPr>
              <w:pStyle w:val="14"/>
            </w:pPr>
            <w:r>
              <w:rPr>
                <w:rFonts w:hint="default" w:ascii="Arial" w:hAnsi="Arial" w:cs="Arial"/>
              </w:rPr>
              <w:t>√</w:t>
            </w:r>
          </w:p>
        </w:tc>
        <w:tc>
          <w:tcPr>
            <w:tcW w:w="1100" w:type="dxa"/>
            <w:vAlign w:val="center"/>
          </w:tcPr>
          <w:p w14:paraId="5E6C22F8">
            <w:pPr>
              <w:pStyle w:val="14"/>
            </w:pPr>
            <w:r>
              <w:rPr>
                <w:rFonts w:hint="default" w:ascii="Arial" w:hAnsi="Arial" w:cs="Arial"/>
              </w:rPr>
              <w:t>√</w:t>
            </w:r>
          </w:p>
        </w:tc>
        <w:tc>
          <w:tcPr>
            <w:tcW w:w="1100" w:type="dxa"/>
            <w:vAlign w:val="center"/>
          </w:tcPr>
          <w:p w14:paraId="2FF9F432">
            <w:pPr>
              <w:pStyle w:val="14"/>
            </w:pPr>
            <w:r>
              <w:rPr>
                <w:rFonts w:hint="default" w:ascii="Arial" w:hAnsi="Arial" w:cs="Arial"/>
              </w:rPr>
              <w:t>√</w:t>
            </w:r>
          </w:p>
        </w:tc>
        <w:tc>
          <w:tcPr>
            <w:tcW w:w="1099" w:type="dxa"/>
            <w:vAlign w:val="center"/>
          </w:tcPr>
          <w:p w14:paraId="4DB3747B">
            <w:pPr>
              <w:pStyle w:val="14"/>
            </w:pPr>
            <w:r>
              <w:rPr>
                <w:rFonts w:hint="default" w:ascii="Arial" w:hAnsi="Arial" w:cs="Arial"/>
              </w:rPr>
              <w:t>√</w:t>
            </w:r>
          </w:p>
        </w:tc>
        <w:tc>
          <w:tcPr>
            <w:tcW w:w="1099" w:type="dxa"/>
            <w:vAlign w:val="center"/>
          </w:tcPr>
          <w:p w14:paraId="30FABFC3">
            <w:pPr>
              <w:pStyle w:val="14"/>
            </w:pPr>
            <w:r>
              <w:rPr>
                <w:rFonts w:hint="default" w:ascii="Arial" w:hAnsi="Arial" w:cs="Arial"/>
              </w:rPr>
              <w:t>√</w:t>
            </w:r>
          </w:p>
        </w:tc>
        <w:tc>
          <w:tcPr>
            <w:tcW w:w="1100" w:type="dxa"/>
            <w:tcBorders>
              <w:right w:val="single" w:color="auto" w:sz="12" w:space="0"/>
            </w:tcBorders>
            <w:vAlign w:val="center"/>
          </w:tcPr>
          <w:p w14:paraId="276F8530">
            <w:pPr>
              <w:pStyle w:val="14"/>
            </w:pPr>
            <w:r>
              <w:rPr>
                <w:rFonts w:hint="default" w:ascii="Arial" w:hAnsi="Arial" w:cs="Arial"/>
              </w:rPr>
              <w:t>√</w:t>
            </w:r>
          </w:p>
        </w:tc>
      </w:tr>
      <w:tr w14:paraId="4ABD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3C8447D2">
            <w:pPr>
              <w:pStyle w:val="14"/>
              <w:widowControl w:val="0"/>
              <w:numPr>
                <w:ilvl w:val="0"/>
                <w:numId w:val="0"/>
              </w:numPr>
              <w:spacing w:line="240" w:lineRule="auto"/>
              <w:ind w:leftChars="0"/>
              <w:jc w:val="left"/>
              <w:rPr>
                <w:rFonts w:hint="eastAsia" w:ascii="宋体" w:hAnsi="宋体" w:eastAsia="宋体" w:cs="宋体"/>
                <w:color w:val="000000"/>
                <w:sz w:val="21"/>
                <w:szCs w:val="21"/>
              </w:rPr>
            </w:pPr>
            <w:r>
              <w:rPr>
                <w:rFonts w:hint="eastAsia" w:ascii="宋体" w:hAnsi="宋体" w:cs="宋体"/>
                <w:bCs/>
                <w:color w:val="auto"/>
                <w:szCs w:val="21"/>
                <w:lang w:val="en-US" w:eastAsia="zh-CN"/>
              </w:rPr>
              <w:t xml:space="preserve">第四课 </w:t>
            </w:r>
            <w:r>
              <w:rPr>
                <w:rFonts w:hint="eastAsia" w:ascii="宋体" w:hAnsi="宋体" w:eastAsia="宋体" w:cs="宋体"/>
                <w:bCs/>
                <w:color w:val="auto"/>
                <w:kern w:val="0"/>
                <w:szCs w:val="21"/>
                <w:lang w:val="en-US" w:eastAsia="zh-CN"/>
              </w:rPr>
              <w:t>泛读策略训练（Kursorisches / überfliegendes Lesen）</w:t>
            </w:r>
          </w:p>
        </w:tc>
        <w:tc>
          <w:tcPr>
            <w:tcW w:w="1100" w:type="dxa"/>
            <w:vAlign w:val="center"/>
          </w:tcPr>
          <w:p w14:paraId="0EAC1CBB">
            <w:pPr>
              <w:pStyle w:val="14"/>
            </w:pPr>
            <w:r>
              <w:rPr>
                <w:rFonts w:hint="default" w:ascii="Arial" w:hAnsi="Arial" w:cs="Arial"/>
              </w:rPr>
              <w:t>√</w:t>
            </w:r>
          </w:p>
        </w:tc>
        <w:tc>
          <w:tcPr>
            <w:tcW w:w="1100" w:type="dxa"/>
            <w:vAlign w:val="center"/>
          </w:tcPr>
          <w:p w14:paraId="5775DEC7">
            <w:pPr>
              <w:pStyle w:val="14"/>
            </w:pPr>
            <w:r>
              <w:rPr>
                <w:rFonts w:hint="default" w:ascii="Arial" w:hAnsi="Arial" w:cs="Arial"/>
              </w:rPr>
              <w:t>√</w:t>
            </w:r>
          </w:p>
        </w:tc>
        <w:tc>
          <w:tcPr>
            <w:tcW w:w="1100" w:type="dxa"/>
            <w:vAlign w:val="center"/>
          </w:tcPr>
          <w:p w14:paraId="43383969">
            <w:pPr>
              <w:pStyle w:val="14"/>
            </w:pPr>
          </w:p>
        </w:tc>
        <w:tc>
          <w:tcPr>
            <w:tcW w:w="1099" w:type="dxa"/>
            <w:vAlign w:val="center"/>
          </w:tcPr>
          <w:p w14:paraId="308D817D">
            <w:pPr>
              <w:pStyle w:val="14"/>
            </w:pPr>
          </w:p>
        </w:tc>
        <w:tc>
          <w:tcPr>
            <w:tcW w:w="1099" w:type="dxa"/>
            <w:vAlign w:val="center"/>
          </w:tcPr>
          <w:p w14:paraId="5D32F55B">
            <w:pPr>
              <w:pStyle w:val="14"/>
            </w:pPr>
            <w:r>
              <w:rPr>
                <w:rFonts w:hint="default" w:ascii="Arial" w:hAnsi="Arial" w:cs="Arial"/>
              </w:rPr>
              <w:t>√</w:t>
            </w:r>
          </w:p>
        </w:tc>
        <w:tc>
          <w:tcPr>
            <w:tcW w:w="1100" w:type="dxa"/>
            <w:tcBorders>
              <w:right w:val="single" w:color="auto" w:sz="12" w:space="0"/>
            </w:tcBorders>
            <w:vAlign w:val="center"/>
          </w:tcPr>
          <w:p w14:paraId="3ACC08CA">
            <w:pPr>
              <w:pStyle w:val="14"/>
            </w:pPr>
            <w:r>
              <w:rPr>
                <w:rFonts w:hint="default" w:ascii="Arial" w:hAnsi="Arial" w:cs="Arial"/>
              </w:rPr>
              <w:t>√</w:t>
            </w:r>
          </w:p>
        </w:tc>
      </w:tr>
      <w:tr w14:paraId="0537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449FC674">
            <w:pPr>
              <w:pStyle w:val="14"/>
              <w:widowControl w:val="0"/>
              <w:spacing w:line="240" w:lineRule="auto"/>
              <w:jc w:val="left"/>
              <w:rPr>
                <w:rFonts w:hint="default" w:ascii="Times New Roman" w:hAnsi="Times New Roman" w:cs="Times New Roman"/>
                <w:color w:val="000000"/>
                <w:sz w:val="21"/>
                <w:szCs w:val="21"/>
                <w:lang w:val="en-US" w:eastAsia="zh-CN"/>
              </w:rPr>
            </w:pPr>
            <w:r>
              <w:rPr>
                <w:rFonts w:hint="eastAsia" w:ascii="宋体" w:hAnsi="宋体" w:eastAsia="宋体" w:cs="宋体"/>
                <w:bCs/>
                <w:color w:val="auto"/>
                <w:szCs w:val="21"/>
                <w:lang w:eastAsia="zh-CN"/>
              </w:rPr>
              <w:t>第五课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精准打击——选择性阅读（Punktuelles / selektives Lesen）</w:t>
            </w:r>
          </w:p>
        </w:tc>
        <w:tc>
          <w:tcPr>
            <w:tcW w:w="1100" w:type="dxa"/>
            <w:vAlign w:val="center"/>
          </w:tcPr>
          <w:p w14:paraId="5AF4B9DB">
            <w:pPr>
              <w:pStyle w:val="14"/>
            </w:pPr>
            <w:r>
              <w:rPr>
                <w:rFonts w:hint="default" w:ascii="Arial" w:hAnsi="Arial" w:cs="Arial"/>
              </w:rPr>
              <w:t>√</w:t>
            </w:r>
          </w:p>
        </w:tc>
        <w:tc>
          <w:tcPr>
            <w:tcW w:w="1100" w:type="dxa"/>
            <w:vAlign w:val="center"/>
          </w:tcPr>
          <w:p w14:paraId="56F04822">
            <w:pPr>
              <w:pStyle w:val="14"/>
            </w:pPr>
            <w:r>
              <w:rPr>
                <w:rFonts w:hint="default" w:ascii="Arial" w:hAnsi="Arial" w:cs="Arial"/>
              </w:rPr>
              <w:t>√</w:t>
            </w:r>
          </w:p>
        </w:tc>
        <w:tc>
          <w:tcPr>
            <w:tcW w:w="1100" w:type="dxa"/>
            <w:vAlign w:val="center"/>
          </w:tcPr>
          <w:p w14:paraId="54CFA30C">
            <w:pPr>
              <w:pStyle w:val="14"/>
            </w:pPr>
          </w:p>
        </w:tc>
        <w:tc>
          <w:tcPr>
            <w:tcW w:w="1099" w:type="dxa"/>
            <w:vAlign w:val="center"/>
          </w:tcPr>
          <w:p w14:paraId="264E2EA6">
            <w:pPr>
              <w:pStyle w:val="14"/>
            </w:pPr>
          </w:p>
        </w:tc>
        <w:tc>
          <w:tcPr>
            <w:tcW w:w="1099" w:type="dxa"/>
            <w:vAlign w:val="center"/>
          </w:tcPr>
          <w:p w14:paraId="026EC911">
            <w:pPr>
              <w:pStyle w:val="14"/>
            </w:pPr>
            <w:r>
              <w:rPr>
                <w:rFonts w:hint="default" w:ascii="Arial" w:hAnsi="Arial" w:cs="Arial"/>
              </w:rPr>
              <w:t>√</w:t>
            </w:r>
          </w:p>
        </w:tc>
        <w:tc>
          <w:tcPr>
            <w:tcW w:w="1100" w:type="dxa"/>
            <w:tcBorders>
              <w:right w:val="single" w:color="auto" w:sz="12" w:space="0"/>
            </w:tcBorders>
            <w:vAlign w:val="center"/>
          </w:tcPr>
          <w:p w14:paraId="5EA0B003">
            <w:pPr>
              <w:pStyle w:val="14"/>
            </w:pPr>
            <w:r>
              <w:rPr>
                <w:rFonts w:hint="default" w:ascii="Arial" w:hAnsi="Arial" w:cs="Arial"/>
              </w:rPr>
              <w:t>√</w:t>
            </w:r>
          </w:p>
        </w:tc>
      </w:tr>
      <w:tr w14:paraId="5549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36C578DE">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第六课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快速阅读策略（Lernendes Lesen）与综合应用</w:t>
            </w:r>
          </w:p>
        </w:tc>
        <w:tc>
          <w:tcPr>
            <w:tcW w:w="1100" w:type="dxa"/>
            <w:vAlign w:val="center"/>
          </w:tcPr>
          <w:p w14:paraId="0A8D0D6C">
            <w:pPr>
              <w:pStyle w:val="14"/>
            </w:pPr>
            <w:r>
              <w:rPr>
                <w:rFonts w:hint="default" w:ascii="Arial" w:hAnsi="Arial" w:cs="Arial"/>
              </w:rPr>
              <w:t>√</w:t>
            </w:r>
          </w:p>
        </w:tc>
        <w:tc>
          <w:tcPr>
            <w:tcW w:w="1100" w:type="dxa"/>
            <w:vAlign w:val="center"/>
          </w:tcPr>
          <w:p w14:paraId="61593A34">
            <w:pPr>
              <w:pStyle w:val="14"/>
            </w:pPr>
            <w:r>
              <w:rPr>
                <w:rFonts w:hint="default" w:ascii="Arial" w:hAnsi="Arial" w:cs="Arial"/>
              </w:rPr>
              <w:t>√</w:t>
            </w:r>
          </w:p>
        </w:tc>
        <w:tc>
          <w:tcPr>
            <w:tcW w:w="1100" w:type="dxa"/>
            <w:vAlign w:val="center"/>
          </w:tcPr>
          <w:p w14:paraId="5037C2C5">
            <w:pPr>
              <w:pStyle w:val="14"/>
            </w:pPr>
            <w:r>
              <w:rPr>
                <w:rFonts w:hint="default" w:ascii="Arial" w:hAnsi="Arial" w:cs="Arial"/>
              </w:rPr>
              <w:t>√</w:t>
            </w:r>
          </w:p>
        </w:tc>
        <w:tc>
          <w:tcPr>
            <w:tcW w:w="1099" w:type="dxa"/>
            <w:vAlign w:val="center"/>
          </w:tcPr>
          <w:p w14:paraId="28E4F0B7">
            <w:pPr>
              <w:pStyle w:val="14"/>
            </w:pPr>
            <w:r>
              <w:rPr>
                <w:rFonts w:hint="default" w:ascii="Arial" w:hAnsi="Arial" w:cs="Arial"/>
              </w:rPr>
              <w:t>√</w:t>
            </w:r>
          </w:p>
        </w:tc>
        <w:tc>
          <w:tcPr>
            <w:tcW w:w="1099" w:type="dxa"/>
            <w:vAlign w:val="center"/>
          </w:tcPr>
          <w:p w14:paraId="6349B9D9">
            <w:pPr>
              <w:pStyle w:val="14"/>
            </w:pPr>
            <w:r>
              <w:rPr>
                <w:rFonts w:hint="default" w:ascii="Arial" w:hAnsi="Arial" w:cs="Arial"/>
              </w:rPr>
              <w:t>√</w:t>
            </w:r>
          </w:p>
        </w:tc>
        <w:tc>
          <w:tcPr>
            <w:tcW w:w="1100" w:type="dxa"/>
            <w:tcBorders>
              <w:right w:val="single" w:color="auto" w:sz="12" w:space="0"/>
            </w:tcBorders>
            <w:vAlign w:val="center"/>
          </w:tcPr>
          <w:p w14:paraId="2964A0CF">
            <w:pPr>
              <w:pStyle w:val="14"/>
            </w:pPr>
            <w:r>
              <w:rPr>
                <w:rFonts w:hint="default" w:ascii="Arial" w:hAnsi="Arial" w:cs="Arial"/>
              </w:rPr>
              <w:t>√</w:t>
            </w:r>
          </w:p>
        </w:tc>
      </w:tr>
      <w:tr w14:paraId="4A7E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49FB76B6">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第七课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直接信息题（细节题）解题策略</w:t>
            </w:r>
          </w:p>
        </w:tc>
        <w:tc>
          <w:tcPr>
            <w:tcW w:w="1100" w:type="dxa"/>
            <w:vAlign w:val="center"/>
          </w:tcPr>
          <w:p w14:paraId="2D32A4B5">
            <w:pPr>
              <w:pStyle w:val="14"/>
            </w:pPr>
            <w:r>
              <w:rPr>
                <w:rFonts w:hint="default" w:ascii="Arial" w:hAnsi="Arial" w:cs="Arial"/>
              </w:rPr>
              <w:t>√</w:t>
            </w:r>
          </w:p>
        </w:tc>
        <w:tc>
          <w:tcPr>
            <w:tcW w:w="1100" w:type="dxa"/>
            <w:vAlign w:val="center"/>
          </w:tcPr>
          <w:p w14:paraId="0ADECEEB">
            <w:pPr>
              <w:pStyle w:val="14"/>
            </w:pPr>
            <w:r>
              <w:rPr>
                <w:rFonts w:hint="default" w:ascii="Arial" w:hAnsi="Arial" w:cs="Arial"/>
              </w:rPr>
              <w:t>√</w:t>
            </w:r>
          </w:p>
        </w:tc>
        <w:tc>
          <w:tcPr>
            <w:tcW w:w="1100" w:type="dxa"/>
            <w:vAlign w:val="center"/>
          </w:tcPr>
          <w:p w14:paraId="5FF115D4">
            <w:pPr>
              <w:pStyle w:val="14"/>
            </w:pPr>
          </w:p>
        </w:tc>
        <w:tc>
          <w:tcPr>
            <w:tcW w:w="1099" w:type="dxa"/>
            <w:vAlign w:val="center"/>
          </w:tcPr>
          <w:p w14:paraId="72A2A618">
            <w:pPr>
              <w:pStyle w:val="14"/>
            </w:pPr>
          </w:p>
        </w:tc>
        <w:tc>
          <w:tcPr>
            <w:tcW w:w="1099" w:type="dxa"/>
            <w:vAlign w:val="center"/>
          </w:tcPr>
          <w:p w14:paraId="4C9AE8B9">
            <w:pPr>
              <w:pStyle w:val="14"/>
            </w:pPr>
            <w:r>
              <w:rPr>
                <w:rFonts w:hint="default" w:ascii="Arial" w:hAnsi="Arial" w:cs="Arial"/>
              </w:rPr>
              <w:t>√</w:t>
            </w:r>
          </w:p>
        </w:tc>
        <w:tc>
          <w:tcPr>
            <w:tcW w:w="1100" w:type="dxa"/>
            <w:tcBorders>
              <w:right w:val="single" w:color="auto" w:sz="12" w:space="0"/>
            </w:tcBorders>
            <w:vAlign w:val="center"/>
          </w:tcPr>
          <w:p w14:paraId="2CA84D08">
            <w:pPr>
              <w:pStyle w:val="14"/>
            </w:pPr>
            <w:r>
              <w:rPr>
                <w:rFonts w:hint="default" w:ascii="Arial" w:hAnsi="Arial" w:cs="Arial"/>
              </w:rPr>
              <w:t>√</w:t>
            </w:r>
          </w:p>
        </w:tc>
      </w:tr>
      <w:tr w14:paraId="0037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66D287C2">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第八课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推理判断</w:t>
            </w:r>
            <w:r>
              <w:rPr>
                <w:rFonts w:hint="eastAsia" w:ascii="宋体" w:hAnsi="宋体" w:cs="宋体"/>
                <w:bCs/>
                <w:color w:val="auto"/>
                <w:kern w:val="0"/>
                <w:szCs w:val="21"/>
                <w:lang w:val="en-US" w:eastAsia="zh-CN"/>
              </w:rPr>
              <w:t>题</w:t>
            </w:r>
            <w:r>
              <w:rPr>
                <w:rFonts w:hint="eastAsia" w:ascii="宋体" w:hAnsi="宋体" w:eastAsia="宋体" w:cs="宋体"/>
                <w:bCs/>
                <w:color w:val="auto"/>
                <w:kern w:val="0"/>
                <w:szCs w:val="21"/>
                <w:lang w:val="en-US" w:eastAsia="zh-CN"/>
              </w:rPr>
              <w:t>（Schlussfolgerungsfragen）解题策略</w:t>
            </w:r>
          </w:p>
        </w:tc>
        <w:tc>
          <w:tcPr>
            <w:tcW w:w="1100" w:type="dxa"/>
            <w:vAlign w:val="center"/>
          </w:tcPr>
          <w:p w14:paraId="430D9588">
            <w:pPr>
              <w:pStyle w:val="14"/>
            </w:pPr>
            <w:r>
              <w:rPr>
                <w:rFonts w:hint="default" w:ascii="Arial" w:hAnsi="Arial" w:cs="Arial"/>
              </w:rPr>
              <w:t>√</w:t>
            </w:r>
          </w:p>
        </w:tc>
        <w:tc>
          <w:tcPr>
            <w:tcW w:w="1100" w:type="dxa"/>
            <w:vAlign w:val="center"/>
          </w:tcPr>
          <w:p w14:paraId="66420EF7">
            <w:pPr>
              <w:pStyle w:val="14"/>
            </w:pPr>
            <w:r>
              <w:rPr>
                <w:rFonts w:hint="default" w:ascii="Arial" w:hAnsi="Arial" w:cs="Arial"/>
              </w:rPr>
              <w:t>√</w:t>
            </w:r>
          </w:p>
        </w:tc>
        <w:tc>
          <w:tcPr>
            <w:tcW w:w="1100" w:type="dxa"/>
            <w:vAlign w:val="center"/>
          </w:tcPr>
          <w:p w14:paraId="7BC49C8E">
            <w:pPr>
              <w:pStyle w:val="14"/>
            </w:pPr>
            <w:r>
              <w:rPr>
                <w:rFonts w:hint="default" w:ascii="Arial" w:hAnsi="Arial" w:cs="Arial"/>
              </w:rPr>
              <w:t>√</w:t>
            </w:r>
          </w:p>
        </w:tc>
        <w:tc>
          <w:tcPr>
            <w:tcW w:w="1099" w:type="dxa"/>
            <w:vAlign w:val="center"/>
          </w:tcPr>
          <w:p w14:paraId="0C4FF300">
            <w:pPr>
              <w:pStyle w:val="14"/>
            </w:pPr>
            <w:r>
              <w:rPr>
                <w:rFonts w:hint="default" w:ascii="Arial" w:hAnsi="Arial" w:cs="Arial"/>
              </w:rPr>
              <w:t>√</w:t>
            </w:r>
          </w:p>
        </w:tc>
        <w:tc>
          <w:tcPr>
            <w:tcW w:w="1099" w:type="dxa"/>
            <w:vAlign w:val="center"/>
          </w:tcPr>
          <w:p w14:paraId="2031107B">
            <w:pPr>
              <w:pStyle w:val="14"/>
            </w:pPr>
            <w:r>
              <w:rPr>
                <w:rFonts w:hint="default" w:ascii="Arial" w:hAnsi="Arial" w:cs="Arial"/>
              </w:rPr>
              <w:t>√</w:t>
            </w:r>
          </w:p>
        </w:tc>
        <w:tc>
          <w:tcPr>
            <w:tcW w:w="1100" w:type="dxa"/>
            <w:tcBorders>
              <w:right w:val="single" w:color="auto" w:sz="12" w:space="0"/>
            </w:tcBorders>
            <w:vAlign w:val="center"/>
          </w:tcPr>
          <w:p w14:paraId="142B1DAD">
            <w:pPr>
              <w:pStyle w:val="14"/>
            </w:pPr>
            <w:r>
              <w:rPr>
                <w:rFonts w:hint="default" w:ascii="Arial" w:hAnsi="Arial" w:cs="Arial"/>
              </w:rPr>
              <w:t>√</w:t>
            </w:r>
          </w:p>
        </w:tc>
      </w:tr>
      <w:tr w14:paraId="25B8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4FD3DCFA">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w:t>
            </w:r>
            <w:r>
              <w:rPr>
                <w:rFonts w:hint="eastAsia" w:ascii="宋体" w:hAnsi="宋体" w:cs="宋体"/>
                <w:bCs/>
                <w:color w:val="auto"/>
                <w:szCs w:val="21"/>
                <w:lang w:val="en-US" w:eastAsia="zh-CN"/>
              </w:rPr>
              <w:t>九</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观点态度题（Stellungnahme / Meinung）解题策略</w:t>
            </w:r>
          </w:p>
        </w:tc>
        <w:tc>
          <w:tcPr>
            <w:tcW w:w="1100" w:type="dxa"/>
            <w:vAlign w:val="center"/>
          </w:tcPr>
          <w:p w14:paraId="243155DF">
            <w:pPr>
              <w:pStyle w:val="14"/>
            </w:pPr>
            <w:r>
              <w:rPr>
                <w:rFonts w:hint="default" w:ascii="Arial" w:hAnsi="Arial" w:cs="Arial"/>
              </w:rPr>
              <w:t>√</w:t>
            </w:r>
          </w:p>
        </w:tc>
        <w:tc>
          <w:tcPr>
            <w:tcW w:w="1100" w:type="dxa"/>
            <w:vAlign w:val="center"/>
          </w:tcPr>
          <w:p w14:paraId="6A65D40D">
            <w:pPr>
              <w:pStyle w:val="14"/>
            </w:pPr>
            <w:r>
              <w:rPr>
                <w:rFonts w:hint="default" w:ascii="Arial" w:hAnsi="Arial" w:cs="Arial"/>
              </w:rPr>
              <w:t>√</w:t>
            </w:r>
          </w:p>
        </w:tc>
        <w:tc>
          <w:tcPr>
            <w:tcW w:w="1100" w:type="dxa"/>
            <w:vAlign w:val="center"/>
          </w:tcPr>
          <w:p w14:paraId="3C5DE257">
            <w:pPr>
              <w:pStyle w:val="14"/>
            </w:pPr>
          </w:p>
        </w:tc>
        <w:tc>
          <w:tcPr>
            <w:tcW w:w="1099" w:type="dxa"/>
            <w:vAlign w:val="center"/>
          </w:tcPr>
          <w:p w14:paraId="48F5AC23">
            <w:pPr>
              <w:pStyle w:val="14"/>
            </w:pPr>
          </w:p>
        </w:tc>
        <w:tc>
          <w:tcPr>
            <w:tcW w:w="1099" w:type="dxa"/>
            <w:vAlign w:val="center"/>
          </w:tcPr>
          <w:p w14:paraId="146814A6">
            <w:pPr>
              <w:pStyle w:val="14"/>
            </w:pPr>
            <w:r>
              <w:rPr>
                <w:rFonts w:hint="default" w:ascii="Arial" w:hAnsi="Arial" w:cs="Arial"/>
              </w:rPr>
              <w:t>√</w:t>
            </w:r>
          </w:p>
        </w:tc>
        <w:tc>
          <w:tcPr>
            <w:tcW w:w="1100" w:type="dxa"/>
            <w:tcBorders>
              <w:right w:val="single" w:color="auto" w:sz="12" w:space="0"/>
            </w:tcBorders>
            <w:vAlign w:val="center"/>
          </w:tcPr>
          <w:p w14:paraId="242D6AFD">
            <w:pPr>
              <w:pStyle w:val="14"/>
            </w:pPr>
            <w:r>
              <w:rPr>
                <w:rFonts w:hint="default" w:ascii="Arial" w:hAnsi="Arial" w:cs="Arial"/>
              </w:rPr>
              <w:t>√</w:t>
            </w:r>
          </w:p>
        </w:tc>
      </w:tr>
      <w:tr w14:paraId="1B8E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3ADD120B">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val="en-US" w:eastAsia="zh-CN"/>
              </w:rPr>
              <w:t>第</w:t>
            </w:r>
            <w:r>
              <w:rPr>
                <w:rFonts w:hint="eastAsia" w:ascii="宋体" w:hAnsi="宋体" w:cs="宋体"/>
                <w:bCs/>
                <w:color w:val="auto"/>
                <w:szCs w:val="21"/>
                <w:lang w:val="en-US" w:eastAsia="zh-CN"/>
              </w:rPr>
              <w:t>十</w:t>
            </w:r>
            <w:r>
              <w:rPr>
                <w:rFonts w:hint="eastAsia" w:ascii="宋体" w:hAnsi="宋体" w:eastAsia="宋体" w:cs="宋体"/>
                <w:bCs/>
                <w:color w:val="auto"/>
                <w:szCs w:val="21"/>
                <w:lang w:val="en-US" w:eastAsia="zh-CN"/>
              </w:rPr>
              <w:t xml:space="preserve">课 </w:t>
            </w:r>
            <w:r>
              <w:rPr>
                <w:rFonts w:hint="eastAsia" w:ascii="宋体" w:hAnsi="宋体" w:eastAsia="宋体" w:cs="宋体"/>
                <w:bCs/>
                <w:color w:val="auto"/>
                <w:kern w:val="0"/>
                <w:szCs w:val="21"/>
                <w:lang w:val="en-US" w:eastAsia="zh-CN"/>
              </w:rPr>
              <w:t>语义理解题解题策略</w:t>
            </w:r>
          </w:p>
        </w:tc>
        <w:tc>
          <w:tcPr>
            <w:tcW w:w="1100" w:type="dxa"/>
            <w:vAlign w:val="center"/>
          </w:tcPr>
          <w:p w14:paraId="266CE879">
            <w:pPr>
              <w:pStyle w:val="14"/>
            </w:pPr>
            <w:r>
              <w:rPr>
                <w:rFonts w:hint="default" w:ascii="Arial" w:hAnsi="Arial" w:cs="Arial"/>
              </w:rPr>
              <w:t>√</w:t>
            </w:r>
          </w:p>
        </w:tc>
        <w:tc>
          <w:tcPr>
            <w:tcW w:w="1100" w:type="dxa"/>
            <w:vAlign w:val="center"/>
          </w:tcPr>
          <w:p w14:paraId="58CFF51D">
            <w:pPr>
              <w:pStyle w:val="14"/>
            </w:pPr>
            <w:r>
              <w:rPr>
                <w:rFonts w:hint="default" w:ascii="Arial" w:hAnsi="Arial" w:cs="Arial"/>
              </w:rPr>
              <w:t>√</w:t>
            </w:r>
          </w:p>
        </w:tc>
        <w:tc>
          <w:tcPr>
            <w:tcW w:w="1100" w:type="dxa"/>
            <w:vAlign w:val="center"/>
          </w:tcPr>
          <w:p w14:paraId="1BB804C3">
            <w:pPr>
              <w:pStyle w:val="14"/>
            </w:pPr>
            <w:r>
              <w:rPr>
                <w:rFonts w:hint="default" w:ascii="Arial" w:hAnsi="Arial" w:cs="Arial"/>
              </w:rPr>
              <w:t>√</w:t>
            </w:r>
          </w:p>
        </w:tc>
        <w:tc>
          <w:tcPr>
            <w:tcW w:w="1099" w:type="dxa"/>
            <w:vAlign w:val="center"/>
          </w:tcPr>
          <w:p w14:paraId="6248BC8F">
            <w:pPr>
              <w:pStyle w:val="14"/>
            </w:pPr>
            <w:r>
              <w:rPr>
                <w:rFonts w:hint="default" w:ascii="Arial" w:hAnsi="Arial" w:cs="Arial"/>
              </w:rPr>
              <w:t>√</w:t>
            </w:r>
          </w:p>
        </w:tc>
        <w:tc>
          <w:tcPr>
            <w:tcW w:w="1099" w:type="dxa"/>
            <w:vAlign w:val="center"/>
          </w:tcPr>
          <w:p w14:paraId="27FBB0D9">
            <w:pPr>
              <w:pStyle w:val="14"/>
            </w:pPr>
            <w:r>
              <w:rPr>
                <w:rFonts w:hint="default" w:ascii="Arial" w:hAnsi="Arial" w:cs="Arial"/>
              </w:rPr>
              <w:t>√</w:t>
            </w:r>
          </w:p>
        </w:tc>
        <w:tc>
          <w:tcPr>
            <w:tcW w:w="1100" w:type="dxa"/>
            <w:tcBorders>
              <w:right w:val="single" w:color="auto" w:sz="12" w:space="0"/>
            </w:tcBorders>
            <w:vAlign w:val="center"/>
          </w:tcPr>
          <w:p w14:paraId="172E6D55">
            <w:pPr>
              <w:pStyle w:val="14"/>
            </w:pPr>
            <w:r>
              <w:rPr>
                <w:rFonts w:hint="default" w:ascii="Arial" w:hAnsi="Arial" w:cs="Arial"/>
              </w:rPr>
              <w:t>√</w:t>
            </w:r>
          </w:p>
        </w:tc>
      </w:tr>
      <w:tr w14:paraId="2EA8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1BA8824D">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val="en-US" w:eastAsia="zh-CN"/>
              </w:rPr>
              <w:t>第十</w:t>
            </w:r>
            <w:r>
              <w:rPr>
                <w:rFonts w:hint="eastAsia" w:ascii="宋体" w:hAnsi="宋体" w:cs="宋体"/>
                <w:bCs/>
                <w:color w:val="auto"/>
                <w:szCs w:val="21"/>
                <w:lang w:val="en-US" w:eastAsia="zh-CN"/>
              </w:rPr>
              <w:t>一</w:t>
            </w:r>
            <w:r>
              <w:rPr>
                <w:rFonts w:hint="eastAsia" w:ascii="宋体" w:hAnsi="宋体" w:eastAsia="宋体" w:cs="宋体"/>
                <w:bCs/>
                <w:color w:val="auto"/>
                <w:szCs w:val="21"/>
                <w:lang w:val="en-US" w:eastAsia="zh-CN"/>
              </w:rPr>
              <w:t>课</w:t>
            </w:r>
            <w:r>
              <w:rPr>
                <w:rFonts w:hint="eastAsia" w:ascii="宋体" w:hAnsi="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策略综合应用（一）——自然与环境类文章</w:t>
            </w:r>
          </w:p>
        </w:tc>
        <w:tc>
          <w:tcPr>
            <w:tcW w:w="1100" w:type="dxa"/>
            <w:vAlign w:val="center"/>
          </w:tcPr>
          <w:p w14:paraId="5A983607">
            <w:pPr>
              <w:pStyle w:val="14"/>
            </w:pPr>
            <w:r>
              <w:rPr>
                <w:rFonts w:hint="default" w:ascii="Arial" w:hAnsi="Arial" w:cs="Arial"/>
              </w:rPr>
              <w:t>√</w:t>
            </w:r>
          </w:p>
        </w:tc>
        <w:tc>
          <w:tcPr>
            <w:tcW w:w="1100" w:type="dxa"/>
            <w:vAlign w:val="center"/>
          </w:tcPr>
          <w:p w14:paraId="69E08E08">
            <w:pPr>
              <w:pStyle w:val="14"/>
            </w:pPr>
            <w:r>
              <w:rPr>
                <w:rFonts w:hint="default" w:ascii="Arial" w:hAnsi="Arial" w:cs="Arial"/>
              </w:rPr>
              <w:t>√</w:t>
            </w:r>
          </w:p>
        </w:tc>
        <w:tc>
          <w:tcPr>
            <w:tcW w:w="1100" w:type="dxa"/>
            <w:vAlign w:val="center"/>
          </w:tcPr>
          <w:p w14:paraId="1634D9CF">
            <w:pPr>
              <w:pStyle w:val="14"/>
            </w:pPr>
          </w:p>
        </w:tc>
        <w:tc>
          <w:tcPr>
            <w:tcW w:w="1099" w:type="dxa"/>
            <w:vAlign w:val="center"/>
          </w:tcPr>
          <w:p w14:paraId="5E9EE00B">
            <w:pPr>
              <w:pStyle w:val="14"/>
            </w:pPr>
          </w:p>
        </w:tc>
        <w:tc>
          <w:tcPr>
            <w:tcW w:w="1099" w:type="dxa"/>
            <w:vAlign w:val="center"/>
          </w:tcPr>
          <w:p w14:paraId="33D123F9">
            <w:pPr>
              <w:pStyle w:val="14"/>
            </w:pPr>
            <w:r>
              <w:rPr>
                <w:rFonts w:hint="default" w:ascii="Arial" w:hAnsi="Arial" w:cs="Arial"/>
              </w:rPr>
              <w:t>√</w:t>
            </w:r>
          </w:p>
        </w:tc>
        <w:tc>
          <w:tcPr>
            <w:tcW w:w="1100" w:type="dxa"/>
            <w:tcBorders>
              <w:right w:val="single" w:color="auto" w:sz="12" w:space="0"/>
            </w:tcBorders>
            <w:vAlign w:val="center"/>
          </w:tcPr>
          <w:p w14:paraId="055225D9">
            <w:pPr>
              <w:pStyle w:val="14"/>
            </w:pPr>
            <w:r>
              <w:rPr>
                <w:rFonts w:hint="default" w:ascii="Arial" w:hAnsi="Arial" w:cs="Arial"/>
              </w:rPr>
              <w:t>√</w:t>
            </w:r>
          </w:p>
        </w:tc>
      </w:tr>
      <w:tr w14:paraId="0158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66FF98BD">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二</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策略综合应用（二）——社会与生活类文章</w:t>
            </w:r>
          </w:p>
        </w:tc>
        <w:tc>
          <w:tcPr>
            <w:tcW w:w="1100" w:type="dxa"/>
            <w:vAlign w:val="center"/>
          </w:tcPr>
          <w:p w14:paraId="274476F9">
            <w:pPr>
              <w:pStyle w:val="14"/>
            </w:pPr>
            <w:r>
              <w:rPr>
                <w:rFonts w:hint="default" w:ascii="Arial" w:hAnsi="Arial" w:cs="Arial"/>
              </w:rPr>
              <w:t>√</w:t>
            </w:r>
          </w:p>
        </w:tc>
        <w:tc>
          <w:tcPr>
            <w:tcW w:w="1100" w:type="dxa"/>
            <w:vAlign w:val="center"/>
          </w:tcPr>
          <w:p w14:paraId="40748F99">
            <w:pPr>
              <w:pStyle w:val="14"/>
            </w:pPr>
            <w:r>
              <w:rPr>
                <w:rFonts w:hint="default" w:ascii="Arial" w:hAnsi="Arial" w:cs="Arial"/>
              </w:rPr>
              <w:t>√</w:t>
            </w:r>
          </w:p>
        </w:tc>
        <w:tc>
          <w:tcPr>
            <w:tcW w:w="1100" w:type="dxa"/>
            <w:vAlign w:val="center"/>
          </w:tcPr>
          <w:p w14:paraId="036F560C">
            <w:pPr>
              <w:pStyle w:val="14"/>
            </w:pPr>
          </w:p>
        </w:tc>
        <w:tc>
          <w:tcPr>
            <w:tcW w:w="1099" w:type="dxa"/>
            <w:vAlign w:val="center"/>
          </w:tcPr>
          <w:p w14:paraId="6F7BC808">
            <w:pPr>
              <w:pStyle w:val="14"/>
            </w:pPr>
          </w:p>
        </w:tc>
        <w:tc>
          <w:tcPr>
            <w:tcW w:w="1099" w:type="dxa"/>
            <w:vAlign w:val="center"/>
          </w:tcPr>
          <w:p w14:paraId="2B594F33">
            <w:pPr>
              <w:pStyle w:val="14"/>
            </w:pPr>
            <w:r>
              <w:rPr>
                <w:rFonts w:hint="default" w:ascii="Arial" w:hAnsi="Arial" w:cs="Arial"/>
              </w:rPr>
              <w:t>√</w:t>
            </w:r>
          </w:p>
        </w:tc>
        <w:tc>
          <w:tcPr>
            <w:tcW w:w="1100" w:type="dxa"/>
            <w:tcBorders>
              <w:right w:val="single" w:color="auto" w:sz="12" w:space="0"/>
            </w:tcBorders>
            <w:vAlign w:val="center"/>
          </w:tcPr>
          <w:p w14:paraId="2F9E3ADF">
            <w:pPr>
              <w:pStyle w:val="14"/>
            </w:pPr>
            <w:r>
              <w:rPr>
                <w:rFonts w:hint="default" w:ascii="Arial" w:hAnsi="Arial" w:cs="Arial"/>
              </w:rPr>
              <w:t>√</w:t>
            </w:r>
          </w:p>
        </w:tc>
      </w:tr>
      <w:tr w14:paraId="19E5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555D55E4">
            <w:pPr>
              <w:pStyle w:val="14"/>
              <w:widowControl w:val="0"/>
              <w:spacing w:line="240" w:lineRule="auto"/>
              <w:jc w:val="left"/>
              <w:rPr>
                <w:rFonts w:hint="eastAsia" w:ascii="宋体" w:hAnsi="宋体" w:eastAsia="宋体" w:cs="宋体"/>
                <w:color w:val="000000"/>
                <w:sz w:val="21"/>
                <w:szCs w:val="21"/>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三</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策略综合应用（三）——文化与教育类文章</w:t>
            </w:r>
          </w:p>
        </w:tc>
        <w:tc>
          <w:tcPr>
            <w:tcW w:w="1100" w:type="dxa"/>
            <w:vAlign w:val="center"/>
          </w:tcPr>
          <w:p w14:paraId="6D0F320D">
            <w:pPr>
              <w:pStyle w:val="14"/>
            </w:pPr>
            <w:r>
              <w:rPr>
                <w:rFonts w:hint="default" w:ascii="Arial" w:hAnsi="Arial" w:cs="Arial"/>
              </w:rPr>
              <w:t>√</w:t>
            </w:r>
          </w:p>
        </w:tc>
        <w:tc>
          <w:tcPr>
            <w:tcW w:w="1100" w:type="dxa"/>
            <w:vAlign w:val="center"/>
          </w:tcPr>
          <w:p w14:paraId="6360B14B">
            <w:pPr>
              <w:pStyle w:val="14"/>
            </w:pPr>
            <w:r>
              <w:rPr>
                <w:rFonts w:hint="default" w:ascii="Arial" w:hAnsi="Arial" w:cs="Arial"/>
              </w:rPr>
              <w:t>√</w:t>
            </w:r>
          </w:p>
        </w:tc>
        <w:tc>
          <w:tcPr>
            <w:tcW w:w="1100" w:type="dxa"/>
            <w:vAlign w:val="center"/>
          </w:tcPr>
          <w:p w14:paraId="7F907FB6">
            <w:pPr>
              <w:pStyle w:val="14"/>
            </w:pPr>
          </w:p>
        </w:tc>
        <w:tc>
          <w:tcPr>
            <w:tcW w:w="1099" w:type="dxa"/>
            <w:vAlign w:val="center"/>
          </w:tcPr>
          <w:p w14:paraId="6C9A9621">
            <w:pPr>
              <w:pStyle w:val="14"/>
            </w:pPr>
          </w:p>
        </w:tc>
        <w:tc>
          <w:tcPr>
            <w:tcW w:w="1099" w:type="dxa"/>
            <w:vAlign w:val="center"/>
          </w:tcPr>
          <w:p w14:paraId="145CE295">
            <w:pPr>
              <w:pStyle w:val="14"/>
            </w:pPr>
            <w:r>
              <w:rPr>
                <w:rFonts w:hint="default" w:ascii="Arial" w:hAnsi="Arial" w:cs="Arial"/>
              </w:rPr>
              <w:t>√</w:t>
            </w:r>
          </w:p>
        </w:tc>
        <w:tc>
          <w:tcPr>
            <w:tcW w:w="1100" w:type="dxa"/>
            <w:tcBorders>
              <w:right w:val="single" w:color="auto" w:sz="12" w:space="0"/>
            </w:tcBorders>
            <w:vAlign w:val="center"/>
          </w:tcPr>
          <w:p w14:paraId="050A84D7">
            <w:pPr>
              <w:pStyle w:val="14"/>
            </w:pPr>
            <w:r>
              <w:rPr>
                <w:rFonts w:hint="default" w:ascii="Arial" w:hAnsi="Arial" w:cs="Arial"/>
              </w:rPr>
              <w:t>√</w:t>
            </w:r>
          </w:p>
        </w:tc>
      </w:tr>
      <w:tr w14:paraId="70D5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58EA067C">
            <w:pPr>
              <w:pStyle w:val="14"/>
              <w:widowControl w:val="0"/>
              <w:spacing w:line="240" w:lineRule="auto"/>
              <w:jc w:val="left"/>
              <w:rPr>
                <w:rFonts w:hint="eastAsia" w:ascii="宋体" w:hAnsi="宋体" w:eastAsia="宋体" w:cs="宋体"/>
                <w:bCs/>
                <w:color w:val="auto"/>
                <w:szCs w:val="21"/>
                <w:lang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四</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策略综合应用（四）——科技与经济类文章</w:t>
            </w:r>
          </w:p>
        </w:tc>
        <w:tc>
          <w:tcPr>
            <w:tcW w:w="1100" w:type="dxa"/>
            <w:vAlign w:val="center"/>
          </w:tcPr>
          <w:p w14:paraId="2FB8766F">
            <w:pPr>
              <w:pStyle w:val="14"/>
              <w:rPr>
                <w:rFonts w:hint="default" w:ascii="Arial" w:hAnsi="Arial" w:cs="Arial"/>
              </w:rPr>
            </w:pPr>
            <w:r>
              <w:rPr>
                <w:rFonts w:hint="default" w:ascii="Arial" w:hAnsi="Arial" w:cs="Arial"/>
              </w:rPr>
              <w:t>√</w:t>
            </w:r>
          </w:p>
        </w:tc>
        <w:tc>
          <w:tcPr>
            <w:tcW w:w="1100" w:type="dxa"/>
            <w:vAlign w:val="center"/>
          </w:tcPr>
          <w:p w14:paraId="10F7492E">
            <w:pPr>
              <w:pStyle w:val="14"/>
              <w:rPr>
                <w:rFonts w:hint="default" w:ascii="Arial" w:hAnsi="Arial" w:cs="Arial"/>
              </w:rPr>
            </w:pPr>
            <w:r>
              <w:rPr>
                <w:rFonts w:hint="default" w:ascii="Arial" w:hAnsi="Arial" w:cs="Arial"/>
              </w:rPr>
              <w:t>√</w:t>
            </w:r>
          </w:p>
        </w:tc>
        <w:tc>
          <w:tcPr>
            <w:tcW w:w="1100" w:type="dxa"/>
            <w:vAlign w:val="center"/>
          </w:tcPr>
          <w:p w14:paraId="56062886">
            <w:pPr>
              <w:pStyle w:val="14"/>
            </w:pPr>
            <w:r>
              <w:rPr>
                <w:rFonts w:hint="default" w:ascii="Arial" w:hAnsi="Arial" w:cs="Arial"/>
              </w:rPr>
              <w:t>√</w:t>
            </w:r>
          </w:p>
        </w:tc>
        <w:tc>
          <w:tcPr>
            <w:tcW w:w="1099" w:type="dxa"/>
            <w:vAlign w:val="center"/>
          </w:tcPr>
          <w:p w14:paraId="0D37B24B">
            <w:pPr>
              <w:pStyle w:val="14"/>
            </w:pPr>
            <w:r>
              <w:rPr>
                <w:rFonts w:hint="default" w:ascii="Arial" w:hAnsi="Arial" w:cs="Arial"/>
              </w:rPr>
              <w:t>√</w:t>
            </w:r>
          </w:p>
        </w:tc>
        <w:tc>
          <w:tcPr>
            <w:tcW w:w="1099" w:type="dxa"/>
            <w:vAlign w:val="center"/>
          </w:tcPr>
          <w:p w14:paraId="764DAEC4">
            <w:pPr>
              <w:pStyle w:val="14"/>
              <w:rPr>
                <w:rFonts w:hint="default" w:ascii="Arial" w:hAnsi="Arial" w:cs="Arial"/>
              </w:rPr>
            </w:pPr>
            <w:r>
              <w:rPr>
                <w:rFonts w:hint="default" w:ascii="Arial" w:hAnsi="Arial" w:cs="Arial"/>
              </w:rPr>
              <w:t>√</w:t>
            </w:r>
          </w:p>
        </w:tc>
        <w:tc>
          <w:tcPr>
            <w:tcW w:w="1100" w:type="dxa"/>
            <w:tcBorders>
              <w:right w:val="single" w:color="auto" w:sz="12" w:space="0"/>
            </w:tcBorders>
            <w:vAlign w:val="center"/>
          </w:tcPr>
          <w:p w14:paraId="58FA7EA3">
            <w:pPr>
              <w:pStyle w:val="14"/>
              <w:rPr>
                <w:rFonts w:hint="default" w:ascii="Arial" w:hAnsi="Arial" w:cs="Arial"/>
              </w:rPr>
            </w:pPr>
            <w:r>
              <w:rPr>
                <w:rFonts w:hint="default" w:ascii="Arial" w:hAnsi="Arial" w:cs="Arial"/>
              </w:rPr>
              <w:t>√</w:t>
            </w:r>
          </w:p>
        </w:tc>
      </w:tr>
      <w:tr w14:paraId="70B6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tcPr>
          <w:p w14:paraId="785D55ED">
            <w:pPr>
              <w:pStyle w:val="14"/>
              <w:widowControl w:val="0"/>
              <w:spacing w:line="240" w:lineRule="auto"/>
              <w:jc w:val="left"/>
              <w:rPr>
                <w:rFonts w:hint="eastAsia" w:ascii="宋体" w:hAnsi="宋体" w:eastAsia="宋体" w:cs="宋体"/>
                <w:bCs/>
                <w:color w:val="auto"/>
                <w:szCs w:val="21"/>
                <w:lang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五</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实战模拟与速度强化</w:t>
            </w:r>
          </w:p>
        </w:tc>
        <w:tc>
          <w:tcPr>
            <w:tcW w:w="1100" w:type="dxa"/>
            <w:vAlign w:val="center"/>
          </w:tcPr>
          <w:p w14:paraId="51AEC432">
            <w:pPr>
              <w:pStyle w:val="14"/>
              <w:rPr>
                <w:rFonts w:hint="default" w:ascii="Arial" w:hAnsi="Arial" w:cs="Arial"/>
              </w:rPr>
            </w:pPr>
            <w:r>
              <w:rPr>
                <w:rFonts w:hint="default" w:ascii="Arial" w:hAnsi="Arial" w:cs="Arial"/>
              </w:rPr>
              <w:t>√</w:t>
            </w:r>
          </w:p>
        </w:tc>
        <w:tc>
          <w:tcPr>
            <w:tcW w:w="1100" w:type="dxa"/>
            <w:vAlign w:val="center"/>
          </w:tcPr>
          <w:p w14:paraId="0B6ED8A9">
            <w:pPr>
              <w:pStyle w:val="14"/>
              <w:rPr>
                <w:rFonts w:hint="default" w:ascii="Arial" w:hAnsi="Arial" w:cs="Arial"/>
              </w:rPr>
            </w:pPr>
            <w:r>
              <w:rPr>
                <w:rFonts w:hint="default" w:ascii="Arial" w:hAnsi="Arial" w:cs="Arial"/>
              </w:rPr>
              <w:t>√</w:t>
            </w:r>
          </w:p>
        </w:tc>
        <w:tc>
          <w:tcPr>
            <w:tcW w:w="1100" w:type="dxa"/>
            <w:vAlign w:val="center"/>
          </w:tcPr>
          <w:p w14:paraId="12893978">
            <w:pPr>
              <w:pStyle w:val="14"/>
            </w:pPr>
          </w:p>
        </w:tc>
        <w:tc>
          <w:tcPr>
            <w:tcW w:w="1099" w:type="dxa"/>
            <w:vAlign w:val="center"/>
          </w:tcPr>
          <w:p w14:paraId="189AB121">
            <w:pPr>
              <w:pStyle w:val="14"/>
            </w:pPr>
          </w:p>
        </w:tc>
        <w:tc>
          <w:tcPr>
            <w:tcW w:w="1099" w:type="dxa"/>
            <w:vAlign w:val="center"/>
          </w:tcPr>
          <w:p w14:paraId="5138CB2A">
            <w:pPr>
              <w:pStyle w:val="14"/>
              <w:rPr>
                <w:rFonts w:hint="default" w:ascii="Arial" w:hAnsi="Arial" w:cs="Arial"/>
              </w:rPr>
            </w:pPr>
          </w:p>
        </w:tc>
        <w:tc>
          <w:tcPr>
            <w:tcW w:w="1100" w:type="dxa"/>
            <w:tcBorders>
              <w:right w:val="single" w:color="auto" w:sz="12" w:space="0"/>
            </w:tcBorders>
            <w:vAlign w:val="center"/>
          </w:tcPr>
          <w:p w14:paraId="607D0194">
            <w:pPr>
              <w:pStyle w:val="14"/>
              <w:rPr>
                <w:rFonts w:hint="default" w:ascii="Arial" w:hAnsi="Arial" w:cs="Arial"/>
              </w:rPr>
            </w:pPr>
          </w:p>
        </w:tc>
      </w:tr>
      <w:tr w14:paraId="6F88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bottom w:val="single" w:color="auto" w:sz="12" w:space="0"/>
            </w:tcBorders>
          </w:tcPr>
          <w:p w14:paraId="5D0DE0B5">
            <w:pPr>
              <w:pStyle w:val="14"/>
              <w:widowControl w:val="0"/>
              <w:spacing w:line="240" w:lineRule="auto"/>
              <w:jc w:val="left"/>
              <w:rPr>
                <w:rFonts w:hint="eastAsia" w:ascii="宋体" w:hAnsi="宋体" w:eastAsia="宋体" w:cs="宋体"/>
                <w:bCs/>
                <w:color w:val="auto"/>
                <w:szCs w:val="21"/>
                <w:lang w:eastAsia="zh-CN"/>
              </w:rPr>
            </w:pPr>
            <w:r>
              <w:rPr>
                <w:rFonts w:hint="eastAsia" w:ascii="宋体" w:hAnsi="宋体" w:eastAsia="宋体" w:cs="宋体"/>
                <w:bCs/>
                <w:color w:val="auto"/>
                <w:szCs w:val="21"/>
                <w:lang w:eastAsia="zh-CN"/>
              </w:rPr>
              <w:t>第十</w:t>
            </w:r>
            <w:r>
              <w:rPr>
                <w:rFonts w:hint="eastAsia" w:ascii="宋体" w:hAnsi="宋体" w:cs="宋体"/>
                <w:bCs/>
                <w:color w:val="auto"/>
                <w:szCs w:val="21"/>
                <w:lang w:val="en-US" w:eastAsia="zh-CN"/>
              </w:rPr>
              <w:t>六</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总结与复习</w:t>
            </w:r>
          </w:p>
        </w:tc>
        <w:tc>
          <w:tcPr>
            <w:tcW w:w="1100" w:type="dxa"/>
            <w:tcBorders>
              <w:bottom w:val="single" w:color="auto" w:sz="12" w:space="0"/>
            </w:tcBorders>
            <w:vAlign w:val="center"/>
          </w:tcPr>
          <w:p w14:paraId="374E86AA">
            <w:pPr>
              <w:pStyle w:val="14"/>
              <w:rPr>
                <w:rFonts w:hint="default" w:ascii="Arial" w:hAnsi="Arial" w:cs="Arial"/>
              </w:rPr>
            </w:pPr>
            <w:r>
              <w:rPr>
                <w:rFonts w:hint="default" w:ascii="Arial" w:hAnsi="Arial" w:cs="Arial"/>
              </w:rPr>
              <w:t>√</w:t>
            </w:r>
          </w:p>
        </w:tc>
        <w:tc>
          <w:tcPr>
            <w:tcW w:w="1100" w:type="dxa"/>
            <w:tcBorders>
              <w:bottom w:val="single" w:color="auto" w:sz="12" w:space="0"/>
            </w:tcBorders>
            <w:vAlign w:val="center"/>
          </w:tcPr>
          <w:p w14:paraId="0116508E">
            <w:pPr>
              <w:pStyle w:val="14"/>
              <w:rPr>
                <w:rFonts w:hint="default" w:ascii="Arial" w:hAnsi="Arial" w:cs="Arial"/>
              </w:rPr>
            </w:pPr>
            <w:r>
              <w:rPr>
                <w:rFonts w:hint="default" w:ascii="Arial" w:hAnsi="Arial" w:cs="Arial"/>
              </w:rPr>
              <w:t>√</w:t>
            </w:r>
          </w:p>
        </w:tc>
        <w:tc>
          <w:tcPr>
            <w:tcW w:w="1100" w:type="dxa"/>
            <w:tcBorders>
              <w:bottom w:val="single" w:color="auto" w:sz="12" w:space="0"/>
            </w:tcBorders>
            <w:vAlign w:val="center"/>
          </w:tcPr>
          <w:p w14:paraId="6B71F68A">
            <w:pPr>
              <w:pStyle w:val="14"/>
            </w:pPr>
          </w:p>
        </w:tc>
        <w:tc>
          <w:tcPr>
            <w:tcW w:w="1099" w:type="dxa"/>
            <w:tcBorders>
              <w:bottom w:val="single" w:color="auto" w:sz="12" w:space="0"/>
            </w:tcBorders>
            <w:vAlign w:val="center"/>
          </w:tcPr>
          <w:p w14:paraId="33F677DD">
            <w:pPr>
              <w:pStyle w:val="14"/>
              <w:tabs>
                <w:tab w:val="left" w:pos="403"/>
                <w:tab w:val="center" w:pos="524"/>
              </w:tabs>
              <w:jc w:val="left"/>
              <w:rPr>
                <w:rFonts w:hint="eastAsia" w:eastAsia="宋体"/>
                <w:lang w:eastAsia="zh-CN"/>
              </w:rPr>
            </w:pPr>
            <w:r>
              <w:rPr>
                <w:rFonts w:hint="eastAsia" w:ascii="Arial" w:hAnsi="Arial" w:cs="Arial"/>
                <w:lang w:eastAsia="zh-CN"/>
              </w:rPr>
              <w:tab/>
            </w:r>
          </w:p>
        </w:tc>
        <w:tc>
          <w:tcPr>
            <w:tcW w:w="1099" w:type="dxa"/>
            <w:tcBorders>
              <w:bottom w:val="single" w:color="auto" w:sz="12" w:space="0"/>
            </w:tcBorders>
            <w:vAlign w:val="center"/>
          </w:tcPr>
          <w:p w14:paraId="49EC37B0">
            <w:pPr>
              <w:pStyle w:val="14"/>
              <w:rPr>
                <w:rFonts w:hint="default" w:ascii="Arial" w:hAnsi="Arial" w:cs="Arial"/>
              </w:rPr>
            </w:pPr>
          </w:p>
        </w:tc>
        <w:tc>
          <w:tcPr>
            <w:tcW w:w="1100" w:type="dxa"/>
            <w:tcBorders>
              <w:bottom w:val="single" w:color="auto" w:sz="12" w:space="0"/>
              <w:right w:val="single" w:color="auto" w:sz="12" w:space="0"/>
            </w:tcBorders>
            <w:vAlign w:val="center"/>
          </w:tcPr>
          <w:p w14:paraId="37F76354">
            <w:pPr>
              <w:pStyle w:val="14"/>
              <w:rPr>
                <w:rFonts w:hint="default" w:ascii="Arial" w:hAnsi="Arial" w:cs="Arial"/>
              </w:rPr>
            </w:pPr>
          </w:p>
        </w:tc>
      </w:tr>
    </w:tbl>
    <w:p w14:paraId="41369239">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005"/>
        <w:gridCol w:w="2209"/>
        <w:gridCol w:w="1396"/>
        <w:gridCol w:w="638"/>
        <w:gridCol w:w="596"/>
        <w:gridCol w:w="632"/>
      </w:tblGrid>
      <w:tr w14:paraId="2D9D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2" w:type="dxa"/>
            <w:vMerge w:val="restart"/>
            <w:tcBorders>
              <w:top w:val="single" w:color="auto" w:sz="12" w:space="0"/>
              <w:left w:val="single" w:color="auto" w:sz="12" w:space="0"/>
            </w:tcBorders>
            <w:vAlign w:val="center"/>
          </w:tcPr>
          <w:p w14:paraId="6C40F19D">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2B6B6FA1">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1ED040B4">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7B92C423">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0C3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Pr>
          <w:p w14:paraId="58DF633A">
            <w:pPr>
              <w:widowControl w:val="0"/>
              <w:snapToGrid w:val="0"/>
              <w:jc w:val="center"/>
              <w:rPr>
                <w:rFonts w:ascii="黑体" w:hAnsi="黑体" w:eastAsia="黑体"/>
                <w:bCs/>
                <w:sz w:val="21"/>
                <w:szCs w:val="21"/>
              </w:rPr>
            </w:pPr>
          </w:p>
        </w:tc>
        <w:tc>
          <w:tcPr>
            <w:tcW w:w="2755" w:type="dxa"/>
            <w:vMerge w:val="continue"/>
          </w:tcPr>
          <w:p w14:paraId="31DF5DD6">
            <w:pPr>
              <w:widowControl w:val="0"/>
              <w:snapToGrid w:val="0"/>
              <w:jc w:val="center"/>
              <w:rPr>
                <w:rFonts w:ascii="黑体" w:hAnsi="黑体" w:eastAsia="黑体"/>
                <w:bCs/>
                <w:sz w:val="21"/>
                <w:szCs w:val="21"/>
              </w:rPr>
            </w:pPr>
          </w:p>
        </w:tc>
        <w:tc>
          <w:tcPr>
            <w:tcW w:w="1738" w:type="dxa"/>
            <w:vMerge w:val="continue"/>
          </w:tcPr>
          <w:p w14:paraId="4CB0DB58">
            <w:pPr>
              <w:widowControl w:val="0"/>
              <w:snapToGrid w:val="0"/>
              <w:jc w:val="center"/>
              <w:rPr>
                <w:rFonts w:ascii="黑体" w:hAnsi="黑体" w:eastAsia="黑体"/>
                <w:bCs/>
                <w:sz w:val="21"/>
                <w:szCs w:val="21"/>
              </w:rPr>
            </w:pPr>
          </w:p>
        </w:tc>
        <w:tc>
          <w:tcPr>
            <w:tcW w:w="725" w:type="dxa"/>
            <w:vAlign w:val="center"/>
          </w:tcPr>
          <w:p w14:paraId="3711E3BF">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26089C1E">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41E7F53D">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2F65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4A0A5191">
            <w:pPr>
              <w:pStyle w:val="14"/>
              <w:widowControl w:val="0"/>
              <w:spacing w:line="240" w:lineRule="auto"/>
              <w:jc w:val="left"/>
              <w:rPr>
                <w:rFonts w:hint="eastAsia" w:ascii="宋体" w:hAnsi="宋体" w:eastAsia="宋体" w:cs="宋体"/>
                <w:bCs/>
                <w:color w:val="auto"/>
                <w:szCs w:val="21"/>
                <w:lang w:val="en-US" w:eastAsia="zh-CN"/>
              </w:rPr>
            </w:pPr>
            <w:r>
              <w:rPr>
                <w:rFonts w:hint="eastAsia" w:ascii="宋体" w:hAnsi="宋体" w:eastAsia="宋体" w:cs="宋体"/>
                <w:bCs/>
                <w:color w:val="auto"/>
                <w:sz w:val="21"/>
                <w:szCs w:val="21"/>
                <w:lang w:eastAsia="zh-CN"/>
              </w:rPr>
              <w:t>第一课</w:t>
            </w:r>
            <w:r>
              <w:rPr>
                <w:rFonts w:hint="eastAsia" w:ascii="宋体" w:hAnsi="宋体" w:eastAsia="宋体" w:cs="宋体"/>
                <w:bCs/>
                <w:color w:val="auto"/>
                <w:sz w:val="21"/>
                <w:szCs w:val="21"/>
                <w:lang w:val="en-US" w:eastAsia="zh-CN"/>
              </w:rPr>
              <w:t xml:space="preserve"> </w:t>
            </w:r>
            <w:r>
              <w:rPr>
                <w:rFonts w:hint="eastAsia" w:ascii="宋体" w:hAnsi="宋体" w:eastAsia="宋体" w:cs="宋体"/>
                <w:bCs/>
                <w:color w:val="auto"/>
                <w:szCs w:val="21"/>
                <w:lang w:val="en-US" w:eastAsia="zh-CN"/>
              </w:rPr>
              <w:t>专四阅读考试大纲解读与整体策略</w:t>
            </w:r>
          </w:p>
          <w:p w14:paraId="02F48C3B">
            <w:pPr>
              <w:widowControl w:val="0"/>
              <w:snapToGrid w:val="0"/>
              <w:jc w:val="left"/>
              <w:rPr>
                <w:rFonts w:ascii="Times New Roman" w:hAnsi="Times New Roman"/>
                <w:bCs/>
                <w:sz w:val="21"/>
                <w:szCs w:val="21"/>
              </w:rPr>
            </w:pPr>
          </w:p>
        </w:tc>
        <w:tc>
          <w:tcPr>
            <w:tcW w:w="2755" w:type="dxa"/>
            <w:vAlign w:val="center"/>
          </w:tcPr>
          <w:p w14:paraId="3EEC1C13">
            <w:pPr>
              <w:widowControl w:val="0"/>
              <w:snapToGrid w:val="0"/>
              <w:jc w:val="left"/>
              <w:rPr>
                <w:rFonts w:ascii="Times New Roman" w:hAnsi="Times New Roman"/>
                <w:bCs/>
                <w:sz w:val="21"/>
                <w:szCs w:val="21"/>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vAlign w:val="center"/>
          </w:tcPr>
          <w:p w14:paraId="11DFF97F">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720AA74A">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阅读训练</w:t>
            </w:r>
          </w:p>
        </w:tc>
        <w:tc>
          <w:tcPr>
            <w:tcW w:w="725" w:type="dxa"/>
            <w:vAlign w:val="center"/>
          </w:tcPr>
          <w:p w14:paraId="411EFB89">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7EC815D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02AF4B6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6C18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041D44A9">
            <w:pPr>
              <w:pStyle w:val="14"/>
              <w:widowControl w:val="0"/>
              <w:spacing w:line="240" w:lineRule="auto"/>
              <w:jc w:val="left"/>
              <w:rPr>
                <w:rFonts w:ascii="Times New Roman" w:hAnsi="Times New Roman"/>
                <w:bCs/>
                <w:sz w:val="21"/>
                <w:szCs w:val="21"/>
              </w:rPr>
            </w:pPr>
            <w:r>
              <w:rPr>
                <w:rFonts w:hint="eastAsia" w:ascii="宋体" w:hAnsi="宋体" w:eastAsia="宋体" w:cs="宋体"/>
                <w:bCs/>
                <w:color w:val="auto"/>
                <w:sz w:val="21"/>
                <w:szCs w:val="21"/>
                <w:lang w:val="en-US" w:eastAsia="zh-CN"/>
              </w:rPr>
              <w:t>第二课 阅读的“预”操作——读前准备策略（Vorbereitung vor dem Lesen）</w:t>
            </w:r>
          </w:p>
        </w:tc>
        <w:tc>
          <w:tcPr>
            <w:tcW w:w="2755" w:type="dxa"/>
            <w:vAlign w:val="center"/>
          </w:tcPr>
          <w:p w14:paraId="7EBDEBD6">
            <w:pPr>
              <w:widowControl w:val="0"/>
              <w:snapToGrid w:val="0"/>
              <w:jc w:val="left"/>
              <w:rPr>
                <w:rFonts w:ascii="Times New Roman" w:hAnsi="Times New Roman"/>
                <w:bCs/>
                <w:sz w:val="21"/>
                <w:szCs w:val="21"/>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vAlign w:val="center"/>
          </w:tcPr>
          <w:p w14:paraId="1D71E0AF">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7C0368B6">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27A503D4">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拓展阅读</w:t>
            </w:r>
          </w:p>
        </w:tc>
        <w:tc>
          <w:tcPr>
            <w:tcW w:w="725" w:type="dxa"/>
            <w:vAlign w:val="center"/>
          </w:tcPr>
          <w:p w14:paraId="0E50795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7EF54CD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0770A78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1936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236AE8AE">
            <w:pPr>
              <w:pStyle w:val="14"/>
              <w:widowControl w:val="0"/>
              <w:spacing w:line="240" w:lineRule="auto"/>
              <w:jc w:val="left"/>
              <w:rPr>
                <w:rFonts w:ascii="Times New Roman" w:hAnsi="Times New Roman"/>
                <w:b/>
                <w:bCs w:val="0"/>
                <w:sz w:val="21"/>
                <w:szCs w:val="21"/>
              </w:rPr>
            </w:pPr>
            <w:r>
              <w:rPr>
                <w:rFonts w:hint="eastAsia" w:ascii="宋体" w:hAnsi="宋体" w:eastAsia="宋体" w:cs="宋体"/>
                <w:bCs/>
                <w:color w:val="auto"/>
                <w:sz w:val="21"/>
                <w:szCs w:val="21"/>
                <w:lang w:val="en-US" w:eastAsia="zh-CN"/>
              </w:rPr>
              <w:t>第三课 精读策略训练（Sequenzielles / gründliches Lesen）</w:t>
            </w:r>
          </w:p>
        </w:tc>
        <w:tc>
          <w:tcPr>
            <w:tcW w:w="2755" w:type="dxa"/>
            <w:vAlign w:val="center"/>
          </w:tcPr>
          <w:p w14:paraId="57F0D666">
            <w:pPr>
              <w:widowControl w:val="0"/>
              <w:snapToGrid w:val="0"/>
              <w:jc w:val="left"/>
              <w:rPr>
                <w:rFonts w:ascii="Times New Roman" w:hAnsi="Times New Roman"/>
                <w:bCs/>
                <w:sz w:val="21"/>
                <w:szCs w:val="21"/>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vAlign w:val="center"/>
          </w:tcPr>
          <w:p w14:paraId="389F6BF5">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3EA1E6B9">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327E7784">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拓展阅读</w:t>
            </w:r>
          </w:p>
        </w:tc>
        <w:tc>
          <w:tcPr>
            <w:tcW w:w="725" w:type="dxa"/>
            <w:vAlign w:val="center"/>
          </w:tcPr>
          <w:p w14:paraId="111681A9">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1EF0EFA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0086FD3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546A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0E37B0F6">
            <w:pPr>
              <w:pStyle w:val="13"/>
              <w:widowControl w:val="0"/>
              <w:jc w:val="left"/>
            </w:pPr>
            <w:r>
              <w:rPr>
                <w:rFonts w:hint="eastAsia" w:ascii="宋体" w:hAnsi="宋体" w:eastAsia="宋体" w:cs="宋体"/>
                <w:bCs/>
                <w:color w:val="auto"/>
                <w:sz w:val="21"/>
                <w:szCs w:val="21"/>
                <w:lang w:val="en-US" w:eastAsia="zh-CN" w:bidi="ar-SA"/>
              </w:rPr>
              <w:t>第四课 泛读策略训练（Kursorisches / überfliegendes Lesen）</w:t>
            </w:r>
          </w:p>
        </w:tc>
        <w:tc>
          <w:tcPr>
            <w:tcW w:w="2755" w:type="dxa"/>
            <w:tcBorders>
              <w:left w:val="single" w:color="auto" w:sz="12" w:space="0"/>
            </w:tcBorders>
            <w:vAlign w:val="center"/>
          </w:tcPr>
          <w:p w14:paraId="7FF5214A">
            <w:pPr>
              <w:widowControl w:val="0"/>
              <w:jc w:val="both"/>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208022C9">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7F5B2897">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17114CF1">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拓展阅读</w:t>
            </w:r>
          </w:p>
        </w:tc>
        <w:tc>
          <w:tcPr>
            <w:tcW w:w="725" w:type="dxa"/>
            <w:vAlign w:val="center"/>
          </w:tcPr>
          <w:p w14:paraId="259662C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1859CCD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413935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0976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3DC359F6">
            <w:pPr>
              <w:pStyle w:val="13"/>
              <w:widowControl w:val="0"/>
              <w:jc w:val="left"/>
              <w:rPr>
                <w:rFonts w:hint="eastAsia"/>
              </w:rPr>
            </w:pPr>
            <w:r>
              <w:rPr>
                <w:rFonts w:hint="eastAsia" w:ascii="宋体" w:hAnsi="宋体" w:eastAsia="宋体" w:cs="宋体"/>
                <w:bCs/>
                <w:color w:val="auto"/>
                <w:sz w:val="21"/>
                <w:szCs w:val="21"/>
                <w:lang w:val="en-US" w:eastAsia="zh-CN" w:bidi="ar-SA"/>
              </w:rPr>
              <w:t>第五课 精准打击——选择性阅读（Punktuelles / selektives Lesen）</w:t>
            </w:r>
          </w:p>
        </w:tc>
        <w:tc>
          <w:tcPr>
            <w:tcW w:w="2755" w:type="dxa"/>
            <w:tcBorders>
              <w:left w:val="single" w:color="auto" w:sz="12" w:space="0"/>
            </w:tcBorders>
            <w:vAlign w:val="center"/>
          </w:tcPr>
          <w:p w14:paraId="5F01F951">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0C1F41EC">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59218004">
            <w:pPr>
              <w:widowControl w:val="0"/>
              <w:jc w:val="center"/>
              <w:rPr>
                <w:rFonts w:hint="eastAsia"/>
              </w:rPr>
            </w:pPr>
            <w:r>
              <w:rPr>
                <w:rFonts w:hint="eastAsia" w:ascii="Times New Roman" w:hAnsi="Times New Roman"/>
                <w:bCs/>
                <w:sz w:val="21"/>
                <w:szCs w:val="21"/>
                <w:lang w:val="en-US" w:eastAsia="zh-CN"/>
              </w:rPr>
              <w:t>阅读训练</w:t>
            </w:r>
          </w:p>
        </w:tc>
        <w:tc>
          <w:tcPr>
            <w:tcW w:w="725" w:type="dxa"/>
            <w:vAlign w:val="center"/>
          </w:tcPr>
          <w:p w14:paraId="3DC4F45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732DCF9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103FCA5A">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65E7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3F5A378B">
            <w:pPr>
              <w:pStyle w:val="13"/>
              <w:widowControl w:val="0"/>
              <w:jc w:val="both"/>
              <w:rPr>
                <w:rFonts w:hint="eastAsia"/>
              </w:rPr>
            </w:pPr>
            <w:r>
              <w:rPr>
                <w:rFonts w:hint="eastAsia" w:ascii="宋体" w:hAnsi="宋体" w:eastAsia="宋体" w:cs="宋体"/>
                <w:bCs/>
                <w:color w:val="auto"/>
                <w:szCs w:val="21"/>
                <w:lang w:eastAsia="zh-CN"/>
              </w:rPr>
              <w:t>第六课</w:t>
            </w:r>
            <w:r>
              <w:rPr>
                <w:rFonts w:hint="eastAsia" w:ascii="宋体" w:hAnsi="宋体" w:eastAsia="宋体" w:cs="宋体"/>
                <w:bCs/>
                <w:color w:val="auto"/>
                <w:szCs w:val="21"/>
                <w:lang w:val="en-US" w:eastAsia="zh-CN"/>
              </w:rPr>
              <w:t xml:space="preserve"> </w:t>
            </w:r>
            <w:r>
              <w:rPr>
                <w:rFonts w:hint="eastAsia" w:ascii="宋体" w:hAnsi="宋体" w:eastAsia="宋体" w:cs="宋体"/>
                <w:bCs/>
                <w:color w:val="auto"/>
                <w:kern w:val="0"/>
                <w:szCs w:val="21"/>
                <w:lang w:val="en-US" w:eastAsia="zh-CN"/>
              </w:rPr>
              <w:t>快速阅读策略（Lernendes Lesen）与综合应用</w:t>
            </w:r>
          </w:p>
        </w:tc>
        <w:tc>
          <w:tcPr>
            <w:tcW w:w="2755" w:type="dxa"/>
            <w:tcBorders>
              <w:left w:val="single" w:color="auto" w:sz="12" w:space="0"/>
            </w:tcBorders>
            <w:vAlign w:val="center"/>
          </w:tcPr>
          <w:p w14:paraId="507F0FEB">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10F2B8C8">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2CAD6332">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3912F180">
            <w:pPr>
              <w:widowControl w:val="0"/>
              <w:snapToGrid w:val="0"/>
              <w:jc w:val="center"/>
              <w:rPr>
                <w:rFonts w:hint="eastAsia"/>
              </w:rPr>
            </w:pPr>
            <w:r>
              <w:rPr>
                <w:rFonts w:hint="eastAsia" w:ascii="Times New Roman" w:hAnsi="Times New Roman"/>
                <w:bCs/>
                <w:sz w:val="21"/>
                <w:szCs w:val="21"/>
                <w:lang w:val="en-US" w:eastAsia="zh-CN"/>
              </w:rPr>
              <w:t>拓展阅读</w:t>
            </w:r>
          </w:p>
        </w:tc>
        <w:tc>
          <w:tcPr>
            <w:tcW w:w="725" w:type="dxa"/>
            <w:vAlign w:val="center"/>
          </w:tcPr>
          <w:p w14:paraId="6ED9B1D9">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4F66EB6A">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70668883">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735F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38" w:hRule="atLeast"/>
          <w:jc w:val="center"/>
        </w:trPr>
        <w:tc>
          <w:tcPr>
            <w:tcW w:w="1872" w:type="dxa"/>
            <w:tcBorders>
              <w:left w:val="single" w:color="auto" w:sz="12" w:space="0"/>
            </w:tcBorders>
            <w:vAlign w:val="center"/>
          </w:tcPr>
          <w:p w14:paraId="4ACFEE0F">
            <w:pPr>
              <w:pStyle w:val="13"/>
              <w:widowControl w:val="0"/>
              <w:jc w:val="both"/>
              <w:rPr>
                <w:rFonts w:hint="eastAsia"/>
              </w:rPr>
            </w:pPr>
            <w:r>
              <w:rPr>
                <w:rFonts w:hint="eastAsia" w:ascii="宋体" w:hAnsi="宋体" w:eastAsia="宋体" w:cs="宋体"/>
                <w:bCs/>
                <w:color w:val="auto"/>
                <w:szCs w:val="21"/>
                <w:lang w:eastAsia="zh-CN"/>
              </w:rPr>
              <w:t>第七课</w:t>
            </w:r>
            <w:r>
              <w:rPr>
                <w:rFonts w:hint="eastAsia" w:ascii="宋体" w:hAnsi="宋体" w:eastAsia="宋体" w:cs="宋体"/>
                <w:bCs/>
                <w:color w:val="auto"/>
                <w:szCs w:val="21"/>
                <w:lang w:val="en-US" w:eastAsia="zh-CN"/>
              </w:rPr>
              <w:t xml:space="preserve"> 直接信息题（细节题）解题策略</w:t>
            </w:r>
          </w:p>
        </w:tc>
        <w:tc>
          <w:tcPr>
            <w:tcW w:w="2755" w:type="dxa"/>
            <w:tcBorders>
              <w:left w:val="single" w:color="auto" w:sz="12" w:space="0"/>
            </w:tcBorders>
            <w:vAlign w:val="center"/>
          </w:tcPr>
          <w:p w14:paraId="2B1DE92E">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09E620B0">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5C6E391F">
            <w:pPr>
              <w:widowControl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68D807D9">
            <w:pPr>
              <w:widowControl w:val="0"/>
              <w:jc w:val="center"/>
              <w:rPr>
                <w:rFonts w:hint="default" w:ascii="Times New Roman" w:hAnsi="Times New Roman"/>
                <w:bCs/>
                <w:sz w:val="21"/>
                <w:szCs w:val="21"/>
                <w:lang w:val="en-US" w:eastAsia="zh-CN"/>
              </w:rPr>
            </w:pPr>
          </w:p>
        </w:tc>
        <w:tc>
          <w:tcPr>
            <w:tcW w:w="725" w:type="dxa"/>
            <w:vAlign w:val="center"/>
          </w:tcPr>
          <w:p w14:paraId="3C70C00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79978DB4">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0CF72213">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2E59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559C2F61">
            <w:pPr>
              <w:pStyle w:val="13"/>
              <w:widowControl w:val="0"/>
              <w:jc w:val="both"/>
              <w:rPr>
                <w:rFonts w:hint="eastAsia"/>
              </w:rPr>
            </w:pPr>
            <w:r>
              <w:rPr>
                <w:rFonts w:hint="eastAsia" w:ascii="宋体" w:hAnsi="宋体" w:eastAsia="宋体" w:cs="宋体"/>
                <w:bCs/>
                <w:color w:val="auto"/>
                <w:szCs w:val="21"/>
                <w:lang w:eastAsia="zh-CN"/>
              </w:rPr>
              <w:t>第八课</w:t>
            </w:r>
            <w:r>
              <w:rPr>
                <w:rFonts w:hint="eastAsia" w:ascii="宋体" w:hAnsi="宋体" w:eastAsia="宋体" w:cs="宋体"/>
                <w:bCs/>
                <w:color w:val="auto"/>
                <w:szCs w:val="21"/>
                <w:lang w:val="en-US" w:eastAsia="zh-CN"/>
              </w:rPr>
              <w:t xml:space="preserve">推理判断题（Schlussfolgerungsfragen）解题策略 </w:t>
            </w:r>
          </w:p>
        </w:tc>
        <w:tc>
          <w:tcPr>
            <w:tcW w:w="2755" w:type="dxa"/>
            <w:tcBorders>
              <w:left w:val="single" w:color="auto" w:sz="12" w:space="0"/>
            </w:tcBorders>
            <w:vAlign w:val="center"/>
          </w:tcPr>
          <w:p w14:paraId="46AC6CDF">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42D4F250">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4A3D33A0">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45A9CEA5">
            <w:pPr>
              <w:widowControl w:val="0"/>
              <w:snapToGrid w:val="0"/>
              <w:jc w:val="center"/>
              <w:rPr>
                <w:rFonts w:hint="eastAsia"/>
              </w:rPr>
            </w:pPr>
            <w:r>
              <w:rPr>
                <w:rFonts w:hint="eastAsia" w:ascii="Times New Roman" w:hAnsi="Times New Roman"/>
                <w:bCs/>
                <w:sz w:val="21"/>
                <w:szCs w:val="21"/>
                <w:lang w:val="en-US" w:eastAsia="zh-CN"/>
              </w:rPr>
              <w:t>拓展阅读</w:t>
            </w:r>
          </w:p>
        </w:tc>
        <w:tc>
          <w:tcPr>
            <w:tcW w:w="725" w:type="dxa"/>
            <w:vAlign w:val="center"/>
          </w:tcPr>
          <w:p w14:paraId="348F5E7B">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3B21824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271B8AA2">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4164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2B4B15FE">
            <w:pPr>
              <w:pStyle w:val="13"/>
              <w:widowControl w:val="0"/>
              <w:jc w:val="both"/>
              <w:rPr>
                <w:rFonts w:hint="eastAsia"/>
              </w:rPr>
            </w:pPr>
            <w:r>
              <w:rPr>
                <w:rFonts w:hint="eastAsia" w:ascii="宋体" w:hAnsi="宋体" w:eastAsia="宋体" w:cs="宋体"/>
                <w:bCs/>
                <w:color w:val="auto"/>
                <w:szCs w:val="21"/>
                <w:lang w:eastAsia="zh-CN"/>
              </w:rPr>
              <w:t>第</w:t>
            </w:r>
            <w:r>
              <w:rPr>
                <w:rFonts w:hint="eastAsia" w:ascii="宋体" w:hAnsi="宋体" w:eastAsia="宋体" w:cs="宋体"/>
                <w:bCs/>
                <w:color w:val="auto"/>
                <w:szCs w:val="21"/>
                <w:lang w:val="en-US" w:eastAsia="zh-CN"/>
              </w:rPr>
              <w:t>九</w:t>
            </w:r>
            <w:r>
              <w:rPr>
                <w:rFonts w:hint="eastAsia" w:ascii="宋体" w:hAnsi="宋体" w:eastAsia="宋体" w:cs="宋体"/>
                <w:bCs/>
                <w:color w:val="auto"/>
                <w:szCs w:val="21"/>
                <w:lang w:eastAsia="zh-CN"/>
              </w:rPr>
              <w:t>课</w:t>
            </w:r>
            <w:r>
              <w:rPr>
                <w:rFonts w:hint="eastAsia" w:ascii="宋体" w:hAnsi="宋体" w:eastAsia="宋体" w:cs="宋体"/>
                <w:bCs/>
                <w:color w:val="auto"/>
                <w:szCs w:val="21"/>
                <w:lang w:val="en-US" w:eastAsia="zh-CN"/>
              </w:rPr>
              <w:t xml:space="preserve"> 观点态度题（Stellungnahme / Meinung）解题策略</w:t>
            </w:r>
          </w:p>
        </w:tc>
        <w:tc>
          <w:tcPr>
            <w:tcW w:w="2755" w:type="dxa"/>
            <w:tcBorders>
              <w:left w:val="single" w:color="auto" w:sz="12" w:space="0"/>
            </w:tcBorders>
            <w:vAlign w:val="center"/>
          </w:tcPr>
          <w:p w14:paraId="11D5DEEE">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43750B23">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34E5BABC">
            <w:pPr>
              <w:widowControl w:val="0"/>
              <w:jc w:val="center"/>
              <w:rPr>
                <w:rFonts w:hint="eastAsia"/>
              </w:rPr>
            </w:pPr>
            <w:r>
              <w:rPr>
                <w:rFonts w:hint="eastAsia" w:ascii="Times New Roman" w:hAnsi="Times New Roman"/>
                <w:sz w:val="21"/>
                <w:szCs w:val="21"/>
              </w:rPr>
              <w:t>纸笔测验</w:t>
            </w:r>
          </w:p>
        </w:tc>
        <w:tc>
          <w:tcPr>
            <w:tcW w:w="725" w:type="dxa"/>
            <w:vAlign w:val="center"/>
          </w:tcPr>
          <w:p w14:paraId="5CDC962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65703D2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87B50C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05EF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4B76BA51">
            <w:pPr>
              <w:pStyle w:val="13"/>
              <w:widowControl w:val="0"/>
              <w:jc w:val="left"/>
              <w:rPr>
                <w:rFonts w:hint="eastAsia"/>
              </w:rPr>
            </w:pPr>
            <w:r>
              <w:rPr>
                <w:rFonts w:hint="eastAsia" w:ascii="宋体" w:hAnsi="宋体" w:eastAsia="宋体" w:cs="宋体"/>
                <w:bCs/>
                <w:color w:val="auto"/>
                <w:szCs w:val="21"/>
                <w:lang w:val="en-US" w:eastAsia="zh-CN"/>
              </w:rPr>
              <w:t>第十课 语义理解题解题策略</w:t>
            </w:r>
          </w:p>
        </w:tc>
        <w:tc>
          <w:tcPr>
            <w:tcW w:w="2755" w:type="dxa"/>
            <w:tcBorders>
              <w:left w:val="single" w:color="auto" w:sz="12" w:space="0"/>
            </w:tcBorders>
            <w:vAlign w:val="center"/>
          </w:tcPr>
          <w:p w14:paraId="1E24EBFB">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720322F7">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17C79E88">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4D92995B">
            <w:pPr>
              <w:widowControl w:val="0"/>
              <w:snapToGrid w:val="0"/>
              <w:jc w:val="center"/>
              <w:rPr>
                <w:rFonts w:hint="eastAsia"/>
              </w:rPr>
            </w:pPr>
            <w:r>
              <w:rPr>
                <w:rFonts w:hint="eastAsia" w:ascii="Times New Roman" w:hAnsi="Times New Roman"/>
                <w:bCs/>
                <w:sz w:val="21"/>
                <w:szCs w:val="21"/>
                <w:lang w:val="en-US" w:eastAsia="zh-CN"/>
              </w:rPr>
              <w:t>拓展阅读</w:t>
            </w:r>
          </w:p>
        </w:tc>
        <w:tc>
          <w:tcPr>
            <w:tcW w:w="725" w:type="dxa"/>
            <w:vAlign w:val="center"/>
          </w:tcPr>
          <w:p w14:paraId="1DF9F96E">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25321FD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72FB2F0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2DD4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7A17CBD0">
            <w:pPr>
              <w:pStyle w:val="13"/>
              <w:widowControl w:val="0"/>
              <w:jc w:val="left"/>
              <w:rPr>
                <w:rFonts w:hint="eastAsia"/>
              </w:rPr>
            </w:pPr>
            <w:r>
              <w:rPr>
                <w:rFonts w:hint="eastAsia" w:ascii="宋体" w:hAnsi="宋体" w:eastAsia="宋体" w:cs="宋体"/>
                <w:bCs/>
                <w:color w:val="auto"/>
                <w:szCs w:val="21"/>
                <w:lang w:val="en-US" w:eastAsia="zh-CN"/>
              </w:rPr>
              <w:t>第十一课 策略综合应用（一）——自然与环境类文章</w:t>
            </w:r>
          </w:p>
        </w:tc>
        <w:tc>
          <w:tcPr>
            <w:tcW w:w="2755" w:type="dxa"/>
            <w:tcBorders>
              <w:left w:val="single" w:color="auto" w:sz="12" w:space="0"/>
            </w:tcBorders>
            <w:vAlign w:val="center"/>
          </w:tcPr>
          <w:p w14:paraId="40A229E7">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384FE06D">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5D31D9B1">
            <w:pPr>
              <w:widowControl w:val="0"/>
              <w:jc w:val="center"/>
              <w:rPr>
                <w:rFonts w:hint="eastAsia"/>
              </w:rPr>
            </w:pPr>
            <w:r>
              <w:rPr>
                <w:rFonts w:hint="eastAsia" w:ascii="Times New Roman" w:hAnsi="Times New Roman"/>
                <w:bCs/>
                <w:sz w:val="21"/>
                <w:szCs w:val="21"/>
                <w:lang w:val="en-US" w:eastAsia="zh-CN"/>
              </w:rPr>
              <w:t>阅读训练</w:t>
            </w:r>
          </w:p>
        </w:tc>
        <w:tc>
          <w:tcPr>
            <w:tcW w:w="725" w:type="dxa"/>
            <w:vAlign w:val="center"/>
          </w:tcPr>
          <w:p w14:paraId="5FCE13F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27921BFB">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2911E89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17E1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36AFB6E4">
            <w:pPr>
              <w:pStyle w:val="13"/>
              <w:widowControl w:val="0"/>
              <w:jc w:val="left"/>
              <w:rPr>
                <w:rFonts w:hint="eastAsia"/>
              </w:rPr>
            </w:pPr>
            <w:r>
              <w:rPr>
                <w:rFonts w:hint="eastAsia" w:ascii="宋体" w:hAnsi="宋体" w:eastAsia="宋体" w:cs="宋体"/>
                <w:bCs/>
                <w:color w:val="auto"/>
                <w:szCs w:val="21"/>
                <w:lang w:val="en-US" w:eastAsia="zh-CN"/>
              </w:rPr>
              <w:t>第十二课 策略综合应用（二）——社会与生活类文章</w:t>
            </w:r>
          </w:p>
        </w:tc>
        <w:tc>
          <w:tcPr>
            <w:tcW w:w="2755" w:type="dxa"/>
            <w:tcBorders>
              <w:left w:val="single" w:color="auto" w:sz="12" w:space="0"/>
            </w:tcBorders>
            <w:vAlign w:val="center"/>
          </w:tcPr>
          <w:p w14:paraId="650C09D8">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047C96CE">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7B04AF36">
            <w:pPr>
              <w:widowControl w:val="0"/>
              <w:snapToGrid w:val="0"/>
              <w:jc w:val="center"/>
              <w:rPr>
                <w:rFonts w:hint="eastAsia"/>
              </w:rPr>
            </w:pPr>
            <w:r>
              <w:rPr>
                <w:rFonts w:hint="eastAsia" w:ascii="Times New Roman" w:hAnsi="Times New Roman"/>
                <w:bCs/>
                <w:sz w:val="21"/>
                <w:szCs w:val="21"/>
                <w:lang w:val="en-US" w:eastAsia="zh-CN"/>
              </w:rPr>
              <w:t>阅读训练</w:t>
            </w:r>
          </w:p>
        </w:tc>
        <w:tc>
          <w:tcPr>
            <w:tcW w:w="725" w:type="dxa"/>
            <w:vAlign w:val="center"/>
          </w:tcPr>
          <w:p w14:paraId="343BA7F1">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3B3C5D34">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5DDA8D5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05D9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54" w:hRule="atLeast"/>
          <w:jc w:val="center"/>
        </w:trPr>
        <w:tc>
          <w:tcPr>
            <w:tcW w:w="1872" w:type="dxa"/>
            <w:tcBorders>
              <w:left w:val="single" w:color="auto" w:sz="12" w:space="0"/>
            </w:tcBorders>
            <w:vAlign w:val="center"/>
          </w:tcPr>
          <w:p w14:paraId="766BF424">
            <w:pPr>
              <w:pStyle w:val="13"/>
              <w:widowControl w:val="0"/>
              <w:jc w:val="left"/>
              <w:rPr>
                <w:rFonts w:hint="eastAsia"/>
              </w:rPr>
            </w:pPr>
            <w:r>
              <w:rPr>
                <w:rFonts w:hint="eastAsia" w:asciiTheme="minorEastAsia" w:hAnsiTheme="minorEastAsia" w:eastAsiaTheme="minorEastAsia" w:cstheme="minorEastAsia"/>
                <w:bCs/>
                <w:color w:val="auto"/>
                <w:szCs w:val="21"/>
                <w:lang w:eastAsia="zh-CN"/>
              </w:rPr>
              <w:t>第</w:t>
            </w:r>
            <w:r>
              <w:rPr>
                <w:rFonts w:hint="eastAsia" w:ascii="宋体" w:hAnsi="宋体" w:eastAsia="宋体" w:cs="宋体"/>
                <w:bCs/>
                <w:color w:val="auto"/>
                <w:szCs w:val="21"/>
                <w:lang w:val="en-US" w:eastAsia="zh-CN"/>
              </w:rPr>
              <w:t>十三课 策略综合应用（三）——文化与教育类文章</w:t>
            </w:r>
          </w:p>
        </w:tc>
        <w:tc>
          <w:tcPr>
            <w:tcW w:w="2755" w:type="dxa"/>
            <w:tcBorders>
              <w:left w:val="single" w:color="auto" w:sz="12" w:space="0"/>
            </w:tcBorders>
            <w:vAlign w:val="center"/>
          </w:tcPr>
          <w:p w14:paraId="75053979">
            <w:pPr>
              <w:widowControl w:val="0"/>
              <w:jc w:val="both"/>
              <w:rPr>
                <w:rFonts w:hint="eastAsia"/>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42A8C838">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0785B440">
            <w:pPr>
              <w:widowControl w:val="0"/>
              <w:jc w:val="center"/>
              <w:rPr>
                <w:rFonts w:hint="eastAsia"/>
              </w:rPr>
            </w:pPr>
            <w:r>
              <w:rPr>
                <w:rFonts w:hint="eastAsia" w:ascii="Times New Roman" w:hAnsi="Times New Roman"/>
                <w:bCs/>
                <w:sz w:val="21"/>
                <w:szCs w:val="21"/>
                <w:lang w:val="en-US" w:eastAsia="zh-CN"/>
              </w:rPr>
              <w:t>阅读训练</w:t>
            </w:r>
          </w:p>
        </w:tc>
        <w:tc>
          <w:tcPr>
            <w:tcW w:w="725" w:type="dxa"/>
            <w:vAlign w:val="center"/>
          </w:tcPr>
          <w:p w14:paraId="6004AF4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644EB4B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717" w:type="dxa"/>
            <w:tcBorders>
              <w:right w:val="single" w:color="auto" w:sz="12" w:space="0"/>
            </w:tcBorders>
            <w:vAlign w:val="center"/>
          </w:tcPr>
          <w:p w14:paraId="314F5A8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3D29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54" w:hRule="atLeast"/>
          <w:jc w:val="center"/>
        </w:trPr>
        <w:tc>
          <w:tcPr>
            <w:tcW w:w="1872" w:type="dxa"/>
            <w:tcBorders>
              <w:left w:val="single" w:color="auto" w:sz="12" w:space="0"/>
            </w:tcBorders>
            <w:vAlign w:val="center"/>
          </w:tcPr>
          <w:p w14:paraId="564692DB">
            <w:pPr>
              <w:pStyle w:val="13"/>
              <w:widowControl w:val="0"/>
              <w:jc w:val="left"/>
              <w:rPr>
                <w:rFonts w:hint="eastAsia" w:asciiTheme="minorEastAsia" w:hAnsiTheme="minorEastAsia" w:eastAsiaTheme="minorEastAsia" w:cstheme="minorEastAsia"/>
                <w:bCs/>
                <w:color w:val="auto"/>
                <w:szCs w:val="21"/>
                <w:lang w:eastAsia="zh-CN"/>
              </w:rPr>
            </w:pPr>
            <w:r>
              <w:rPr>
                <w:rFonts w:hint="eastAsia" w:asciiTheme="minorEastAsia" w:hAnsiTheme="minorEastAsia" w:eastAsiaTheme="minorEastAsia" w:cstheme="minorEastAsia"/>
                <w:bCs/>
                <w:color w:val="auto"/>
                <w:szCs w:val="21"/>
                <w:lang w:eastAsia="zh-CN"/>
              </w:rPr>
              <w:t>第十</w:t>
            </w:r>
            <w:r>
              <w:rPr>
                <w:rFonts w:hint="eastAsia" w:asciiTheme="minorEastAsia" w:hAnsiTheme="minorEastAsia" w:eastAsiaTheme="minorEastAsia" w:cstheme="minorEastAsia"/>
                <w:bCs/>
                <w:color w:val="auto"/>
                <w:szCs w:val="21"/>
                <w:lang w:val="en-US" w:eastAsia="zh-CN"/>
              </w:rPr>
              <w:t>四</w:t>
            </w:r>
            <w:r>
              <w:rPr>
                <w:rFonts w:hint="eastAsia" w:asciiTheme="minorEastAsia" w:hAnsiTheme="minorEastAsia" w:eastAsiaTheme="minorEastAsia" w:cstheme="minorEastAsia"/>
                <w:bCs/>
                <w:color w:val="auto"/>
                <w:szCs w:val="21"/>
                <w:lang w:eastAsia="zh-CN"/>
              </w:rPr>
              <w:t>课</w:t>
            </w:r>
            <w:r>
              <w:rPr>
                <w:rFonts w:hint="eastAsia" w:asciiTheme="minorEastAsia" w:hAnsiTheme="minorEastAsia" w:eastAsiaTheme="minorEastAsia" w:cstheme="minorEastAsia"/>
                <w:bCs/>
                <w:color w:val="auto"/>
                <w:szCs w:val="21"/>
                <w:lang w:val="en-US" w:eastAsia="zh-CN"/>
              </w:rPr>
              <w:t xml:space="preserve"> </w:t>
            </w:r>
            <w:r>
              <w:rPr>
                <w:rFonts w:hint="eastAsia" w:ascii="宋体" w:hAnsi="宋体" w:eastAsia="宋体" w:cs="宋体"/>
                <w:bCs/>
                <w:color w:val="auto"/>
                <w:kern w:val="0"/>
                <w:szCs w:val="21"/>
                <w:lang w:val="en-US" w:eastAsia="zh-CN"/>
              </w:rPr>
              <w:t>策略综合应用（四）——科技与经济类文章</w:t>
            </w:r>
          </w:p>
        </w:tc>
        <w:tc>
          <w:tcPr>
            <w:tcW w:w="2755" w:type="dxa"/>
            <w:tcBorders>
              <w:left w:val="single" w:color="auto" w:sz="12" w:space="0"/>
            </w:tcBorders>
            <w:vAlign w:val="center"/>
          </w:tcPr>
          <w:p w14:paraId="3D19D4B8">
            <w:pPr>
              <w:widowControl w:val="0"/>
              <w:jc w:val="both"/>
              <w:rPr>
                <w:rFonts w:hint="eastAsia" w:ascii="宋体" w:hAnsi="宋体" w:eastAsia="宋体" w:cs="宋体"/>
                <w:bCs/>
                <w:sz w:val="21"/>
                <w:szCs w:val="21"/>
                <w:lang w:eastAsia="zh-CN"/>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3F6584A8">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323A9CAD">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132B8DAB">
            <w:pPr>
              <w:widowControl w:val="0"/>
              <w:jc w:val="center"/>
              <w:rPr>
                <w:rFonts w:hint="eastAsia" w:ascii="Times New Roman" w:hAnsi="Times New Roman"/>
                <w:sz w:val="21"/>
                <w:szCs w:val="21"/>
              </w:rPr>
            </w:pPr>
            <w:r>
              <w:rPr>
                <w:rFonts w:hint="eastAsia" w:ascii="Times New Roman" w:hAnsi="Times New Roman"/>
                <w:bCs/>
                <w:sz w:val="21"/>
                <w:szCs w:val="21"/>
                <w:lang w:val="en-US" w:eastAsia="zh-CN"/>
              </w:rPr>
              <w:t>拓展阅读</w:t>
            </w:r>
          </w:p>
        </w:tc>
        <w:tc>
          <w:tcPr>
            <w:tcW w:w="725" w:type="dxa"/>
            <w:vAlign w:val="center"/>
          </w:tcPr>
          <w:p w14:paraId="32C35152">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6914139E">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3D00A067">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r>
      <w:tr w14:paraId="27B3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54" w:hRule="atLeast"/>
          <w:jc w:val="center"/>
        </w:trPr>
        <w:tc>
          <w:tcPr>
            <w:tcW w:w="1872" w:type="dxa"/>
            <w:tcBorders>
              <w:left w:val="single" w:color="auto" w:sz="12" w:space="0"/>
            </w:tcBorders>
            <w:vAlign w:val="center"/>
          </w:tcPr>
          <w:p w14:paraId="3A83101F">
            <w:pPr>
              <w:pStyle w:val="13"/>
              <w:widowControl w:val="0"/>
              <w:jc w:val="left"/>
              <w:rPr>
                <w:rFonts w:hint="eastAsia" w:asciiTheme="minorEastAsia" w:hAnsiTheme="minorEastAsia" w:eastAsiaTheme="minorEastAsia" w:cstheme="minorEastAsia"/>
                <w:bCs/>
                <w:color w:val="auto"/>
                <w:szCs w:val="21"/>
                <w:lang w:eastAsia="zh-CN"/>
              </w:rPr>
            </w:pPr>
            <w:r>
              <w:rPr>
                <w:rFonts w:hint="eastAsia" w:ascii="宋体" w:hAnsi="宋体" w:eastAsia="宋体" w:cs="宋体"/>
                <w:bCs/>
                <w:color w:val="auto"/>
                <w:kern w:val="0"/>
                <w:szCs w:val="21"/>
                <w:lang w:val="en-US" w:eastAsia="zh-CN"/>
              </w:rPr>
              <w:t>第十五课 实战模拟与速度强化</w:t>
            </w:r>
          </w:p>
        </w:tc>
        <w:tc>
          <w:tcPr>
            <w:tcW w:w="2755" w:type="dxa"/>
            <w:tcBorders>
              <w:left w:val="single" w:color="auto" w:sz="12" w:space="0"/>
            </w:tcBorders>
            <w:vAlign w:val="center"/>
          </w:tcPr>
          <w:p w14:paraId="7AC4F340">
            <w:pPr>
              <w:widowControl w:val="0"/>
              <w:jc w:val="both"/>
              <w:rPr>
                <w:rFonts w:hint="eastAsia" w:ascii="宋体" w:hAnsi="宋体" w:eastAsia="宋体" w:cs="宋体"/>
                <w:bCs/>
                <w:sz w:val="21"/>
                <w:szCs w:val="21"/>
                <w:lang w:eastAsia="zh-CN"/>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25E6860D">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16237A16">
            <w:pPr>
              <w:widowControl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阅读训练</w:t>
            </w:r>
          </w:p>
          <w:p w14:paraId="4FE7E6D4">
            <w:pPr>
              <w:widowControl w:val="0"/>
              <w:jc w:val="center"/>
              <w:rPr>
                <w:rFonts w:hint="eastAsia" w:ascii="Times New Roman" w:hAnsi="Times New Roman"/>
                <w:bCs/>
                <w:sz w:val="21"/>
                <w:szCs w:val="21"/>
                <w:lang w:val="en-US" w:eastAsia="zh-CN"/>
              </w:rPr>
            </w:pPr>
            <w:r>
              <w:rPr>
                <w:rFonts w:hint="eastAsia" w:ascii="Times New Roman" w:hAnsi="Times New Roman"/>
                <w:sz w:val="21"/>
                <w:szCs w:val="21"/>
              </w:rPr>
              <w:t>纸笔测验</w:t>
            </w:r>
          </w:p>
        </w:tc>
        <w:tc>
          <w:tcPr>
            <w:tcW w:w="725" w:type="dxa"/>
            <w:vAlign w:val="center"/>
          </w:tcPr>
          <w:p w14:paraId="5DE995D9">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057BE554">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353F2CC5">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r>
      <w:tr w14:paraId="7049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954" w:hRule="atLeast"/>
          <w:jc w:val="center"/>
        </w:trPr>
        <w:tc>
          <w:tcPr>
            <w:tcW w:w="1872" w:type="dxa"/>
            <w:tcBorders>
              <w:left w:val="single" w:color="auto" w:sz="12" w:space="0"/>
            </w:tcBorders>
            <w:vAlign w:val="center"/>
          </w:tcPr>
          <w:p w14:paraId="156873FF">
            <w:pPr>
              <w:pStyle w:val="13"/>
              <w:widowControl w:val="0"/>
              <w:jc w:val="left"/>
              <w:rPr>
                <w:rFonts w:hint="eastAsia" w:asciiTheme="minorEastAsia" w:hAnsiTheme="minorEastAsia" w:eastAsiaTheme="minorEastAsia" w:cstheme="minorEastAsia"/>
                <w:bCs/>
                <w:color w:val="auto"/>
                <w:szCs w:val="21"/>
                <w:lang w:eastAsia="zh-CN"/>
              </w:rPr>
            </w:pPr>
            <w:r>
              <w:rPr>
                <w:rFonts w:hint="eastAsia" w:ascii="宋体" w:hAnsi="宋体" w:eastAsia="宋体" w:cs="宋体"/>
                <w:bCs/>
                <w:color w:val="auto"/>
                <w:kern w:val="0"/>
                <w:szCs w:val="21"/>
                <w:lang w:val="en-US" w:eastAsia="zh-CN"/>
              </w:rPr>
              <w:t>第十六课 总结与复习</w:t>
            </w:r>
          </w:p>
        </w:tc>
        <w:tc>
          <w:tcPr>
            <w:tcW w:w="2755" w:type="dxa"/>
            <w:tcBorders>
              <w:left w:val="single" w:color="auto" w:sz="12" w:space="0"/>
            </w:tcBorders>
            <w:vAlign w:val="center"/>
          </w:tcPr>
          <w:p w14:paraId="78A21816">
            <w:pPr>
              <w:widowControl w:val="0"/>
              <w:jc w:val="both"/>
              <w:rPr>
                <w:rFonts w:hint="eastAsia" w:ascii="宋体" w:hAnsi="宋体" w:eastAsia="宋体" w:cs="宋体"/>
                <w:bCs/>
                <w:sz w:val="21"/>
                <w:szCs w:val="21"/>
                <w:lang w:eastAsia="zh-CN"/>
              </w:rPr>
            </w:pPr>
            <w:r>
              <w:rPr>
                <w:rFonts w:hint="eastAsia" w:ascii="宋体" w:hAnsi="宋体" w:eastAsia="宋体" w:cs="宋体"/>
                <w:bCs/>
                <w:sz w:val="21"/>
                <w:szCs w:val="21"/>
                <w:lang w:eastAsia="zh-CN"/>
              </w:rPr>
              <w:t>本</w:t>
            </w:r>
            <w:r>
              <w:rPr>
                <w:rFonts w:hint="eastAsia" w:cs="宋体"/>
                <w:bCs/>
                <w:sz w:val="21"/>
                <w:szCs w:val="21"/>
                <w:lang w:val="en-US" w:eastAsia="zh-CN"/>
              </w:rPr>
              <w:t>课</w:t>
            </w:r>
            <w:r>
              <w:rPr>
                <w:rFonts w:hint="eastAsia" w:ascii="宋体" w:hAnsi="宋体" w:eastAsia="宋体" w:cs="宋体"/>
                <w:bCs/>
                <w:sz w:val="21"/>
                <w:szCs w:val="21"/>
                <w:lang w:eastAsia="zh-CN"/>
              </w:rPr>
              <w:t>采用直接教学、探究式教学、引导学生自主总结、互动模式等方式教授。教学资源上采用多媒体教学，特定参考资料，参考网址等方式</w:t>
            </w:r>
          </w:p>
        </w:tc>
        <w:tc>
          <w:tcPr>
            <w:tcW w:w="1738" w:type="dxa"/>
            <w:tcBorders>
              <w:left w:val="single" w:color="auto" w:sz="12" w:space="0"/>
            </w:tcBorders>
            <w:vAlign w:val="center"/>
          </w:tcPr>
          <w:p w14:paraId="6C6D7FFF">
            <w:pPr>
              <w:widowControl w:val="0"/>
              <w:snapToGrid w:val="0"/>
              <w:jc w:val="center"/>
              <w:rPr>
                <w:rFonts w:hint="eastAsia" w:ascii="Times New Roman" w:hAnsi="Times New Roman"/>
                <w:bCs/>
                <w:sz w:val="21"/>
                <w:szCs w:val="21"/>
                <w:lang w:val="en-US" w:eastAsia="zh-CN"/>
              </w:rPr>
            </w:pPr>
            <w:r>
              <w:rPr>
                <w:rFonts w:hint="eastAsia" w:ascii="Times New Roman" w:hAnsi="Times New Roman"/>
                <w:bCs/>
                <w:sz w:val="21"/>
                <w:szCs w:val="21"/>
                <w:lang w:val="en-US" w:eastAsia="zh-CN"/>
              </w:rPr>
              <w:t>课堂展示</w:t>
            </w:r>
          </w:p>
          <w:p w14:paraId="1630925E">
            <w:pPr>
              <w:widowControl w:val="0"/>
              <w:jc w:val="center"/>
              <w:rPr>
                <w:rFonts w:hint="eastAsia" w:ascii="Times New Roman" w:hAnsi="Times New Roman"/>
                <w:sz w:val="21"/>
                <w:szCs w:val="21"/>
              </w:rPr>
            </w:pPr>
            <w:r>
              <w:rPr>
                <w:rFonts w:hint="eastAsia" w:ascii="Times New Roman" w:hAnsi="Times New Roman"/>
                <w:bCs/>
                <w:sz w:val="21"/>
                <w:szCs w:val="21"/>
                <w:lang w:val="en-US" w:eastAsia="zh-CN"/>
              </w:rPr>
              <w:t>阅读训练</w:t>
            </w:r>
          </w:p>
        </w:tc>
        <w:tc>
          <w:tcPr>
            <w:tcW w:w="725" w:type="dxa"/>
            <w:vAlign w:val="center"/>
          </w:tcPr>
          <w:p w14:paraId="1C84AA72">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0</w:t>
            </w:r>
          </w:p>
        </w:tc>
        <w:tc>
          <w:tcPr>
            <w:tcW w:w="669" w:type="dxa"/>
            <w:vAlign w:val="center"/>
          </w:tcPr>
          <w:p w14:paraId="11499FED">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17F9F522">
            <w:pPr>
              <w:widowControl w:val="0"/>
              <w:snapToGrid w:val="0"/>
              <w:jc w:val="center"/>
              <w:rPr>
                <w:rFonts w:hint="default" w:ascii="Times New Roman" w:hAnsi="Times New Roman"/>
                <w:bCs/>
                <w:sz w:val="21"/>
                <w:szCs w:val="21"/>
                <w:lang w:val="en-US" w:eastAsia="zh-CN"/>
              </w:rPr>
            </w:pPr>
            <w:r>
              <w:rPr>
                <w:rFonts w:hint="eastAsia" w:ascii="Times New Roman" w:hAnsi="Times New Roman"/>
                <w:bCs/>
                <w:sz w:val="21"/>
                <w:szCs w:val="21"/>
                <w:lang w:val="en-US" w:eastAsia="zh-CN"/>
              </w:rPr>
              <w:t>2</w:t>
            </w:r>
          </w:p>
        </w:tc>
      </w:tr>
      <w:tr w14:paraId="6618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4A86CBD8">
            <w:pPr>
              <w:pStyle w:val="13"/>
              <w:widowControl w:val="0"/>
              <w:rPr>
                <w:rFonts w:hint="eastAsia"/>
              </w:rPr>
            </w:pPr>
            <w:r>
              <w:rPr>
                <w:rFonts w:hint="eastAsia"/>
              </w:rPr>
              <w:t>合计</w:t>
            </w:r>
          </w:p>
        </w:tc>
        <w:tc>
          <w:tcPr>
            <w:tcW w:w="725" w:type="dxa"/>
            <w:tcBorders>
              <w:bottom w:val="single" w:color="auto" w:sz="12" w:space="0"/>
            </w:tcBorders>
            <w:vAlign w:val="center"/>
          </w:tcPr>
          <w:p w14:paraId="14969747">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669" w:type="dxa"/>
            <w:tcBorders>
              <w:bottom w:val="single" w:color="auto" w:sz="12" w:space="0"/>
            </w:tcBorders>
            <w:vAlign w:val="center"/>
          </w:tcPr>
          <w:p w14:paraId="6635E4F8">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24</w:t>
            </w:r>
          </w:p>
        </w:tc>
        <w:tc>
          <w:tcPr>
            <w:tcW w:w="717" w:type="dxa"/>
            <w:tcBorders>
              <w:bottom w:val="single" w:color="auto" w:sz="12" w:space="0"/>
              <w:right w:val="single" w:color="auto" w:sz="12" w:space="0"/>
            </w:tcBorders>
            <w:vAlign w:val="center"/>
          </w:tcPr>
          <w:p w14:paraId="188B40DD">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r>
    </w:tbl>
    <w:p w14:paraId="110F9B99">
      <w:pPr>
        <w:pStyle w:val="17"/>
        <w:spacing w:before="326" w:beforeLines="100" w:after="163"/>
      </w:pPr>
      <w:r>
        <w:rPr>
          <w:rFonts w:hint="eastAsia"/>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3497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16B5E17A">
            <w:pPr>
              <w:pStyle w:val="13"/>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32AA4357">
            <w:pPr>
              <w:pStyle w:val="13"/>
              <w:rPr>
                <w:szCs w:val="16"/>
              </w:rPr>
            </w:pPr>
            <w:r>
              <w:rPr>
                <w:rFonts w:hint="eastAsia"/>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30C19CD9">
            <w:pPr>
              <w:pStyle w:val="13"/>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327FB6B8">
            <w:pPr>
              <w:pStyle w:val="13"/>
              <w:rPr>
                <w:szCs w:val="16"/>
              </w:rPr>
            </w:pPr>
            <w:r>
              <w:rPr>
                <w:rFonts w:hint="eastAsia"/>
                <w:szCs w:val="16"/>
              </w:rPr>
              <w:t>实验</w:t>
            </w:r>
          </w:p>
          <w:p w14:paraId="5B5BF5FE">
            <w:pPr>
              <w:pStyle w:val="13"/>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1D2B85E8">
            <w:pPr>
              <w:pStyle w:val="13"/>
              <w:rPr>
                <w:szCs w:val="16"/>
              </w:rPr>
            </w:pPr>
            <w:r>
              <w:rPr>
                <w:rFonts w:hint="eastAsia"/>
                <w:szCs w:val="16"/>
              </w:rPr>
              <w:t>实验</w:t>
            </w:r>
          </w:p>
          <w:p w14:paraId="69B1B05E">
            <w:pPr>
              <w:pStyle w:val="13"/>
              <w:rPr>
                <w:szCs w:val="16"/>
              </w:rPr>
            </w:pPr>
            <w:r>
              <w:rPr>
                <w:rFonts w:hint="eastAsia"/>
                <w:szCs w:val="16"/>
              </w:rPr>
              <w:t>类型</w:t>
            </w:r>
          </w:p>
        </w:tc>
      </w:tr>
      <w:tr w14:paraId="4986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15C01D38">
            <w:pPr>
              <w:pStyle w:val="14"/>
            </w:pPr>
            <w:r>
              <w:rPr>
                <w:rFonts w:hint="eastAsia"/>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DF36D84">
            <w:pPr>
              <w:pStyle w:val="14"/>
            </w:pPr>
            <w:r>
              <w:rPr>
                <w:rFonts w:hint="eastAsia" w:ascii="宋体"/>
                <w:sz w:val="21"/>
                <w:szCs w:val="21"/>
                <w:lang w:val="en-US" w:eastAsia="zh-CN"/>
              </w:rPr>
              <w:t>阅读</w:t>
            </w:r>
            <w:r>
              <w:rPr>
                <w:rFonts w:hint="eastAsia" w:ascii="宋体"/>
                <w:sz w:val="21"/>
                <w:szCs w:val="21"/>
              </w:rPr>
              <w:t>训练</w:t>
            </w:r>
          </w:p>
        </w:tc>
        <w:tc>
          <w:tcPr>
            <w:tcW w:w="3965" w:type="dxa"/>
            <w:tcBorders>
              <w:top w:val="single" w:color="auto" w:sz="4" w:space="0"/>
              <w:left w:val="single" w:color="auto" w:sz="4" w:space="0"/>
              <w:bottom w:val="single" w:color="auto" w:sz="4" w:space="0"/>
              <w:right w:val="single" w:color="auto" w:sz="4" w:space="0"/>
            </w:tcBorders>
            <w:vAlign w:val="center"/>
          </w:tcPr>
          <w:p w14:paraId="162BE3F1">
            <w:pPr>
              <w:pStyle w:val="14"/>
              <w:jc w:val="center"/>
              <w:rPr>
                <w:rFonts w:hint="default" w:eastAsia="宋体"/>
                <w:lang w:val="en-US" w:eastAsia="zh-CN"/>
              </w:rPr>
            </w:pPr>
            <w:r>
              <w:rPr>
                <w:rFonts w:hint="eastAsia"/>
                <w:lang w:val="en-US" w:eastAsia="zh-CN"/>
              </w:rPr>
              <w:t>阅读理解练习</w:t>
            </w:r>
          </w:p>
        </w:tc>
        <w:tc>
          <w:tcPr>
            <w:tcW w:w="842" w:type="dxa"/>
            <w:tcBorders>
              <w:left w:val="single" w:color="auto" w:sz="4" w:space="0"/>
              <w:right w:val="single" w:color="auto" w:sz="4" w:space="0"/>
            </w:tcBorders>
            <w:shd w:val="clear" w:color="auto" w:fill="auto"/>
            <w:vAlign w:val="center"/>
          </w:tcPr>
          <w:p w14:paraId="1A723DC6">
            <w:pPr>
              <w:pStyle w:val="14"/>
              <w:rPr>
                <w:rFonts w:hint="eastAsia" w:eastAsia="宋体"/>
                <w:lang w:val="en-US" w:eastAsia="zh-CN"/>
              </w:rPr>
            </w:pPr>
            <w:r>
              <w:rPr>
                <w:rFonts w:hint="eastAsia"/>
                <w:lang w:val="en-US" w:eastAsia="zh-CN"/>
              </w:rPr>
              <w:t>4</w:t>
            </w:r>
          </w:p>
        </w:tc>
        <w:tc>
          <w:tcPr>
            <w:tcW w:w="928" w:type="dxa"/>
            <w:tcBorders>
              <w:left w:val="single" w:color="auto" w:sz="4" w:space="0"/>
              <w:right w:val="single" w:color="auto" w:sz="12" w:space="0"/>
            </w:tcBorders>
            <w:shd w:val="clear" w:color="auto" w:fill="auto"/>
            <w:vAlign w:val="center"/>
          </w:tcPr>
          <w:p w14:paraId="69A1EA5D">
            <w:pPr>
              <w:pStyle w:val="14"/>
            </w:pPr>
            <w:r>
              <w:rPr>
                <w:rFonts w:hint="eastAsia"/>
              </w:rPr>
              <w:t>①</w:t>
            </w:r>
          </w:p>
        </w:tc>
      </w:tr>
      <w:tr w14:paraId="3DB5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4C90450">
            <w:pPr>
              <w:pStyle w:val="14"/>
            </w:pPr>
            <w:r>
              <w:rPr>
                <w:rFonts w:hint="eastAsia"/>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8811466">
            <w:pPr>
              <w:pStyle w:val="14"/>
            </w:pPr>
            <w:r>
              <w:rPr>
                <w:rFonts w:hint="eastAsia" w:ascii="宋体"/>
                <w:sz w:val="21"/>
                <w:szCs w:val="21"/>
              </w:rPr>
              <w:t>词汇训练</w:t>
            </w:r>
          </w:p>
        </w:tc>
        <w:tc>
          <w:tcPr>
            <w:tcW w:w="3965" w:type="dxa"/>
            <w:tcBorders>
              <w:top w:val="single" w:color="auto" w:sz="4" w:space="0"/>
              <w:left w:val="single" w:color="auto" w:sz="4" w:space="0"/>
              <w:bottom w:val="single" w:color="auto" w:sz="4" w:space="0"/>
              <w:right w:val="single" w:color="auto" w:sz="4" w:space="0"/>
            </w:tcBorders>
            <w:vAlign w:val="center"/>
          </w:tcPr>
          <w:p w14:paraId="0946B4FD">
            <w:pPr>
              <w:pStyle w:val="14"/>
              <w:jc w:val="center"/>
            </w:pPr>
            <w:r>
              <w:rPr>
                <w:rFonts w:hint="eastAsia" w:ascii="宋体"/>
                <w:sz w:val="21"/>
                <w:szCs w:val="21"/>
              </w:rPr>
              <w:t>词汇拼写练习</w:t>
            </w:r>
          </w:p>
        </w:tc>
        <w:tc>
          <w:tcPr>
            <w:tcW w:w="842" w:type="dxa"/>
            <w:tcBorders>
              <w:left w:val="single" w:color="auto" w:sz="4" w:space="0"/>
              <w:bottom w:val="single" w:color="auto" w:sz="4" w:space="0"/>
              <w:right w:val="single" w:color="auto" w:sz="4" w:space="0"/>
            </w:tcBorders>
            <w:shd w:val="clear" w:color="auto" w:fill="auto"/>
            <w:vAlign w:val="center"/>
          </w:tcPr>
          <w:p w14:paraId="202E52DB">
            <w:pPr>
              <w:pStyle w:val="14"/>
              <w:rPr>
                <w:rFonts w:hint="eastAsia" w:eastAsia="宋体"/>
                <w:lang w:val="en-US" w:eastAsia="zh-CN"/>
              </w:rPr>
            </w:pPr>
            <w:r>
              <w:rPr>
                <w:rFonts w:hint="eastAsia"/>
                <w:lang w:val="en-US" w:eastAsia="zh-CN"/>
              </w:rPr>
              <w:t>4</w:t>
            </w:r>
          </w:p>
        </w:tc>
        <w:tc>
          <w:tcPr>
            <w:tcW w:w="928" w:type="dxa"/>
            <w:tcBorders>
              <w:left w:val="single" w:color="auto" w:sz="4" w:space="0"/>
              <w:bottom w:val="single" w:color="auto" w:sz="4" w:space="0"/>
              <w:right w:val="single" w:color="auto" w:sz="12" w:space="0"/>
            </w:tcBorders>
            <w:shd w:val="clear" w:color="auto" w:fill="auto"/>
            <w:vAlign w:val="center"/>
          </w:tcPr>
          <w:p w14:paraId="5D36F05C">
            <w:pPr>
              <w:pStyle w:val="14"/>
            </w:pPr>
            <w:r>
              <w:rPr>
                <w:rFonts w:hint="eastAsia"/>
              </w:rPr>
              <w:t>①</w:t>
            </w:r>
          </w:p>
        </w:tc>
      </w:tr>
      <w:tr w14:paraId="7C74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50E18D84">
            <w:pPr>
              <w:pStyle w:val="14"/>
            </w:pPr>
            <w:r>
              <w:rPr>
                <w:rFonts w:hint="eastAsia"/>
              </w:rP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5F892D8B">
            <w:pPr>
              <w:pStyle w:val="14"/>
            </w:pPr>
            <w:r>
              <w:rPr>
                <w:rFonts w:hint="eastAsia" w:ascii="宋体"/>
                <w:sz w:val="21"/>
                <w:szCs w:val="21"/>
              </w:rPr>
              <w:t>对话训练</w:t>
            </w:r>
          </w:p>
        </w:tc>
        <w:tc>
          <w:tcPr>
            <w:tcW w:w="3965" w:type="dxa"/>
            <w:tcBorders>
              <w:top w:val="single" w:color="auto" w:sz="4" w:space="0"/>
              <w:left w:val="single" w:color="auto" w:sz="4" w:space="0"/>
              <w:bottom w:val="single" w:color="auto" w:sz="4" w:space="0"/>
              <w:right w:val="single" w:color="auto" w:sz="4" w:space="0"/>
            </w:tcBorders>
            <w:vAlign w:val="center"/>
          </w:tcPr>
          <w:p w14:paraId="7D3A096E">
            <w:pPr>
              <w:pStyle w:val="14"/>
              <w:jc w:val="center"/>
            </w:pPr>
            <w:r>
              <w:rPr>
                <w:rFonts w:hint="eastAsia" w:ascii="宋体"/>
                <w:sz w:val="21"/>
                <w:szCs w:val="21"/>
              </w:rPr>
              <w:t>练习日常交际对话</w:t>
            </w:r>
          </w:p>
        </w:tc>
        <w:tc>
          <w:tcPr>
            <w:tcW w:w="842" w:type="dxa"/>
            <w:tcBorders>
              <w:left w:val="single" w:color="auto" w:sz="4" w:space="0"/>
              <w:right w:val="single" w:color="auto" w:sz="4" w:space="0"/>
            </w:tcBorders>
            <w:shd w:val="clear" w:color="auto" w:fill="auto"/>
            <w:vAlign w:val="center"/>
          </w:tcPr>
          <w:p w14:paraId="700C2B33">
            <w:pPr>
              <w:pStyle w:val="14"/>
              <w:rPr>
                <w:rFonts w:hint="eastAsia" w:eastAsia="宋体"/>
                <w:lang w:val="en-US" w:eastAsia="zh-CN"/>
              </w:rPr>
            </w:pPr>
            <w:r>
              <w:rPr>
                <w:rFonts w:hint="eastAsia"/>
                <w:lang w:val="en-US" w:eastAsia="zh-CN"/>
              </w:rPr>
              <w:t>4</w:t>
            </w:r>
          </w:p>
        </w:tc>
        <w:tc>
          <w:tcPr>
            <w:tcW w:w="928" w:type="dxa"/>
            <w:tcBorders>
              <w:left w:val="single" w:color="auto" w:sz="4" w:space="0"/>
              <w:right w:val="single" w:color="auto" w:sz="12" w:space="0"/>
            </w:tcBorders>
            <w:shd w:val="clear" w:color="auto" w:fill="auto"/>
            <w:vAlign w:val="center"/>
          </w:tcPr>
          <w:p w14:paraId="53990342">
            <w:pPr>
              <w:pStyle w:val="14"/>
            </w:pPr>
            <w:r>
              <w:rPr>
                <w:rFonts w:hint="eastAsia"/>
              </w:rPr>
              <w:t>①</w:t>
            </w:r>
          </w:p>
        </w:tc>
      </w:tr>
      <w:tr w14:paraId="0A5D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44BE980A">
            <w:pPr>
              <w:pStyle w:val="14"/>
              <w:rPr>
                <w:rFonts w:hint="default" w:eastAsia="宋体"/>
                <w:lang w:val="en-US" w:eastAsia="zh-CN"/>
              </w:rPr>
            </w:pPr>
            <w:r>
              <w:rPr>
                <w:rFonts w:hint="eastAsia"/>
                <w:lang w:val="en-US" w:eastAsia="zh-CN"/>
              </w:rPr>
              <w:t>4</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58A658F6">
            <w:pPr>
              <w:pStyle w:val="14"/>
              <w:rPr>
                <w:rFonts w:hint="eastAsia" w:ascii="宋体"/>
                <w:sz w:val="20"/>
                <w:szCs w:val="20"/>
              </w:rPr>
            </w:pPr>
            <w:r>
              <w:rPr>
                <w:rFonts w:hint="eastAsia" w:ascii="宋体"/>
                <w:sz w:val="21"/>
                <w:szCs w:val="21"/>
              </w:rPr>
              <w:t>课堂展示</w:t>
            </w:r>
          </w:p>
        </w:tc>
        <w:tc>
          <w:tcPr>
            <w:tcW w:w="3965" w:type="dxa"/>
            <w:tcBorders>
              <w:top w:val="single" w:color="auto" w:sz="4" w:space="0"/>
              <w:left w:val="single" w:color="auto" w:sz="4" w:space="0"/>
              <w:bottom w:val="single" w:color="auto" w:sz="4" w:space="0"/>
              <w:right w:val="single" w:color="auto" w:sz="4" w:space="0"/>
            </w:tcBorders>
            <w:vAlign w:val="center"/>
          </w:tcPr>
          <w:p w14:paraId="360E04FD">
            <w:pPr>
              <w:pStyle w:val="14"/>
              <w:jc w:val="center"/>
            </w:pPr>
            <w:r>
              <w:rPr>
                <w:rFonts w:hint="eastAsia" w:ascii="宋体"/>
                <w:sz w:val="21"/>
                <w:szCs w:val="21"/>
              </w:rPr>
              <w:t>课堂PPT展示，主题演讲</w:t>
            </w:r>
          </w:p>
        </w:tc>
        <w:tc>
          <w:tcPr>
            <w:tcW w:w="842" w:type="dxa"/>
            <w:tcBorders>
              <w:left w:val="single" w:color="auto" w:sz="4" w:space="0"/>
              <w:right w:val="single" w:color="auto" w:sz="4" w:space="0"/>
            </w:tcBorders>
            <w:shd w:val="clear" w:color="auto" w:fill="auto"/>
            <w:vAlign w:val="center"/>
          </w:tcPr>
          <w:p w14:paraId="66D045B7">
            <w:pPr>
              <w:pStyle w:val="14"/>
              <w:rPr>
                <w:rFonts w:hint="eastAsia" w:eastAsia="宋体"/>
                <w:lang w:val="en-US" w:eastAsia="zh-CN"/>
              </w:rPr>
            </w:pPr>
            <w:r>
              <w:rPr>
                <w:rFonts w:hint="eastAsia"/>
                <w:lang w:val="en-US" w:eastAsia="zh-CN"/>
              </w:rPr>
              <w:t>4</w:t>
            </w:r>
          </w:p>
        </w:tc>
        <w:tc>
          <w:tcPr>
            <w:tcW w:w="928" w:type="dxa"/>
            <w:tcBorders>
              <w:left w:val="single" w:color="auto" w:sz="4" w:space="0"/>
              <w:right w:val="single" w:color="auto" w:sz="12" w:space="0"/>
            </w:tcBorders>
            <w:shd w:val="clear" w:color="auto" w:fill="auto"/>
            <w:vAlign w:val="center"/>
          </w:tcPr>
          <w:p w14:paraId="3CDFC85E">
            <w:pPr>
              <w:pStyle w:val="14"/>
            </w:pPr>
            <w:r>
              <w:rPr>
                <w:rFonts w:hint="eastAsia"/>
              </w:rPr>
              <w:t>①</w:t>
            </w:r>
          </w:p>
        </w:tc>
      </w:tr>
      <w:tr w14:paraId="2260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3E4F2E17">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2F670CC8">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4345B4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402F6C6D">
            <w:pPr>
              <w:widowControl w:val="0"/>
              <w:spacing w:line="240" w:lineRule="auto"/>
              <w:ind w:firstLine="420" w:firstLineChars="200"/>
              <w:jc w:val="both"/>
              <w:rPr>
                <w:rFonts w:hint="eastAsia" w:ascii="宋体" w:hAnsi="宋体" w:eastAsia="宋体" w:cs="宋体"/>
                <w:i w:val="0"/>
                <w:iCs w:val="0"/>
                <w:caps w:val="0"/>
                <w:color w:val="000000"/>
                <w:spacing w:val="0"/>
                <w:sz w:val="21"/>
                <w:szCs w:val="21"/>
                <w:lang w:val="en-US" w:eastAsia="zh-CN"/>
              </w:rPr>
            </w:pPr>
            <w:r>
              <w:rPr>
                <w:rFonts w:hint="eastAsia" w:ascii="宋体" w:hAnsi="宋体" w:eastAsia="宋体" w:cs="宋体"/>
                <w:i w:val="0"/>
                <w:iCs w:val="0"/>
                <w:caps w:val="0"/>
                <w:color w:val="000000"/>
                <w:spacing w:val="0"/>
                <w:sz w:val="21"/>
                <w:szCs w:val="21"/>
                <w:lang w:val="en-US" w:eastAsia="zh-CN"/>
              </w:rPr>
              <w:t>在外语教学中，引导学生形成国际化视野和多元化意识，尊重不同国家和地区的文化差异，培养跨文化交际的能力和意识。随着全球化进程的加快，外语的教学已经不再是简单地传授语言架构和知识技能，更应该从文化地角度来理解和体验语言。因此课程思政在外语教学中为学生提供了更多的思想引导和价值观塑造。培养学生的爱国主义情感和全球化视野，引导学生树立正确的国家观和民族观。其次，强调外语教学的实用性和应用性，培养学生的创新思维和实践能力，增强学生的自主学习和解决问题的能力。培养学生语言文化素养，使其有正确的语言道德和文化素质。</w:t>
            </w:r>
          </w:p>
          <w:p w14:paraId="289DD5A2">
            <w:pPr>
              <w:widowControl w:val="0"/>
              <w:spacing w:line="240" w:lineRule="auto"/>
              <w:ind w:firstLine="420" w:firstLineChars="200"/>
              <w:jc w:val="both"/>
              <w:rPr>
                <w:rFonts w:hint="default"/>
                <w:lang w:val="en-US"/>
              </w:rPr>
            </w:pPr>
            <w:r>
              <w:rPr>
                <w:rFonts w:hint="eastAsia" w:ascii="宋体" w:hAnsi="宋体" w:eastAsia="宋体" w:cs="宋体"/>
                <w:i w:val="0"/>
                <w:iCs w:val="0"/>
                <w:caps w:val="0"/>
                <w:color w:val="000000"/>
                <w:spacing w:val="0"/>
                <w:sz w:val="21"/>
                <w:szCs w:val="21"/>
                <w:lang w:val="en-US" w:eastAsia="zh-CN"/>
              </w:rPr>
              <w:t>外语教学中的课程思政</w:t>
            </w:r>
            <w:r>
              <w:rPr>
                <w:rFonts w:hint="eastAsia" w:cs="宋体"/>
                <w:i w:val="0"/>
                <w:iCs w:val="0"/>
                <w:caps w:val="0"/>
                <w:color w:val="000000"/>
                <w:spacing w:val="0"/>
                <w:sz w:val="21"/>
                <w:szCs w:val="21"/>
                <w:lang w:val="en-US" w:eastAsia="zh-CN"/>
              </w:rPr>
              <w:t>是</w:t>
            </w:r>
            <w:r>
              <w:rPr>
                <w:rFonts w:hint="eastAsia" w:ascii="宋体" w:hAnsi="宋体" w:eastAsia="宋体" w:cs="宋体"/>
                <w:i w:val="0"/>
                <w:iCs w:val="0"/>
                <w:caps w:val="0"/>
                <w:color w:val="000000"/>
                <w:spacing w:val="0"/>
                <w:sz w:val="21"/>
                <w:szCs w:val="21"/>
                <w:lang w:val="en-US" w:eastAsia="zh-CN"/>
              </w:rPr>
              <w:t>极其重要的。它使学生在掌握语言能力的同时，形成正确的三观，成为既有国际视野又有深厚文化素养的全面发展的人才。</w:t>
            </w:r>
            <w:r>
              <w:rPr>
                <w:rFonts w:hint="eastAsia" w:cs="宋体"/>
                <w:i w:val="0"/>
                <w:iCs w:val="0"/>
                <w:caps w:val="0"/>
                <w:color w:val="000000"/>
                <w:spacing w:val="0"/>
                <w:sz w:val="21"/>
                <w:szCs w:val="21"/>
                <w:lang w:val="en-US" w:eastAsia="zh-CN"/>
              </w:rPr>
              <w:t>在德语分析阅读的授课中，课程思政会贯穿在每一个课程的教学环节中。通过导入，引起学生的关注和思考。通过主动讲授和学生自主阅读以及拓展阅读，讲述和比较中德两国的不同文化。最后进行主题的讨论。各抒己见。</w:t>
            </w:r>
          </w:p>
        </w:tc>
      </w:tr>
    </w:tbl>
    <w:p w14:paraId="23570F19">
      <w:pPr>
        <w:pStyle w:val="16"/>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678F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2790F52C">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5D69E54B">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6DE30742">
            <w:pPr>
              <w:pStyle w:val="16"/>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7225F514">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642E502B">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7DE3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4F2E0D71">
            <w:pPr>
              <w:widowControl w:val="0"/>
              <w:snapToGrid w:val="0"/>
              <w:jc w:val="center"/>
              <w:rPr>
                <w:rFonts w:ascii="黑体" w:hAnsi="黑体" w:eastAsia="黑体"/>
                <w:bCs/>
                <w:sz w:val="21"/>
                <w:szCs w:val="21"/>
              </w:rPr>
            </w:pPr>
          </w:p>
        </w:tc>
        <w:tc>
          <w:tcPr>
            <w:tcW w:w="709" w:type="dxa"/>
            <w:vMerge w:val="continue"/>
          </w:tcPr>
          <w:p w14:paraId="4386D98D">
            <w:pPr>
              <w:pStyle w:val="16"/>
              <w:widowControl w:val="0"/>
              <w:jc w:val="both"/>
              <w:rPr>
                <w:rFonts w:ascii="黑体" w:hAnsi="黑体"/>
                <w:bCs/>
                <w:sz w:val="21"/>
                <w:szCs w:val="21"/>
              </w:rPr>
            </w:pPr>
          </w:p>
        </w:tc>
        <w:tc>
          <w:tcPr>
            <w:tcW w:w="2353" w:type="dxa"/>
            <w:vMerge w:val="continue"/>
            <w:tcBorders>
              <w:right w:val="double" w:color="auto" w:sz="4" w:space="0"/>
            </w:tcBorders>
          </w:tcPr>
          <w:p w14:paraId="571D2C26">
            <w:pPr>
              <w:pStyle w:val="16"/>
              <w:widowControl w:val="0"/>
              <w:jc w:val="both"/>
              <w:rPr>
                <w:rFonts w:ascii="黑体" w:hAnsi="黑体"/>
                <w:bCs/>
                <w:sz w:val="21"/>
                <w:szCs w:val="21"/>
              </w:rPr>
            </w:pPr>
          </w:p>
        </w:tc>
        <w:tc>
          <w:tcPr>
            <w:tcW w:w="612" w:type="dxa"/>
            <w:tcBorders>
              <w:left w:val="double" w:color="auto" w:sz="4" w:space="0"/>
            </w:tcBorders>
            <w:vAlign w:val="center"/>
          </w:tcPr>
          <w:p w14:paraId="17F2BA32">
            <w:pPr>
              <w:pStyle w:val="16"/>
              <w:widowControl w:val="0"/>
              <w:spacing w:line="240" w:lineRule="auto"/>
              <w:jc w:val="center"/>
              <w:rPr>
                <w:rFonts w:hint="eastAsia" w:ascii="黑体" w:hAnsi="黑体" w:eastAsia="黑体"/>
                <w:bCs/>
                <w:sz w:val="21"/>
                <w:szCs w:val="21"/>
                <w:lang w:val="en-US" w:eastAsia="zh-CN"/>
              </w:rPr>
            </w:pPr>
            <w:r>
              <w:rPr>
                <w:rFonts w:hint="default" w:ascii="Times New Roman" w:hAnsi="Times New Roman" w:cs="Times New Roman"/>
                <w:bCs/>
                <w:sz w:val="21"/>
                <w:szCs w:val="21"/>
                <w:lang w:val="en-US" w:eastAsia="zh-CN"/>
              </w:rPr>
              <w:t>1</w:t>
            </w:r>
          </w:p>
        </w:tc>
        <w:tc>
          <w:tcPr>
            <w:tcW w:w="612" w:type="dxa"/>
            <w:vAlign w:val="center"/>
          </w:tcPr>
          <w:p w14:paraId="44B05562">
            <w:pPr>
              <w:pStyle w:val="16"/>
              <w:widowControl w:val="0"/>
              <w:spacing w:line="240" w:lineRule="auto"/>
              <w:jc w:val="center"/>
              <w:rPr>
                <w:rFonts w:hint="eastAsia" w:ascii="黑体" w:hAnsi="黑体" w:eastAsia="黑体"/>
                <w:bCs/>
                <w:sz w:val="21"/>
                <w:szCs w:val="21"/>
                <w:lang w:val="en-US" w:eastAsia="zh-CN"/>
              </w:rPr>
            </w:pPr>
            <w:r>
              <w:rPr>
                <w:rFonts w:hint="default" w:ascii="Times New Roman" w:hAnsi="Times New Roman" w:cs="Times New Roman"/>
                <w:bCs/>
                <w:sz w:val="21"/>
                <w:szCs w:val="21"/>
                <w:lang w:val="en-US" w:eastAsia="zh-CN"/>
              </w:rPr>
              <w:t>2</w:t>
            </w:r>
          </w:p>
        </w:tc>
        <w:tc>
          <w:tcPr>
            <w:tcW w:w="612" w:type="dxa"/>
            <w:vAlign w:val="center"/>
          </w:tcPr>
          <w:p w14:paraId="0FC76620">
            <w:pPr>
              <w:pStyle w:val="16"/>
              <w:widowControl w:val="0"/>
              <w:spacing w:line="240" w:lineRule="auto"/>
              <w:jc w:val="center"/>
              <w:rPr>
                <w:rFonts w:hint="eastAsia" w:ascii="黑体" w:hAnsi="黑体" w:eastAsia="黑体"/>
                <w:bCs/>
                <w:sz w:val="21"/>
                <w:szCs w:val="21"/>
                <w:lang w:val="en-US" w:eastAsia="zh-CN"/>
              </w:rPr>
            </w:pPr>
            <w:r>
              <w:rPr>
                <w:rFonts w:hint="default" w:ascii="Times New Roman" w:hAnsi="Times New Roman" w:cs="Times New Roman"/>
                <w:bCs/>
                <w:sz w:val="21"/>
                <w:szCs w:val="21"/>
                <w:lang w:val="en-US" w:eastAsia="zh-CN"/>
              </w:rPr>
              <w:t>3</w:t>
            </w:r>
          </w:p>
        </w:tc>
        <w:tc>
          <w:tcPr>
            <w:tcW w:w="612" w:type="dxa"/>
            <w:vAlign w:val="center"/>
          </w:tcPr>
          <w:p w14:paraId="56244E7B">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4</w:t>
            </w:r>
          </w:p>
        </w:tc>
        <w:tc>
          <w:tcPr>
            <w:tcW w:w="612" w:type="dxa"/>
            <w:vAlign w:val="center"/>
          </w:tcPr>
          <w:p w14:paraId="495B7B46">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5</w:t>
            </w:r>
          </w:p>
        </w:tc>
        <w:tc>
          <w:tcPr>
            <w:tcW w:w="612" w:type="dxa"/>
            <w:vAlign w:val="center"/>
          </w:tcPr>
          <w:p w14:paraId="7B2435BC">
            <w:pPr>
              <w:pStyle w:val="16"/>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6</w:t>
            </w:r>
          </w:p>
        </w:tc>
        <w:tc>
          <w:tcPr>
            <w:tcW w:w="706" w:type="dxa"/>
            <w:vMerge w:val="continue"/>
            <w:tcBorders>
              <w:right w:val="single" w:color="auto" w:sz="12" w:space="0"/>
            </w:tcBorders>
          </w:tcPr>
          <w:p w14:paraId="5D6DC76D">
            <w:pPr>
              <w:pStyle w:val="16"/>
              <w:widowControl w:val="0"/>
              <w:spacing w:line="240" w:lineRule="auto"/>
              <w:jc w:val="center"/>
              <w:rPr>
                <w:rFonts w:ascii="黑体" w:hAnsi="黑体"/>
                <w:bCs/>
                <w:sz w:val="21"/>
                <w:szCs w:val="21"/>
              </w:rPr>
            </w:pPr>
          </w:p>
        </w:tc>
      </w:tr>
      <w:tr w14:paraId="3A5B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D6861D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3CD6875D">
            <w:pPr>
              <w:pStyle w:val="14"/>
              <w:widowControl w:val="0"/>
            </w:pPr>
            <w:r>
              <w:rPr>
                <w:rFonts w:hint="eastAsia" w:cs="Times New Roman"/>
                <w:bCs/>
                <w:color w:val="000000"/>
                <w:szCs w:val="21"/>
                <w:lang w:val="en-US" w:eastAsia="zh-CN"/>
              </w:rPr>
              <w:t>60</w:t>
            </w:r>
            <w:r>
              <w:rPr>
                <w:rFonts w:hint="default" w:ascii="Times New Roman" w:hAnsi="Times New Roman" w:cs="Times New Roman"/>
                <w:bCs/>
                <w:color w:val="000000"/>
                <w:szCs w:val="21"/>
              </w:rPr>
              <w:t>%</w:t>
            </w:r>
          </w:p>
        </w:tc>
        <w:tc>
          <w:tcPr>
            <w:tcW w:w="2353" w:type="dxa"/>
            <w:tcBorders>
              <w:right w:val="double" w:color="auto" w:sz="4" w:space="0"/>
            </w:tcBorders>
            <w:vAlign w:val="center"/>
          </w:tcPr>
          <w:p w14:paraId="2F52A0D8">
            <w:pPr>
              <w:pStyle w:val="14"/>
              <w:widowControl w:val="0"/>
            </w:pPr>
            <w:r>
              <w:rPr>
                <w:rFonts w:hint="eastAsia" w:ascii="宋体" w:hAnsi="宋体"/>
                <w:bCs/>
                <w:color w:val="000000"/>
                <w:szCs w:val="20"/>
              </w:rPr>
              <w:t>期末闭卷考</w:t>
            </w:r>
          </w:p>
        </w:tc>
        <w:tc>
          <w:tcPr>
            <w:tcW w:w="612" w:type="dxa"/>
            <w:tcBorders>
              <w:left w:val="double" w:color="auto" w:sz="4" w:space="0"/>
            </w:tcBorders>
            <w:vAlign w:val="center"/>
          </w:tcPr>
          <w:p w14:paraId="60E3312B">
            <w:pPr>
              <w:pStyle w:val="14"/>
              <w:widowControl w:val="0"/>
              <w:rPr>
                <w:rFonts w:hint="default" w:eastAsia="宋体"/>
                <w:lang w:val="en-US" w:eastAsia="zh-CN"/>
              </w:rPr>
            </w:pPr>
            <w:r>
              <w:rPr>
                <w:rFonts w:hint="eastAsia"/>
                <w:lang w:val="en-US" w:eastAsia="zh-CN"/>
              </w:rPr>
              <w:t>50</w:t>
            </w:r>
          </w:p>
        </w:tc>
        <w:tc>
          <w:tcPr>
            <w:tcW w:w="612" w:type="dxa"/>
            <w:vAlign w:val="center"/>
          </w:tcPr>
          <w:p w14:paraId="4378BE62">
            <w:pPr>
              <w:pStyle w:val="14"/>
              <w:widowControl w:val="0"/>
              <w:rPr>
                <w:rFonts w:hint="default" w:eastAsia="宋体"/>
                <w:lang w:val="en-US" w:eastAsia="zh-CN"/>
              </w:rPr>
            </w:pPr>
            <w:r>
              <w:rPr>
                <w:rFonts w:hint="eastAsia"/>
                <w:lang w:val="en-US" w:eastAsia="zh-CN"/>
              </w:rPr>
              <w:t>30</w:t>
            </w:r>
          </w:p>
        </w:tc>
        <w:tc>
          <w:tcPr>
            <w:tcW w:w="612" w:type="dxa"/>
            <w:vAlign w:val="center"/>
          </w:tcPr>
          <w:p w14:paraId="1427D9F3">
            <w:pPr>
              <w:pStyle w:val="14"/>
              <w:widowControl w:val="0"/>
              <w:rPr>
                <w:rFonts w:hint="default" w:eastAsia="宋体"/>
                <w:lang w:val="en-US" w:eastAsia="zh-CN"/>
              </w:rPr>
            </w:pPr>
          </w:p>
        </w:tc>
        <w:tc>
          <w:tcPr>
            <w:tcW w:w="612" w:type="dxa"/>
            <w:vAlign w:val="center"/>
          </w:tcPr>
          <w:p w14:paraId="47A39211">
            <w:pPr>
              <w:pStyle w:val="14"/>
              <w:widowControl w:val="0"/>
              <w:rPr>
                <w:rFonts w:hint="default" w:eastAsia="宋体"/>
                <w:lang w:val="en-US" w:eastAsia="zh-CN"/>
              </w:rPr>
            </w:pPr>
          </w:p>
        </w:tc>
        <w:tc>
          <w:tcPr>
            <w:tcW w:w="612" w:type="dxa"/>
            <w:vAlign w:val="center"/>
          </w:tcPr>
          <w:p w14:paraId="1982C22E">
            <w:pPr>
              <w:pStyle w:val="14"/>
              <w:widowControl w:val="0"/>
              <w:rPr>
                <w:rFonts w:hint="default" w:eastAsia="宋体"/>
                <w:lang w:val="en-US" w:eastAsia="zh-CN"/>
              </w:rPr>
            </w:pPr>
            <w:r>
              <w:rPr>
                <w:rFonts w:hint="eastAsia"/>
                <w:lang w:val="en-US" w:eastAsia="zh-CN"/>
              </w:rPr>
              <w:t>10</w:t>
            </w:r>
          </w:p>
        </w:tc>
        <w:tc>
          <w:tcPr>
            <w:tcW w:w="612" w:type="dxa"/>
            <w:vAlign w:val="center"/>
          </w:tcPr>
          <w:p w14:paraId="1A26E082">
            <w:pPr>
              <w:pStyle w:val="14"/>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2B75AA4F">
            <w:pPr>
              <w:pStyle w:val="14"/>
              <w:widowControl w:val="0"/>
            </w:pPr>
            <w:r>
              <w:rPr>
                <w:rFonts w:hint="eastAsia"/>
              </w:rPr>
              <w:t>1</w:t>
            </w:r>
            <w:r>
              <w:t>00</w:t>
            </w:r>
          </w:p>
        </w:tc>
      </w:tr>
      <w:tr w14:paraId="4EBB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CCA4F00">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4743E018">
            <w:pPr>
              <w:pStyle w:val="14"/>
              <w:widowControl w:val="0"/>
            </w:pPr>
            <w:r>
              <w:rPr>
                <w:rFonts w:hint="default" w:ascii="Times New Roman" w:hAnsi="Times New Roman" w:cs="Times New Roman"/>
                <w:color w:val="000000"/>
                <w:kern w:val="0"/>
                <w:szCs w:val="21"/>
              </w:rPr>
              <w:t>15%</w:t>
            </w:r>
          </w:p>
        </w:tc>
        <w:tc>
          <w:tcPr>
            <w:tcW w:w="2353" w:type="dxa"/>
            <w:tcBorders>
              <w:right w:val="double" w:color="auto" w:sz="4" w:space="0"/>
            </w:tcBorders>
            <w:vAlign w:val="center"/>
          </w:tcPr>
          <w:p w14:paraId="1F39B6F8">
            <w:pPr>
              <w:pStyle w:val="14"/>
              <w:widowControl w:val="0"/>
            </w:pPr>
            <w:r>
              <w:rPr>
                <w:rFonts w:hint="eastAsia" w:ascii="宋体" w:hAnsi="宋体"/>
                <w:bCs/>
                <w:color w:val="000000"/>
                <w:szCs w:val="20"/>
              </w:rPr>
              <w:t>纸笔测验</w:t>
            </w:r>
          </w:p>
        </w:tc>
        <w:tc>
          <w:tcPr>
            <w:tcW w:w="612" w:type="dxa"/>
            <w:tcBorders>
              <w:left w:val="double" w:color="auto" w:sz="4" w:space="0"/>
            </w:tcBorders>
            <w:vAlign w:val="center"/>
          </w:tcPr>
          <w:p w14:paraId="3BCCB7B5">
            <w:pPr>
              <w:pStyle w:val="14"/>
              <w:widowControl w:val="0"/>
              <w:rPr>
                <w:rFonts w:hint="default" w:eastAsia="宋体"/>
                <w:lang w:val="en-US" w:eastAsia="zh-CN"/>
              </w:rPr>
            </w:pPr>
            <w:r>
              <w:rPr>
                <w:rFonts w:hint="eastAsia"/>
                <w:lang w:val="en-US" w:eastAsia="zh-CN"/>
              </w:rPr>
              <w:t>40</w:t>
            </w:r>
          </w:p>
        </w:tc>
        <w:tc>
          <w:tcPr>
            <w:tcW w:w="612" w:type="dxa"/>
            <w:vAlign w:val="center"/>
          </w:tcPr>
          <w:p w14:paraId="3F07653F">
            <w:pPr>
              <w:pStyle w:val="14"/>
              <w:widowControl w:val="0"/>
              <w:rPr>
                <w:rFonts w:hint="default" w:eastAsia="宋体"/>
                <w:lang w:val="en-US" w:eastAsia="zh-CN"/>
              </w:rPr>
            </w:pPr>
            <w:r>
              <w:rPr>
                <w:rFonts w:hint="eastAsia"/>
                <w:lang w:val="en-US" w:eastAsia="zh-CN"/>
              </w:rPr>
              <w:t>40</w:t>
            </w:r>
          </w:p>
        </w:tc>
        <w:tc>
          <w:tcPr>
            <w:tcW w:w="612" w:type="dxa"/>
            <w:vAlign w:val="center"/>
          </w:tcPr>
          <w:p w14:paraId="1782B879">
            <w:pPr>
              <w:pStyle w:val="14"/>
              <w:widowControl w:val="0"/>
            </w:pPr>
          </w:p>
        </w:tc>
        <w:tc>
          <w:tcPr>
            <w:tcW w:w="612" w:type="dxa"/>
            <w:vAlign w:val="center"/>
          </w:tcPr>
          <w:p w14:paraId="31AF60FB">
            <w:pPr>
              <w:pStyle w:val="14"/>
              <w:widowControl w:val="0"/>
            </w:pPr>
          </w:p>
        </w:tc>
        <w:tc>
          <w:tcPr>
            <w:tcW w:w="612" w:type="dxa"/>
            <w:vAlign w:val="center"/>
          </w:tcPr>
          <w:p w14:paraId="446C609A">
            <w:pPr>
              <w:pStyle w:val="14"/>
              <w:widowControl w:val="0"/>
              <w:rPr>
                <w:rFonts w:hint="default" w:eastAsia="宋体"/>
                <w:lang w:val="en-US" w:eastAsia="zh-CN"/>
              </w:rPr>
            </w:pPr>
            <w:r>
              <w:rPr>
                <w:rFonts w:hint="eastAsia"/>
                <w:lang w:val="en-US" w:eastAsia="zh-CN"/>
              </w:rPr>
              <w:t>10</w:t>
            </w:r>
          </w:p>
        </w:tc>
        <w:tc>
          <w:tcPr>
            <w:tcW w:w="612" w:type="dxa"/>
            <w:vAlign w:val="center"/>
          </w:tcPr>
          <w:p w14:paraId="5EAD8925">
            <w:pPr>
              <w:pStyle w:val="14"/>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2AFAA7A2">
            <w:pPr>
              <w:pStyle w:val="14"/>
              <w:widowControl w:val="0"/>
            </w:pPr>
            <w:r>
              <w:rPr>
                <w:rFonts w:hint="eastAsia"/>
              </w:rPr>
              <w:t>1</w:t>
            </w:r>
            <w:r>
              <w:t>00</w:t>
            </w:r>
          </w:p>
        </w:tc>
      </w:tr>
      <w:tr w14:paraId="6A3C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335E888">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3AB979CD">
            <w:pPr>
              <w:pStyle w:val="14"/>
              <w:widowControl w:val="0"/>
            </w:pPr>
            <w:r>
              <w:rPr>
                <w:rFonts w:hint="default" w:ascii="Times New Roman" w:hAnsi="Times New Roman" w:cs="Times New Roman"/>
                <w:color w:val="000000"/>
                <w:kern w:val="0"/>
                <w:szCs w:val="21"/>
              </w:rPr>
              <w:t>15%</w:t>
            </w:r>
          </w:p>
        </w:tc>
        <w:tc>
          <w:tcPr>
            <w:tcW w:w="2353" w:type="dxa"/>
            <w:tcBorders>
              <w:right w:val="double" w:color="auto" w:sz="4" w:space="0"/>
            </w:tcBorders>
            <w:vAlign w:val="center"/>
          </w:tcPr>
          <w:p w14:paraId="5807FB55">
            <w:pPr>
              <w:pStyle w:val="14"/>
              <w:widowControl w:val="0"/>
              <w:rPr>
                <w:rFonts w:hint="default" w:eastAsia="宋体"/>
                <w:lang w:val="en-US" w:eastAsia="zh-CN"/>
              </w:rPr>
            </w:pPr>
            <w:r>
              <w:rPr>
                <w:rFonts w:hint="eastAsia"/>
                <w:lang w:val="en-US" w:eastAsia="zh-CN"/>
              </w:rPr>
              <w:t>期中考试</w:t>
            </w:r>
          </w:p>
        </w:tc>
        <w:tc>
          <w:tcPr>
            <w:tcW w:w="612" w:type="dxa"/>
            <w:tcBorders>
              <w:left w:val="double" w:color="auto" w:sz="4" w:space="0"/>
            </w:tcBorders>
            <w:vAlign w:val="center"/>
          </w:tcPr>
          <w:p w14:paraId="14FB9AE1">
            <w:pPr>
              <w:pStyle w:val="14"/>
              <w:widowControl w:val="0"/>
              <w:rPr>
                <w:rFonts w:hint="default" w:eastAsia="宋体"/>
                <w:lang w:val="en-US" w:eastAsia="zh-CN"/>
              </w:rPr>
            </w:pPr>
            <w:r>
              <w:rPr>
                <w:rFonts w:hint="eastAsia"/>
                <w:lang w:val="en-US" w:eastAsia="zh-CN"/>
              </w:rPr>
              <w:t>50</w:t>
            </w:r>
          </w:p>
        </w:tc>
        <w:tc>
          <w:tcPr>
            <w:tcW w:w="612" w:type="dxa"/>
            <w:vAlign w:val="center"/>
          </w:tcPr>
          <w:p w14:paraId="1E8BBE07">
            <w:pPr>
              <w:pStyle w:val="14"/>
              <w:widowControl w:val="0"/>
              <w:rPr>
                <w:rFonts w:hint="default" w:eastAsia="宋体"/>
                <w:lang w:val="en-US" w:eastAsia="zh-CN"/>
              </w:rPr>
            </w:pPr>
            <w:r>
              <w:rPr>
                <w:rFonts w:hint="eastAsia"/>
                <w:lang w:val="en-US" w:eastAsia="zh-CN"/>
              </w:rPr>
              <w:t>30</w:t>
            </w:r>
          </w:p>
        </w:tc>
        <w:tc>
          <w:tcPr>
            <w:tcW w:w="612" w:type="dxa"/>
            <w:vAlign w:val="center"/>
          </w:tcPr>
          <w:p w14:paraId="7C8902C7">
            <w:pPr>
              <w:pStyle w:val="14"/>
              <w:widowControl w:val="0"/>
              <w:rPr>
                <w:rFonts w:hint="default" w:eastAsia="宋体"/>
                <w:lang w:val="en-US" w:eastAsia="zh-CN"/>
              </w:rPr>
            </w:pPr>
          </w:p>
        </w:tc>
        <w:tc>
          <w:tcPr>
            <w:tcW w:w="612" w:type="dxa"/>
            <w:vAlign w:val="center"/>
          </w:tcPr>
          <w:p w14:paraId="0B47D0DE">
            <w:pPr>
              <w:pStyle w:val="14"/>
              <w:widowControl w:val="0"/>
              <w:rPr>
                <w:rFonts w:hint="default" w:eastAsia="宋体"/>
                <w:lang w:val="en-US" w:eastAsia="zh-CN"/>
              </w:rPr>
            </w:pPr>
          </w:p>
        </w:tc>
        <w:tc>
          <w:tcPr>
            <w:tcW w:w="612" w:type="dxa"/>
            <w:vAlign w:val="center"/>
          </w:tcPr>
          <w:p w14:paraId="1C4199D6">
            <w:pPr>
              <w:pStyle w:val="14"/>
              <w:widowControl w:val="0"/>
              <w:rPr>
                <w:rFonts w:hint="default" w:eastAsia="宋体"/>
                <w:lang w:val="en-US" w:eastAsia="zh-CN"/>
              </w:rPr>
            </w:pPr>
            <w:r>
              <w:rPr>
                <w:rFonts w:hint="eastAsia"/>
                <w:lang w:val="en-US" w:eastAsia="zh-CN"/>
              </w:rPr>
              <w:t>10</w:t>
            </w:r>
          </w:p>
        </w:tc>
        <w:tc>
          <w:tcPr>
            <w:tcW w:w="612" w:type="dxa"/>
            <w:vAlign w:val="center"/>
          </w:tcPr>
          <w:p w14:paraId="5CB049E4">
            <w:pPr>
              <w:pStyle w:val="14"/>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1F345FF7">
            <w:pPr>
              <w:pStyle w:val="14"/>
              <w:widowControl w:val="0"/>
            </w:pPr>
            <w:r>
              <w:rPr>
                <w:rFonts w:hint="eastAsia"/>
              </w:rPr>
              <w:t>1</w:t>
            </w:r>
            <w:r>
              <w:t>00</w:t>
            </w:r>
          </w:p>
        </w:tc>
      </w:tr>
      <w:tr w14:paraId="3037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5E979F2C">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205119D2">
            <w:pPr>
              <w:pStyle w:val="14"/>
              <w:widowControl w:val="0"/>
            </w:pPr>
            <w:r>
              <w:rPr>
                <w:rFonts w:hint="default" w:ascii="Times New Roman" w:hAnsi="Times New Roman" w:cs="Times New Roman"/>
                <w:color w:val="000000"/>
                <w:kern w:val="0"/>
                <w:szCs w:val="21"/>
              </w:rPr>
              <w:t>1</w:t>
            </w:r>
            <w:r>
              <w:rPr>
                <w:rFonts w:hint="eastAsia" w:cs="Times New Roman"/>
                <w:color w:val="000000"/>
                <w:kern w:val="0"/>
                <w:szCs w:val="21"/>
                <w:lang w:val="en-US" w:eastAsia="zh-CN"/>
              </w:rPr>
              <w:t>0</w:t>
            </w:r>
            <w:r>
              <w:rPr>
                <w:rFonts w:hint="default" w:ascii="Times New Roman" w:hAnsi="Times New Roman" w:cs="Times New Roman"/>
                <w:color w:val="000000"/>
                <w:kern w:val="0"/>
                <w:szCs w:val="21"/>
              </w:rPr>
              <w:t>%</w:t>
            </w:r>
          </w:p>
        </w:tc>
        <w:tc>
          <w:tcPr>
            <w:tcW w:w="2353" w:type="dxa"/>
            <w:tcBorders>
              <w:right w:val="double" w:color="auto" w:sz="4" w:space="0"/>
            </w:tcBorders>
            <w:vAlign w:val="center"/>
          </w:tcPr>
          <w:p w14:paraId="5A0E7FFA">
            <w:pPr>
              <w:pStyle w:val="14"/>
              <w:widowControl w:val="0"/>
            </w:pPr>
            <w:r>
              <w:rPr>
                <w:rFonts w:hint="eastAsia" w:ascii="宋体" w:hAnsi="宋体"/>
                <w:bCs/>
                <w:color w:val="000000"/>
                <w:szCs w:val="20"/>
              </w:rPr>
              <w:t>平时作业</w:t>
            </w:r>
          </w:p>
        </w:tc>
        <w:tc>
          <w:tcPr>
            <w:tcW w:w="612" w:type="dxa"/>
            <w:tcBorders>
              <w:left w:val="double" w:color="auto" w:sz="4" w:space="0"/>
            </w:tcBorders>
            <w:vAlign w:val="center"/>
          </w:tcPr>
          <w:p w14:paraId="3A0E1544">
            <w:pPr>
              <w:pStyle w:val="14"/>
              <w:widowControl w:val="0"/>
              <w:rPr>
                <w:rFonts w:hint="default" w:eastAsia="宋体"/>
                <w:lang w:val="en-US" w:eastAsia="zh-CN"/>
              </w:rPr>
            </w:pPr>
            <w:r>
              <w:rPr>
                <w:rFonts w:hint="eastAsia"/>
                <w:lang w:val="en-US" w:eastAsia="zh-CN"/>
              </w:rPr>
              <w:t>20</w:t>
            </w:r>
          </w:p>
        </w:tc>
        <w:tc>
          <w:tcPr>
            <w:tcW w:w="612" w:type="dxa"/>
            <w:vAlign w:val="center"/>
          </w:tcPr>
          <w:p w14:paraId="7C356F0E">
            <w:pPr>
              <w:pStyle w:val="14"/>
              <w:widowControl w:val="0"/>
              <w:rPr>
                <w:rFonts w:hint="default" w:eastAsia="宋体"/>
                <w:lang w:val="en-US" w:eastAsia="zh-CN"/>
              </w:rPr>
            </w:pPr>
            <w:r>
              <w:rPr>
                <w:rFonts w:hint="eastAsia"/>
                <w:lang w:val="en-US" w:eastAsia="zh-CN"/>
              </w:rPr>
              <w:t>20</w:t>
            </w:r>
          </w:p>
        </w:tc>
        <w:tc>
          <w:tcPr>
            <w:tcW w:w="612" w:type="dxa"/>
            <w:vAlign w:val="center"/>
          </w:tcPr>
          <w:p w14:paraId="0899A852">
            <w:pPr>
              <w:pStyle w:val="14"/>
              <w:widowControl w:val="0"/>
              <w:rPr>
                <w:rFonts w:hint="default" w:eastAsia="宋体"/>
                <w:lang w:val="en-US" w:eastAsia="zh-CN"/>
              </w:rPr>
            </w:pPr>
            <w:r>
              <w:rPr>
                <w:rFonts w:hint="eastAsia"/>
                <w:lang w:val="en-US" w:eastAsia="zh-CN"/>
              </w:rPr>
              <w:t>20</w:t>
            </w:r>
          </w:p>
        </w:tc>
        <w:tc>
          <w:tcPr>
            <w:tcW w:w="612" w:type="dxa"/>
            <w:vAlign w:val="center"/>
          </w:tcPr>
          <w:p w14:paraId="3EEBFFE1">
            <w:pPr>
              <w:pStyle w:val="14"/>
              <w:widowControl w:val="0"/>
              <w:rPr>
                <w:rFonts w:hint="default" w:eastAsia="宋体"/>
                <w:lang w:val="en-US" w:eastAsia="zh-CN"/>
              </w:rPr>
            </w:pPr>
            <w:r>
              <w:rPr>
                <w:rFonts w:hint="eastAsia"/>
                <w:lang w:val="en-US" w:eastAsia="zh-CN"/>
              </w:rPr>
              <w:t>20</w:t>
            </w:r>
          </w:p>
        </w:tc>
        <w:tc>
          <w:tcPr>
            <w:tcW w:w="612" w:type="dxa"/>
            <w:vAlign w:val="center"/>
          </w:tcPr>
          <w:p w14:paraId="45A6AB28">
            <w:pPr>
              <w:pStyle w:val="14"/>
              <w:widowControl w:val="0"/>
              <w:rPr>
                <w:rFonts w:hint="default" w:eastAsia="宋体"/>
                <w:lang w:val="en-US" w:eastAsia="zh-CN"/>
              </w:rPr>
            </w:pPr>
            <w:r>
              <w:rPr>
                <w:rFonts w:hint="eastAsia"/>
                <w:lang w:val="en-US" w:eastAsia="zh-CN"/>
              </w:rPr>
              <w:t>10</w:t>
            </w:r>
          </w:p>
        </w:tc>
        <w:tc>
          <w:tcPr>
            <w:tcW w:w="612" w:type="dxa"/>
            <w:vAlign w:val="center"/>
          </w:tcPr>
          <w:p w14:paraId="1FF6304D">
            <w:pPr>
              <w:pStyle w:val="14"/>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19FACFBE">
            <w:pPr>
              <w:pStyle w:val="14"/>
              <w:widowControl w:val="0"/>
            </w:pPr>
            <w:r>
              <w:rPr>
                <w:rFonts w:hint="eastAsia"/>
              </w:rPr>
              <w:t>1</w:t>
            </w:r>
            <w:r>
              <w:t>00</w:t>
            </w:r>
          </w:p>
        </w:tc>
      </w:tr>
    </w:tbl>
    <w:p w14:paraId="2C086747">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75988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70F5AFEA">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6E65FA21">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3FBECC1C">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7E8AC4FB">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46E570DF">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60793710">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144D300D">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3F422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5D4BFA70">
            <w:pPr>
              <w:widowControl w:val="0"/>
              <w:snapToGrid w:val="0"/>
              <w:jc w:val="center"/>
              <w:rPr>
                <w:rFonts w:ascii="黑体" w:hAnsi="黑体" w:eastAsia="黑体"/>
                <w:bCs/>
                <w:sz w:val="21"/>
                <w:szCs w:val="21"/>
              </w:rPr>
            </w:pPr>
          </w:p>
        </w:tc>
        <w:tc>
          <w:tcPr>
            <w:tcW w:w="648" w:type="dxa"/>
            <w:vMerge w:val="continue"/>
          </w:tcPr>
          <w:p w14:paraId="25C8F00F">
            <w:pPr>
              <w:pStyle w:val="16"/>
              <w:widowControl w:val="0"/>
              <w:jc w:val="both"/>
              <w:rPr>
                <w:rFonts w:ascii="黑体" w:hAnsi="黑体"/>
                <w:bCs/>
                <w:sz w:val="21"/>
                <w:szCs w:val="21"/>
              </w:rPr>
            </w:pPr>
          </w:p>
        </w:tc>
        <w:tc>
          <w:tcPr>
            <w:tcW w:w="1403" w:type="dxa"/>
            <w:vMerge w:val="continue"/>
          </w:tcPr>
          <w:p w14:paraId="013F74AC">
            <w:pPr>
              <w:pStyle w:val="16"/>
              <w:widowControl w:val="0"/>
              <w:jc w:val="both"/>
              <w:rPr>
                <w:rFonts w:ascii="黑体" w:hAnsi="黑体"/>
                <w:bCs/>
                <w:sz w:val="21"/>
                <w:szCs w:val="21"/>
              </w:rPr>
            </w:pPr>
          </w:p>
        </w:tc>
        <w:tc>
          <w:tcPr>
            <w:tcW w:w="1403" w:type="dxa"/>
            <w:vAlign w:val="center"/>
          </w:tcPr>
          <w:p w14:paraId="62AEE637">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49066BE5">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494C2991">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1817EC9B">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12B52CF2">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80A4B19">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5E11413A">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736EF377">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6EAE1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1DAA601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58C4C27F">
            <w:pPr>
              <w:widowControl w:val="0"/>
              <w:snapToGrid w:val="0"/>
              <w:jc w:val="center"/>
              <w:rPr>
                <w:rFonts w:ascii="Arial" w:hAnsi="Arial" w:eastAsia="黑体" w:cs="Arial"/>
                <w:bCs/>
                <w:sz w:val="21"/>
                <w:szCs w:val="21"/>
              </w:rPr>
            </w:pPr>
          </w:p>
        </w:tc>
        <w:tc>
          <w:tcPr>
            <w:tcW w:w="1403" w:type="dxa"/>
          </w:tcPr>
          <w:p w14:paraId="44295B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66DA4655">
            <w:pPr>
              <w:pStyle w:val="14"/>
              <w:widowControl w:val="0"/>
              <w:jc w:val="both"/>
            </w:pPr>
          </w:p>
        </w:tc>
        <w:tc>
          <w:tcPr>
            <w:tcW w:w="1403" w:type="dxa"/>
          </w:tcPr>
          <w:p w14:paraId="61172763">
            <w:pPr>
              <w:pStyle w:val="14"/>
              <w:widowControl w:val="0"/>
              <w:jc w:val="both"/>
            </w:pPr>
          </w:p>
        </w:tc>
        <w:tc>
          <w:tcPr>
            <w:tcW w:w="1403" w:type="dxa"/>
          </w:tcPr>
          <w:p w14:paraId="5D50288E">
            <w:pPr>
              <w:pStyle w:val="14"/>
              <w:widowControl w:val="0"/>
              <w:jc w:val="both"/>
            </w:pPr>
          </w:p>
        </w:tc>
        <w:tc>
          <w:tcPr>
            <w:tcW w:w="1403" w:type="dxa"/>
          </w:tcPr>
          <w:p w14:paraId="72B876BB">
            <w:pPr>
              <w:pStyle w:val="6"/>
              <w:widowControl/>
              <w:shd w:val="clear" w:color="auto" w:fill="FFFFFF"/>
              <w:jc w:val="both"/>
            </w:pPr>
          </w:p>
        </w:tc>
      </w:tr>
      <w:tr w14:paraId="16D193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60ADB34">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20606229">
            <w:pPr>
              <w:widowControl w:val="0"/>
              <w:snapToGrid w:val="0"/>
              <w:jc w:val="center"/>
              <w:rPr>
                <w:rFonts w:ascii="Arial" w:hAnsi="Arial" w:eastAsia="黑体" w:cs="Arial"/>
                <w:bCs/>
                <w:sz w:val="21"/>
                <w:szCs w:val="21"/>
              </w:rPr>
            </w:pPr>
          </w:p>
        </w:tc>
        <w:tc>
          <w:tcPr>
            <w:tcW w:w="1403" w:type="dxa"/>
            <w:vAlign w:val="center"/>
          </w:tcPr>
          <w:p w14:paraId="150468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49E49C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720CD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A9657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99246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747DC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0D3D1BE">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57BA4831">
            <w:pPr>
              <w:widowControl w:val="0"/>
              <w:snapToGrid w:val="0"/>
              <w:jc w:val="center"/>
              <w:rPr>
                <w:rFonts w:ascii="Arial" w:hAnsi="Arial" w:eastAsia="黑体" w:cs="Arial"/>
                <w:bCs/>
                <w:sz w:val="21"/>
                <w:szCs w:val="21"/>
              </w:rPr>
            </w:pPr>
          </w:p>
        </w:tc>
        <w:tc>
          <w:tcPr>
            <w:tcW w:w="1403" w:type="dxa"/>
            <w:vAlign w:val="center"/>
          </w:tcPr>
          <w:p w14:paraId="29E48B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7A1A14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60835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3E1F32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DAF04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60B8F0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C578E01">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7F098ECB">
            <w:pPr>
              <w:widowControl w:val="0"/>
              <w:snapToGrid w:val="0"/>
              <w:jc w:val="center"/>
              <w:rPr>
                <w:rFonts w:ascii="Arial" w:hAnsi="Arial" w:eastAsia="黑体" w:cs="Arial"/>
                <w:bCs/>
                <w:sz w:val="21"/>
                <w:szCs w:val="21"/>
              </w:rPr>
            </w:pPr>
          </w:p>
        </w:tc>
        <w:tc>
          <w:tcPr>
            <w:tcW w:w="1403" w:type="dxa"/>
            <w:vAlign w:val="center"/>
          </w:tcPr>
          <w:p w14:paraId="693724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1583EB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7BD8A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0EDAB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95286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FD6C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19736A44">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180F8C1E">
            <w:pPr>
              <w:widowControl w:val="0"/>
              <w:snapToGrid w:val="0"/>
              <w:jc w:val="center"/>
              <w:rPr>
                <w:rFonts w:ascii="Arial" w:hAnsi="Arial" w:eastAsia="黑体" w:cs="Arial"/>
                <w:bCs/>
                <w:sz w:val="21"/>
                <w:szCs w:val="21"/>
              </w:rPr>
            </w:pPr>
          </w:p>
        </w:tc>
        <w:tc>
          <w:tcPr>
            <w:tcW w:w="1403" w:type="dxa"/>
            <w:vAlign w:val="center"/>
          </w:tcPr>
          <w:p w14:paraId="4BA373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5FA15C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31DBD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5207F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0EBA6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10EBBB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DDEA6DA">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2F3D6748">
            <w:pPr>
              <w:widowControl w:val="0"/>
              <w:snapToGrid w:val="0"/>
              <w:jc w:val="center"/>
              <w:rPr>
                <w:rFonts w:ascii="Arial" w:hAnsi="Arial" w:eastAsia="黑体" w:cs="Arial"/>
                <w:bCs/>
                <w:sz w:val="21"/>
                <w:szCs w:val="21"/>
              </w:rPr>
            </w:pPr>
          </w:p>
        </w:tc>
        <w:tc>
          <w:tcPr>
            <w:tcW w:w="1403" w:type="dxa"/>
            <w:vAlign w:val="center"/>
          </w:tcPr>
          <w:p w14:paraId="6E3065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7CD920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F9371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60B0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761E4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3C57D047">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B68FE3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2A544A0C">
            <w:pPr>
              <w:pStyle w:val="14"/>
              <w:widowControl w:val="0"/>
              <w:jc w:val="left"/>
              <w:rPr>
                <w:rFonts w:ascii="仿宋" w:hAnsi="仿宋" w:eastAsia="仿宋" w:cs="仿宋"/>
              </w:rPr>
            </w:pPr>
          </w:p>
          <w:p w14:paraId="6EE468A1">
            <w:pPr>
              <w:pStyle w:val="14"/>
              <w:widowControl w:val="0"/>
              <w:jc w:val="left"/>
              <w:rPr>
                <w:rFonts w:ascii="宋体" w:hAnsi="宋体"/>
                <w:bCs/>
              </w:rPr>
            </w:pPr>
          </w:p>
          <w:p w14:paraId="0ACB33F2">
            <w:pPr>
              <w:pStyle w:val="14"/>
              <w:widowControl w:val="0"/>
              <w:jc w:val="left"/>
              <w:rPr>
                <w:rFonts w:ascii="黑体"/>
              </w:rPr>
            </w:pPr>
          </w:p>
        </w:tc>
      </w:tr>
    </w:tbl>
    <w:p w14:paraId="4DE69173">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Helvetica">
    <w:altName w:val="Arial"/>
    <w:panose1 w:val="00000000000000000000"/>
    <w:charset w:val="00"/>
    <w:family w:val="auto"/>
    <w:pitch w:val="default"/>
    <w:sig w:usb0="00000000" w:usb1="00000000" w:usb2="00000000" w:usb3="00000000" w:csb0="00000093"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C5FC">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35DC7AA">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35DC7AA">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4975B1"/>
    <w:multiLevelType w:val="singleLevel"/>
    <w:tmpl w:val="C34975B1"/>
    <w:lvl w:ilvl="0" w:tentative="0">
      <w:start w:val="11"/>
      <w:numFmt w:val="chineseCounting"/>
      <w:suff w:val="space"/>
      <w:lvlText w:val="第%1课"/>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BiNGMwNzZhYWFlZjdlZDdmMDkwZjAxYzg0ZmFiNTc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223C"/>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541EA9"/>
    <w:rsid w:val="016E63C2"/>
    <w:rsid w:val="01EA0118"/>
    <w:rsid w:val="024B0C39"/>
    <w:rsid w:val="02DA7981"/>
    <w:rsid w:val="02ED1C6E"/>
    <w:rsid w:val="03092820"/>
    <w:rsid w:val="03C30C20"/>
    <w:rsid w:val="0402799B"/>
    <w:rsid w:val="040D00EE"/>
    <w:rsid w:val="04180808"/>
    <w:rsid w:val="04B2316F"/>
    <w:rsid w:val="04E62E18"/>
    <w:rsid w:val="04F419D9"/>
    <w:rsid w:val="06B65CDB"/>
    <w:rsid w:val="06E61A31"/>
    <w:rsid w:val="070C60A7"/>
    <w:rsid w:val="07976F20"/>
    <w:rsid w:val="07E37AE3"/>
    <w:rsid w:val="097529BD"/>
    <w:rsid w:val="09E0077E"/>
    <w:rsid w:val="0A2F3D45"/>
    <w:rsid w:val="0A8128A6"/>
    <w:rsid w:val="0B704621"/>
    <w:rsid w:val="0BF32A1B"/>
    <w:rsid w:val="0C230DF6"/>
    <w:rsid w:val="0C760F26"/>
    <w:rsid w:val="0CF4009D"/>
    <w:rsid w:val="0E1924B1"/>
    <w:rsid w:val="0EAA04FA"/>
    <w:rsid w:val="0EB865B8"/>
    <w:rsid w:val="0F607C6B"/>
    <w:rsid w:val="0F816BE5"/>
    <w:rsid w:val="0F933B9D"/>
    <w:rsid w:val="0F9F5F50"/>
    <w:rsid w:val="1085437B"/>
    <w:rsid w:val="10932D3A"/>
    <w:rsid w:val="10AB157C"/>
    <w:rsid w:val="10BD2C22"/>
    <w:rsid w:val="115B4B8E"/>
    <w:rsid w:val="116004B6"/>
    <w:rsid w:val="116C0B49"/>
    <w:rsid w:val="119D6F55"/>
    <w:rsid w:val="11A6405B"/>
    <w:rsid w:val="11FF376C"/>
    <w:rsid w:val="12437AFC"/>
    <w:rsid w:val="12C10A21"/>
    <w:rsid w:val="12EC2565"/>
    <w:rsid w:val="13A24CF6"/>
    <w:rsid w:val="13F310AE"/>
    <w:rsid w:val="14092680"/>
    <w:rsid w:val="142C636E"/>
    <w:rsid w:val="147815B3"/>
    <w:rsid w:val="1487528D"/>
    <w:rsid w:val="15AE1730"/>
    <w:rsid w:val="15B72660"/>
    <w:rsid w:val="16810BF3"/>
    <w:rsid w:val="175E5852"/>
    <w:rsid w:val="17CC2342"/>
    <w:rsid w:val="17D318A6"/>
    <w:rsid w:val="17DF2075"/>
    <w:rsid w:val="1844012A"/>
    <w:rsid w:val="188A329A"/>
    <w:rsid w:val="1934019F"/>
    <w:rsid w:val="19706CFD"/>
    <w:rsid w:val="1A2024D1"/>
    <w:rsid w:val="1A514D80"/>
    <w:rsid w:val="1A766595"/>
    <w:rsid w:val="1B7927E1"/>
    <w:rsid w:val="1BD01CD5"/>
    <w:rsid w:val="1BFD51C0"/>
    <w:rsid w:val="1C395ACC"/>
    <w:rsid w:val="1C8E406A"/>
    <w:rsid w:val="1CA13D9D"/>
    <w:rsid w:val="1D6E79F7"/>
    <w:rsid w:val="1D7A639C"/>
    <w:rsid w:val="1D9F46AF"/>
    <w:rsid w:val="1E403142"/>
    <w:rsid w:val="1F485298"/>
    <w:rsid w:val="1F7F5EEC"/>
    <w:rsid w:val="1FDB75C6"/>
    <w:rsid w:val="1FEB532F"/>
    <w:rsid w:val="215313DE"/>
    <w:rsid w:val="21B65054"/>
    <w:rsid w:val="21EA7F94"/>
    <w:rsid w:val="22987C80"/>
    <w:rsid w:val="22AE4414"/>
    <w:rsid w:val="23C7201D"/>
    <w:rsid w:val="24192CCC"/>
    <w:rsid w:val="244B0A92"/>
    <w:rsid w:val="25021F11"/>
    <w:rsid w:val="25413432"/>
    <w:rsid w:val="258E6868"/>
    <w:rsid w:val="262D66A1"/>
    <w:rsid w:val="26706B40"/>
    <w:rsid w:val="26CF1507"/>
    <w:rsid w:val="26F4679D"/>
    <w:rsid w:val="26F64CE5"/>
    <w:rsid w:val="26F75333"/>
    <w:rsid w:val="2769195B"/>
    <w:rsid w:val="28035FB0"/>
    <w:rsid w:val="281573ED"/>
    <w:rsid w:val="28551EE0"/>
    <w:rsid w:val="286B34B1"/>
    <w:rsid w:val="28CB02E9"/>
    <w:rsid w:val="29883BEF"/>
    <w:rsid w:val="2996455E"/>
    <w:rsid w:val="29FB0865"/>
    <w:rsid w:val="2AA003C4"/>
    <w:rsid w:val="2AAB70CF"/>
    <w:rsid w:val="2AF552B4"/>
    <w:rsid w:val="2B204DEB"/>
    <w:rsid w:val="2B2B6F28"/>
    <w:rsid w:val="2B931708"/>
    <w:rsid w:val="2BF612E4"/>
    <w:rsid w:val="2C163734"/>
    <w:rsid w:val="2CB25B52"/>
    <w:rsid w:val="2D0619FA"/>
    <w:rsid w:val="2D1B3E35"/>
    <w:rsid w:val="2D7746A6"/>
    <w:rsid w:val="2E3A7BAD"/>
    <w:rsid w:val="2E530C6F"/>
    <w:rsid w:val="2E7806D6"/>
    <w:rsid w:val="2E982B26"/>
    <w:rsid w:val="2E9848D4"/>
    <w:rsid w:val="2EF53FFB"/>
    <w:rsid w:val="2F3478CC"/>
    <w:rsid w:val="2F8D6403"/>
    <w:rsid w:val="2FAC6889"/>
    <w:rsid w:val="2FE778C1"/>
    <w:rsid w:val="30000983"/>
    <w:rsid w:val="30534F57"/>
    <w:rsid w:val="306B6B1B"/>
    <w:rsid w:val="319C7DE8"/>
    <w:rsid w:val="31D10829"/>
    <w:rsid w:val="31DD71CE"/>
    <w:rsid w:val="31E222B6"/>
    <w:rsid w:val="33016EEC"/>
    <w:rsid w:val="33206EC9"/>
    <w:rsid w:val="336F654B"/>
    <w:rsid w:val="33BE6B8B"/>
    <w:rsid w:val="33FE78CF"/>
    <w:rsid w:val="3430584A"/>
    <w:rsid w:val="34945B3E"/>
    <w:rsid w:val="34B85CD0"/>
    <w:rsid w:val="34D50630"/>
    <w:rsid w:val="34E15227"/>
    <w:rsid w:val="34FF745B"/>
    <w:rsid w:val="351D5B33"/>
    <w:rsid w:val="356A1B18"/>
    <w:rsid w:val="36211653"/>
    <w:rsid w:val="36401AD9"/>
    <w:rsid w:val="365641C3"/>
    <w:rsid w:val="366652B8"/>
    <w:rsid w:val="36853990"/>
    <w:rsid w:val="36E16C1C"/>
    <w:rsid w:val="37465815"/>
    <w:rsid w:val="37B02C8E"/>
    <w:rsid w:val="37DC7F27"/>
    <w:rsid w:val="382554F2"/>
    <w:rsid w:val="383D6D1E"/>
    <w:rsid w:val="384A6C3F"/>
    <w:rsid w:val="38547ABE"/>
    <w:rsid w:val="39A66CD4"/>
    <w:rsid w:val="39D37108"/>
    <w:rsid w:val="39D4535A"/>
    <w:rsid w:val="3A0E0B54"/>
    <w:rsid w:val="3A0E1EEE"/>
    <w:rsid w:val="3A6A7A6C"/>
    <w:rsid w:val="3A850402"/>
    <w:rsid w:val="3A8B353F"/>
    <w:rsid w:val="3B0752BB"/>
    <w:rsid w:val="3C2725F2"/>
    <w:rsid w:val="3C4165AB"/>
    <w:rsid w:val="3C6F136A"/>
    <w:rsid w:val="3CD52CE1"/>
    <w:rsid w:val="3D5B18EE"/>
    <w:rsid w:val="3D6562C9"/>
    <w:rsid w:val="3D673163"/>
    <w:rsid w:val="3D9F5C7F"/>
    <w:rsid w:val="3DB35286"/>
    <w:rsid w:val="3E014244"/>
    <w:rsid w:val="3E3007F7"/>
    <w:rsid w:val="40363F4D"/>
    <w:rsid w:val="403A3A3D"/>
    <w:rsid w:val="40776A3F"/>
    <w:rsid w:val="410F2E6A"/>
    <w:rsid w:val="41287D39"/>
    <w:rsid w:val="41AC5672"/>
    <w:rsid w:val="42530DE6"/>
    <w:rsid w:val="430B346F"/>
    <w:rsid w:val="43707776"/>
    <w:rsid w:val="4391749C"/>
    <w:rsid w:val="4396542E"/>
    <w:rsid w:val="43D20DC5"/>
    <w:rsid w:val="4430136C"/>
    <w:rsid w:val="44986F84"/>
    <w:rsid w:val="44A65B45"/>
    <w:rsid w:val="44F05012"/>
    <w:rsid w:val="461B1C1B"/>
    <w:rsid w:val="46DC75FC"/>
    <w:rsid w:val="471F573B"/>
    <w:rsid w:val="474653BD"/>
    <w:rsid w:val="475F3D89"/>
    <w:rsid w:val="47797541"/>
    <w:rsid w:val="4791488A"/>
    <w:rsid w:val="47D93597"/>
    <w:rsid w:val="495711BC"/>
    <w:rsid w:val="49AA39E1"/>
    <w:rsid w:val="49EC3FFA"/>
    <w:rsid w:val="4A7144FF"/>
    <w:rsid w:val="4A804742"/>
    <w:rsid w:val="4AB0382B"/>
    <w:rsid w:val="4B005883"/>
    <w:rsid w:val="4B133808"/>
    <w:rsid w:val="4B2C6678"/>
    <w:rsid w:val="4B321EE0"/>
    <w:rsid w:val="4B386DCB"/>
    <w:rsid w:val="4B773D97"/>
    <w:rsid w:val="4C101AF6"/>
    <w:rsid w:val="4C4C6FD2"/>
    <w:rsid w:val="4C945FDE"/>
    <w:rsid w:val="4CAF7561"/>
    <w:rsid w:val="4CB22231"/>
    <w:rsid w:val="4CEF795D"/>
    <w:rsid w:val="4CF66F3E"/>
    <w:rsid w:val="4D2B4E39"/>
    <w:rsid w:val="4D9549A9"/>
    <w:rsid w:val="4E261AA5"/>
    <w:rsid w:val="4ECD3CCE"/>
    <w:rsid w:val="5006393C"/>
    <w:rsid w:val="50506965"/>
    <w:rsid w:val="508F6DAA"/>
    <w:rsid w:val="50964CC0"/>
    <w:rsid w:val="50AA2519"/>
    <w:rsid w:val="515661FD"/>
    <w:rsid w:val="515B1A65"/>
    <w:rsid w:val="5176689F"/>
    <w:rsid w:val="53BD2563"/>
    <w:rsid w:val="53E47AF0"/>
    <w:rsid w:val="546B6463"/>
    <w:rsid w:val="54AB4AB2"/>
    <w:rsid w:val="54D97871"/>
    <w:rsid w:val="55A03EEB"/>
    <w:rsid w:val="55B41744"/>
    <w:rsid w:val="55D50038"/>
    <w:rsid w:val="55F1539C"/>
    <w:rsid w:val="56114DE8"/>
    <w:rsid w:val="561A3C9D"/>
    <w:rsid w:val="56440D1A"/>
    <w:rsid w:val="569868B5"/>
    <w:rsid w:val="578F2469"/>
    <w:rsid w:val="57CF0AB7"/>
    <w:rsid w:val="587F7F10"/>
    <w:rsid w:val="58A3441E"/>
    <w:rsid w:val="59036C6A"/>
    <w:rsid w:val="59080725"/>
    <w:rsid w:val="59D32AE1"/>
    <w:rsid w:val="5A292701"/>
    <w:rsid w:val="5A4237C2"/>
    <w:rsid w:val="5A470DD9"/>
    <w:rsid w:val="5A4C6219"/>
    <w:rsid w:val="5A6000EC"/>
    <w:rsid w:val="5B1F58B2"/>
    <w:rsid w:val="5B8C73EB"/>
    <w:rsid w:val="5BB65D89"/>
    <w:rsid w:val="5BD668B8"/>
    <w:rsid w:val="5BEC7CFB"/>
    <w:rsid w:val="5C0A3B11"/>
    <w:rsid w:val="5C3050EC"/>
    <w:rsid w:val="5C451348"/>
    <w:rsid w:val="5C657C3C"/>
    <w:rsid w:val="5D137698"/>
    <w:rsid w:val="5D1D4073"/>
    <w:rsid w:val="5FCF78A6"/>
    <w:rsid w:val="60251BBC"/>
    <w:rsid w:val="606C1599"/>
    <w:rsid w:val="611F6817"/>
    <w:rsid w:val="616E30EF"/>
    <w:rsid w:val="61A66AD9"/>
    <w:rsid w:val="61B0075E"/>
    <w:rsid w:val="61E635CD"/>
    <w:rsid w:val="62E55633"/>
    <w:rsid w:val="634560D1"/>
    <w:rsid w:val="63754982"/>
    <w:rsid w:val="64111425"/>
    <w:rsid w:val="6428195C"/>
    <w:rsid w:val="64B0488D"/>
    <w:rsid w:val="64D85D17"/>
    <w:rsid w:val="64E9765C"/>
    <w:rsid w:val="652653BF"/>
    <w:rsid w:val="65A3639A"/>
    <w:rsid w:val="65B80DDC"/>
    <w:rsid w:val="663761A5"/>
    <w:rsid w:val="668F1B3D"/>
    <w:rsid w:val="669453A6"/>
    <w:rsid w:val="66CA1754"/>
    <w:rsid w:val="66E6746C"/>
    <w:rsid w:val="66F916AD"/>
    <w:rsid w:val="6804655B"/>
    <w:rsid w:val="681D761D"/>
    <w:rsid w:val="682E303B"/>
    <w:rsid w:val="68694610"/>
    <w:rsid w:val="68D66149"/>
    <w:rsid w:val="696F5C56"/>
    <w:rsid w:val="697A02FE"/>
    <w:rsid w:val="6A0942FC"/>
    <w:rsid w:val="6A3A6264"/>
    <w:rsid w:val="6B405AFC"/>
    <w:rsid w:val="6B4F3F91"/>
    <w:rsid w:val="6B623CC4"/>
    <w:rsid w:val="6B9320D0"/>
    <w:rsid w:val="6C5C4BB7"/>
    <w:rsid w:val="6D8A5754"/>
    <w:rsid w:val="6E184B0E"/>
    <w:rsid w:val="6E647D53"/>
    <w:rsid w:val="6E69536A"/>
    <w:rsid w:val="6ED57241"/>
    <w:rsid w:val="6EF72976"/>
    <w:rsid w:val="6F1E65D4"/>
    <w:rsid w:val="6F241291"/>
    <w:rsid w:val="6F266C86"/>
    <w:rsid w:val="6F5042C2"/>
    <w:rsid w:val="709A0927"/>
    <w:rsid w:val="709A4443"/>
    <w:rsid w:val="70A55310"/>
    <w:rsid w:val="71905790"/>
    <w:rsid w:val="71BB412E"/>
    <w:rsid w:val="725B146D"/>
    <w:rsid w:val="72677E12"/>
    <w:rsid w:val="726E2F4F"/>
    <w:rsid w:val="728E539F"/>
    <w:rsid w:val="732C6966"/>
    <w:rsid w:val="73334198"/>
    <w:rsid w:val="7346211D"/>
    <w:rsid w:val="73534580"/>
    <w:rsid w:val="7395275D"/>
    <w:rsid w:val="739A0F58"/>
    <w:rsid w:val="73A155A6"/>
    <w:rsid w:val="74316312"/>
    <w:rsid w:val="74343627"/>
    <w:rsid w:val="74736F42"/>
    <w:rsid w:val="74A23383"/>
    <w:rsid w:val="74B44E65"/>
    <w:rsid w:val="74CF4CF9"/>
    <w:rsid w:val="756E503C"/>
    <w:rsid w:val="76442A18"/>
    <w:rsid w:val="76592168"/>
    <w:rsid w:val="765B1A3C"/>
    <w:rsid w:val="780F13C8"/>
    <w:rsid w:val="786D5A56"/>
    <w:rsid w:val="78B21986"/>
    <w:rsid w:val="78E75809"/>
    <w:rsid w:val="79256331"/>
    <w:rsid w:val="79450781"/>
    <w:rsid w:val="79907C4E"/>
    <w:rsid w:val="7A9C6E33"/>
    <w:rsid w:val="7AB7745D"/>
    <w:rsid w:val="7AEE7323"/>
    <w:rsid w:val="7B007056"/>
    <w:rsid w:val="7B464315"/>
    <w:rsid w:val="7C385448"/>
    <w:rsid w:val="7C5C4760"/>
    <w:rsid w:val="7CB3663D"/>
    <w:rsid w:val="7CDD1674"/>
    <w:rsid w:val="7D6C452F"/>
    <w:rsid w:val="7D7E2B4B"/>
    <w:rsid w:val="7E192908"/>
    <w:rsid w:val="7E4C0199"/>
    <w:rsid w:val="7F1926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19"/>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0"/>
    <w:autoRedefine/>
    <w:qFormat/>
    <w:uiPriority w:val="99"/>
    <w:pPr>
      <w:widowControl w:val="0"/>
    </w:pPr>
    <w:rPr>
      <w:rFonts w:ascii="Times New Roman" w:hAnsi="Times New Roman" w:cs="Times New Roman"/>
      <w:kern w:val="2"/>
      <w:sz w:val="21"/>
    </w:rPr>
  </w:style>
  <w:style w:type="paragraph" w:styleId="4">
    <w:name w:val="footer"/>
    <w:basedOn w:val="1"/>
    <w:link w:val="12"/>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customStyle="1" w:styleId="11">
    <w:name w:val="页眉 字符"/>
    <w:basedOn w:val="9"/>
    <w:link w:val="5"/>
    <w:autoRedefine/>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customStyle="1" w:styleId="13">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4">
    <w:name w:val="表格正文DG"/>
    <w:basedOn w:val="1"/>
    <w:autoRedefine/>
    <w:qFormat/>
    <w:uiPriority w:val="0"/>
    <w:pPr>
      <w:jc w:val="center"/>
    </w:pPr>
    <w:rPr>
      <w:rFonts w:ascii="Times New Roman" w:hAnsi="Times New Roman"/>
      <w:color w:val="000000"/>
      <w:sz w:val="21"/>
      <w:szCs w:val="21"/>
    </w:rPr>
  </w:style>
  <w:style w:type="paragraph" w:styleId="15">
    <w:name w:val="List Paragraph"/>
    <w:basedOn w:val="1"/>
    <w:autoRedefine/>
    <w:unhideWhenUsed/>
    <w:qFormat/>
    <w:uiPriority w:val="99"/>
    <w:pPr>
      <w:ind w:firstLine="420" w:firstLineChars="200"/>
    </w:pPr>
  </w:style>
  <w:style w:type="paragraph" w:customStyle="1" w:styleId="16">
    <w:name w:val="一级标题DG"/>
    <w:basedOn w:val="1"/>
    <w:autoRedefine/>
    <w:qFormat/>
    <w:uiPriority w:val="0"/>
    <w:pPr>
      <w:spacing w:line="480" w:lineRule="auto"/>
      <w:outlineLvl w:val="0"/>
    </w:pPr>
    <w:rPr>
      <w:rFonts w:ascii="Arial" w:hAnsi="Arial" w:eastAsia="黑体"/>
      <w:sz w:val="28"/>
    </w:rPr>
  </w:style>
  <w:style w:type="paragraph" w:customStyle="1" w:styleId="17">
    <w:name w:val="二级标题DG"/>
    <w:basedOn w:val="6"/>
    <w:autoRedefine/>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autoRedefine/>
    <w:qFormat/>
    <w:uiPriority w:val="9"/>
    <w:rPr>
      <w:rFonts w:ascii="Calibri" w:hAnsi="Calibri" w:eastAsia="宋体" w:cs="Times New Roman"/>
      <w:b/>
      <w:bCs/>
      <w:kern w:val="44"/>
      <w:sz w:val="44"/>
      <w:szCs w:val="44"/>
    </w:rPr>
  </w:style>
  <w:style w:type="character" w:customStyle="1" w:styleId="20">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 w:type="character" w:styleId="22">
    <w:name w:val="Placeholder Text"/>
    <w:basedOn w:val="9"/>
    <w:autoRedefine/>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2766</Words>
  <Characters>3071</Characters>
  <Lines>6</Lines>
  <Paragraphs>1</Paragraphs>
  <TotalTime>0</TotalTime>
  <ScaleCrop>false</ScaleCrop>
  <LinksUpToDate>false</LinksUpToDate>
  <CharactersWithSpaces>3110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J. Yao</cp:lastModifiedBy>
  <cp:lastPrinted>2023-11-21T00:52:00Z</cp:lastPrinted>
  <dcterms:modified xsi:type="dcterms:W3CDTF">2026-09-03T04:26:54Z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83CF9351483847AA8BDFD53C8B3DF4BA_13</vt:lpwstr>
  </property>
  <property fmtid="{D5CDD505-2E9C-101B-9397-08002B2CF9AE}" pid="4" name="KSOTemplateDocerSaveRecord">
    <vt:lpwstr>eyJoZGlkIjoiYjM3OWVkNzNjZGIzYmIzZTY5OTNmMzM1MzA5MjY2ZjkiLCJ1c2VySWQiOiIxMzQyOTg5Nzc5In0=</vt:lpwstr>
  </property>
</Properties>
</file>