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48346" w14:textId="77777777" w:rsidR="00D017CB" w:rsidRDefault="006569F5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D9BF8" wp14:editId="1B853257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E904C0" w14:textId="77777777" w:rsidR="00D017CB" w:rsidRDefault="006569F5">
                            <w:pPr>
                              <w:jc w:val="left"/>
                              <w:rPr>
                                <w:rFonts w:ascii="SimSun" w:hAnsi="SimSu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SimSun" w:hAnsi="SimSun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SimSun" w:hAnsi="SimSun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SimSun" w:hAnsi="SimSun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ED9BF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QiSwIAAFkEAAAOAAAAZHJzL2Uyb0RvYy54bWysVM2O2jAQvlfqO1i+l4RAWBYRVpQVVaVV&#10;dyVa9Wwch0RyPK5tSOgDtG+wp15673PxHB07YZf+nKrm4Mx4vszPNzOZ37S1JAdhbAUqo8NBTIlQ&#10;HPJK7TL64f361ZQS65jKmQQlMnoUlt4sXr6YN3omEihB5sIQdKLsrNEZLZ3TsyiyvBQ1swPQQqGx&#10;AFMzh6rZRblhDXqvZZTE8SRqwOTaABfW4u1tZ6SL4L8oBHf3RWGFIzKjmJsLpwnn1p/RYs5mO8N0&#10;WfE+DfYPWdSsUhj0ydUtc4zsTfWHq7riBiwUbsChjqAoKi5CDVjNMP6tmk3JtAi1IDlWP9Fk/59b&#10;/u7wYEiVY+8oUazGFp0ev56+/Th9/0KGnp5G2xmiNhpxrn0NrYf29xYvfdVtYWr/xnoI2tNxPJqm&#10;lBwzOkqvx8OeZtE6wtGcTEZpkmI3OAKSaTy5CoDo2Y821r0RUBMvZNRgGwO77HBnHcZG6Bniw1qQ&#10;Vb6upAyK2W1X0pADw5avw+PTxU9+gUlFmoxiJnHwrMB/3+Gk8n5EmJ4+niehK9ZLrt22PQNbyI9I&#10;jIFusqzm6wpzvmPWPTCDo4Rl4nq4ezwKCRgSeomSEsznv917PHYYrZQ0OJoZtZ/2zAhK5FuFvb8e&#10;jsd+loMyTq8SVMylZXtpUft6BUgF9hezC6LHO3kWCwP1R9yipY+KJqY4xs6oO4sr1y0MbiEXy2UA&#10;4fRq5u7URnPv2hOmYLl3UFShQZ6mjhuk3is4v6EJ/a75BbnUA+r5j7D4CQAA//8DAFBLAwQUAAYA&#10;CAAAACEAGY9b6dwAAAAIAQAADwAAAGRycy9kb3ducmV2LnhtbEyPS0/DMBCE70j8B2uRuFEn9KEk&#10;xKkQElck+jq78RJH2Osodtu0v57lBMfZGc18W68n78QZx9gHUpDPMhBIbTA9dQp22/enAkRMmox2&#10;gVDBFSOsm/u7WlcmXOgTz5vUCS6hWGkFNqWhkjK2Fr2OszAgsfcVRq8Ty7GTZtQXLvdOPmfZSnrd&#10;Ey9YPeCbxfZ7c/IKDp2/Hfb5MFrj3YI+btftLvRKPT5Mry8gEk7pLwy/+IwODTMdw4lMFE5BMV9x&#10;UsFymYNgf1EWfDgqKMs5yKaW/x9ofgAAAP//AwBQSwECLQAUAAYACAAAACEAtoM4kv4AAADhAQAA&#10;EwAAAAAAAAAAAAAAAAAAAAAAW0NvbnRlbnRfVHlwZXNdLnhtbFBLAQItABQABgAIAAAAIQA4/SH/&#10;1gAAAJQBAAALAAAAAAAAAAAAAAAAAC8BAABfcmVscy8ucmVsc1BLAQItABQABgAIAAAAIQB4xKQi&#10;SwIAAFkEAAAOAAAAAAAAAAAAAAAAAC4CAABkcnMvZTJvRG9jLnhtbFBLAQItABQABgAIAAAAIQAZ&#10;j1vp3AAAAAgBAAAPAAAAAAAAAAAAAAAAAKUEAABkcnMvZG93bnJldi54bWxQSwUGAAAAAAQABADz&#10;AAAArgUAAAAA&#10;" stroked="f" strokeweight=".5pt">
                <v:textbox>
                  <w:txbxContent>
                    <w:p w14:paraId="5FE904C0" w14:textId="77777777" w:rsidR="00D017CB" w:rsidRDefault="006569F5">
                      <w:pPr>
                        <w:jc w:val="left"/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28"/>
        </w:rPr>
        <w:t>日本文化礼仪</w:t>
      </w:r>
      <w:r>
        <w:rPr>
          <w:rFonts w:hint="eastAsia"/>
          <w:b/>
          <w:sz w:val="28"/>
          <w:szCs w:val="30"/>
        </w:rPr>
        <w:t>】</w:t>
      </w:r>
    </w:p>
    <w:p w14:paraId="2A3CCCA1" w14:textId="77777777" w:rsidR="00D017CB" w:rsidRDefault="006569F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eastAsia="ＭＳ 明朝" w:hint="eastAsia"/>
          <w:b/>
          <w:sz w:val="28"/>
          <w:szCs w:val="30"/>
          <w:lang w:eastAsia="ja-JP"/>
        </w:rPr>
        <w:t>Japanese cultural etiquette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7982F8CD" w14:textId="77777777" w:rsidR="00D017CB" w:rsidRDefault="006569F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SimHei" w:eastAsia="SimHei" w:hAnsi="SimSun"/>
          <w:sz w:val="24"/>
        </w:rPr>
        <w:t>一</w:t>
      </w:r>
      <w:r>
        <w:rPr>
          <w:rFonts w:ascii="SimHei" w:eastAsia="SimHei" w:hAnsi="SimSun" w:hint="eastAsia"/>
          <w:sz w:val="24"/>
        </w:rPr>
        <w:t>、</w:t>
      </w:r>
      <w:r>
        <w:rPr>
          <w:rFonts w:ascii="SimHei" w:eastAsia="SimHei" w:hAnsi="SimSun"/>
          <w:sz w:val="24"/>
        </w:rPr>
        <w:t>基本信息</w:t>
      </w:r>
    </w:p>
    <w:p w14:paraId="308FD925" w14:textId="77777777" w:rsidR="00D017CB" w:rsidRDefault="006569F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eastAsia="ＭＳ 明朝" w:hint="eastAsia"/>
          <w:color w:val="000000"/>
          <w:sz w:val="20"/>
          <w:szCs w:val="20"/>
          <w:lang w:eastAsia="ja-JP"/>
        </w:rPr>
        <w:t>2020303</w:t>
      </w:r>
      <w:r>
        <w:rPr>
          <w:color w:val="000000"/>
          <w:sz w:val="20"/>
          <w:szCs w:val="20"/>
        </w:rPr>
        <w:t>】</w:t>
      </w:r>
    </w:p>
    <w:p w14:paraId="198A1FE9" w14:textId="77777777" w:rsidR="00D017CB" w:rsidRDefault="006569F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62F6DB59" w14:textId="77777777" w:rsidR="00D017CB" w:rsidRDefault="006569F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14:paraId="3349DDE5" w14:textId="7EB86330" w:rsidR="00D017CB" w:rsidRDefault="006569F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</w:t>
      </w:r>
      <w:r w:rsidRPr="006569F5">
        <w:rPr>
          <w:rFonts w:hint="eastAsia"/>
          <w:color w:val="000000"/>
          <w:sz w:val="20"/>
          <w:szCs w:val="20"/>
        </w:rPr>
        <w:t>级</w:t>
      </w:r>
      <w:r>
        <w:rPr>
          <w:rFonts w:hint="eastAsia"/>
          <w:color w:val="000000"/>
          <w:sz w:val="20"/>
          <w:szCs w:val="20"/>
        </w:rPr>
        <w:t>必修课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>/</w:t>
      </w:r>
      <w:r w:rsidRPr="006569F5">
        <w:rPr>
          <w:rFonts w:ascii="SimSun" w:hAnsi="SimSun" w:cs="SimSun" w:hint="eastAsia"/>
          <w:color w:val="000000"/>
          <w:sz w:val="20"/>
          <w:szCs w:val="20"/>
        </w:rPr>
        <w:t>专业</w:t>
      </w:r>
      <w:r w:rsidRPr="006569F5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限</w:t>
      </w:r>
      <w:r w:rsidRPr="006569F5">
        <w:rPr>
          <w:rFonts w:ascii="SimSun" w:hAnsi="SimSun" w:cs="SimSun" w:hint="eastAsia"/>
          <w:color w:val="000000"/>
          <w:sz w:val="20"/>
          <w:szCs w:val="20"/>
        </w:rPr>
        <w:t>选课</w:t>
      </w:r>
      <w:r>
        <w:rPr>
          <w:color w:val="000000"/>
          <w:sz w:val="20"/>
          <w:szCs w:val="20"/>
        </w:rPr>
        <w:t>】</w:t>
      </w:r>
    </w:p>
    <w:p w14:paraId="33D257A2" w14:textId="77777777" w:rsidR="00D017CB" w:rsidRDefault="006569F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 w14:paraId="2778B998" w14:textId="77777777" w:rsidR="00D017CB" w:rsidRDefault="006569F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5D74CA98" w14:textId="07E68832" w:rsidR="00D017CB" w:rsidRDefault="006569F5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《职场日本语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商务礼仪篇》</w:t>
      </w:r>
      <w:r>
        <w:rPr>
          <w:rFonts w:eastAsia="ＭＳ 明朝" w:hint="eastAsia"/>
          <w:color w:val="000000"/>
          <w:sz w:val="20"/>
          <w:szCs w:val="20"/>
        </w:rPr>
        <w:t>釜渕</w:t>
      </w:r>
      <w:r w:rsidR="00657254">
        <w:rPr>
          <w:rFonts w:eastAsiaTheme="minorEastAsia" w:hint="eastAsia"/>
          <w:color w:val="000000"/>
          <w:sz w:val="20"/>
          <w:szCs w:val="20"/>
        </w:rPr>
        <w:t>优</w:t>
      </w:r>
      <w:bookmarkStart w:id="1" w:name="_GoBack"/>
      <w:bookmarkEnd w:id="1"/>
      <w:r>
        <w:rPr>
          <w:rFonts w:eastAsia="ＭＳ 明朝" w:hint="eastAsia"/>
          <w:color w:val="000000"/>
          <w:sz w:val="20"/>
          <w:szCs w:val="20"/>
        </w:rPr>
        <w:t>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 xml:space="preserve"> ISBN978-7-5327-6674-1</w:t>
      </w:r>
      <w:r>
        <w:rPr>
          <w:color w:val="000000"/>
          <w:sz w:val="20"/>
          <w:szCs w:val="20"/>
        </w:rPr>
        <w:t>】</w:t>
      </w:r>
    </w:p>
    <w:p w14:paraId="648D02E8" w14:textId="77777777" w:rsidR="00D017CB" w:rsidRDefault="006569F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14:paraId="10B56862" w14:textId="77777777" w:rsidR="00D017CB" w:rsidRDefault="006569F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《中国人与日本人》钟有祥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中外书局</w:t>
      </w:r>
      <w:r>
        <w:rPr>
          <w:rFonts w:hint="eastAsia"/>
          <w:color w:val="000000"/>
          <w:sz w:val="20"/>
          <w:szCs w:val="20"/>
        </w:rPr>
        <w:t xml:space="preserve"> ISBN978-7-5192-</w:t>
      </w:r>
      <w:r>
        <w:rPr>
          <w:rFonts w:eastAsia="ＭＳ 明朝"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323-</w:t>
      </w:r>
      <w:r>
        <w:rPr>
          <w:rFonts w:eastAsia="ＭＳ 明朝" w:hint="eastAsia"/>
          <w:color w:val="000000"/>
          <w:sz w:val="20"/>
          <w:szCs w:val="20"/>
        </w:rPr>
        <w:t>4</w:t>
      </w:r>
    </w:p>
    <w:p w14:paraId="1A7232DF" w14:textId="77777777" w:rsidR="00D017CB" w:rsidRDefault="006569F5">
      <w:pPr>
        <w:snapToGrid w:val="0"/>
        <w:spacing w:line="288" w:lineRule="auto"/>
        <w:ind w:leftChars="400" w:left="840"/>
        <w:rPr>
          <w:color w:val="000000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  <w:lang w:eastAsia="ja-JP"/>
        </w:rPr>
        <w:t>『大人のマナー講座』日本マナープロトコル協会著</w:t>
      </w:r>
      <w:r>
        <w:rPr>
          <w:rFonts w:hint="eastAsia"/>
          <w:color w:val="00000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hint="eastAsia"/>
          <w:color w:val="000000"/>
          <w:sz w:val="20"/>
          <w:szCs w:val="20"/>
          <w:lang w:eastAsia="ja-JP"/>
        </w:rPr>
        <w:t>PHP出版</w:t>
      </w:r>
      <w:r>
        <w:rPr>
          <w:rFonts w:hint="eastAsia"/>
          <w:color w:val="000000"/>
          <w:sz w:val="20"/>
          <w:szCs w:val="20"/>
          <w:lang w:eastAsia="ja-JP"/>
        </w:rPr>
        <w:t xml:space="preserve"> ISBN</w:t>
      </w:r>
      <w:r>
        <w:rPr>
          <w:color w:val="000000"/>
          <w:sz w:val="20"/>
          <w:szCs w:val="20"/>
          <w:lang w:eastAsia="ja-JP"/>
        </w:rPr>
        <w:t>978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4</w:t>
      </w:r>
      <w:r>
        <w:rPr>
          <w:rFonts w:hint="eastAsia"/>
          <w:color w:val="000000"/>
          <w:sz w:val="20"/>
          <w:szCs w:val="20"/>
          <w:lang w:eastAsia="ja-JP"/>
        </w:rPr>
        <w:t>-5</w:t>
      </w:r>
      <w:r>
        <w:rPr>
          <w:rFonts w:eastAsia="ＭＳ 明朝" w:hint="eastAsia"/>
          <w:color w:val="000000"/>
          <w:sz w:val="20"/>
          <w:szCs w:val="20"/>
          <w:lang w:eastAsia="ja-JP"/>
        </w:rPr>
        <w:t>6</w:t>
      </w:r>
      <w:r>
        <w:rPr>
          <w:rFonts w:eastAsia="ＭＳ 明朝"/>
          <w:color w:val="000000"/>
          <w:sz w:val="20"/>
          <w:szCs w:val="20"/>
          <w:lang w:eastAsia="ja-JP"/>
        </w:rPr>
        <w:t>9</w:t>
      </w:r>
      <w:r>
        <w:rPr>
          <w:rFonts w:hint="eastAsia"/>
          <w:color w:val="000000"/>
          <w:sz w:val="20"/>
          <w:szCs w:val="20"/>
          <w:lang w:eastAsia="ja-JP"/>
        </w:rPr>
        <w:t>-79</w:t>
      </w:r>
      <w:r>
        <w:rPr>
          <w:color w:val="000000"/>
          <w:sz w:val="20"/>
          <w:szCs w:val="20"/>
          <w:lang w:eastAsia="ja-JP"/>
        </w:rPr>
        <w:t>594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2</w:t>
      </w:r>
    </w:p>
    <w:p w14:paraId="2A16627D" w14:textId="77777777" w:rsidR="00D017CB" w:rsidRDefault="006569F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《我看日本</w:t>
      </w:r>
      <w:r>
        <w:rPr>
          <w:rFonts w:hint="eastAsia"/>
          <w:color w:val="000000"/>
          <w:sz w:val="20"/>
          <w:szCs w:val="20"/>
        </w:rPr>
        <w:t>30</w:t>
      </w:r>
      <w:r>
        <w:rPr>
          <w:rFonts w:hint="eastAsia"/>
          <w:color w:val="000000"/>
          <w:sz w:val="20"/>
          <w:szCs w:val="20"/>
        </w:rPr>
        <w:t>年》马吴生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上海文艺出版社</w:t>
      </w:r>
      <w:r>
        <w:rPr>
          <w:rFonts w:hint="eastAsia"/>
          <w:color w:val="000000"/>
          <w:sz w:val="20"/>
          <w:szCs w:val="20"/>
        </w:rPr>
        <w:t xml:space="preserve"> ISBN978-5321-</w:t>
      </w:r>
      <w:r>
        <w:rPr>
          <w:rFonts w:eastAsia="ＭＳ 明朝" w:hint="eastAsia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eastAsia="ＭＳ 明朝"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 w14:paraId="37CD2835" w14:textId="77777777" w:rsidR="00D017CB" w:rsidRDefault="00D017C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</w:p>
    <w:p w14:paraId="548C4814" w14:textId="77777777" w:rsidR="00D017CB" w:rsidRDefault="006569F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（因为无完整的教材，使用的教材由教师编写，所以没有网站。）</w:t>
      </w:r>
    </w:p>
    <w:p w14:paraId="24B60467" w14:textId="77777777" w:rsidR="00D017CB" w:rsidRDefault="006569F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14:paraId="75D3B4CA" w14:textId="77777777" w:rsidR="00D017CB" w:rsidRDefault="00D017CB">
      <w:pPr>
        <w:adjustRightInd w:val="0"/>
        <w:snapToGrid w:val="0"/>
        <w:spacing w:line="288" w:lineRule="auto"/>
        <w:ind w:firstLineChars="196" w:firstLine="470"/>
        <w:rPr>
          <w:rFonts w:ascii="SimHei" w:eastAsia="SimHei" w:hAnsi="SimSun"/>
          <w:sz w:val="24"/>
        </w:rPr>
      </w:pPr>
    </w:p>
    <w:p w14:paraId="55CB8D43" w14:textId="77777777" w:rsidR="00D017CB" w:rsidRDefault="006569F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SimHei" w:eastAsia="SimHei" w:hAnsi="SimSun"/>
          <w:sz w:val="24"/>
        </w:rPr>
        <w:t>二</w:t>
      </w:r>
      <w:r>
        <w:rPr>
          <w:rFonts w:ascii="SimHei" w:eastAsia="SimHei" w:hAnsi="SimSun" w:hint="eastAsia"/>
          <w:sz w:val="24"/>
        </w:rPr>
        <w:t>、</w:t>
      </w:r>
      <w:r>
        <w:rPr>
          <w:rFonts w:ascii="SimHei" w:eastAsia="SimHei" w:hAnsi="SimSun"/>
          <w:sz w:val="24"/>
        </w:rPr>
        <w:t>课程简介（必填项）</w:t>
      </w:r>
    </w:p>
    <w:p w14:paraId="7CF7221F" w14:textId="77777777" w:rsidR="00D017CB" w:rsidRDefault="006569F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）</w:t>
      </w:r>
    </w:p>
    <w:p w14:paraId="2FE4F6D9" w14:textId="77777777" w:rsidR="00D017CB" w:rsidRDefault="006569F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作出了一些比较，使学习日语的学生能够了解中日文化的区别，对语言学习有一定的帮助。本课程以中日两国的里应外合方面的差异为重点，进行了分析和比较，使学生能够理解中日礼仪文化的差异，做到取长补短、修身养心。</w:t>
      </w:r>
    </w:p>
    <w:p w14:paraId="7DDEB8C5" w14:textId="77777777" w:rsidR="00D017CB" w:rsidRDefault="006569F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本课程的教授对象是日语专业的大三学生，因为文化是语言的基础，因此学习中日文化的比较，能够加深对日本的了解、对日语的了解、对日本文化的各个领域的了解，进而提高日语水平。</w:t>
      </w:r>
    </w:p>
    <w:p w14:paraId="64636AE1" w14:textId="77777777" w:rsidR="00D017CB" w:rsidRDefault="00D017C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50829C1" w14:textId="77777777" w:rsidR="00D017CB" w:rsidRDefault="006569F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/>
          <w:sz w:val="24"/>
        </w:rPr>
        <w:t>三</w:t>
      </w:r>
      <w:r>
        <w:rPr>
          <w:rFonts w:ascii="SimHei" w:eastAsia="SimHei" w:hAnsi="SimSun" w:hint="eastAsia"/>
          <w:sz w:val="24"/>
        </w:rPr>
        <w:t>、</w:t>
      </w:r>
      <w:r>
        <w:rPr>
          <w:rFonts w:ascii="SimHei" w:eastAsia="SimHei" w:hAnsi="SimSun"/>
          <w:sz w:val="24"/>
        </w:rPr>
        <w:t>选课建议（必填项）</w:t>
      </w:r>
    </w:p>
    <w:p w14:paraId="3536C028" w14:textId="77777777" w:rsidR="00D017CB" w:rsidRDefault="006569F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本课程适合以日语为主要学习课程的学生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学习当该课程的学生必需具有一定的日语基础知识，以二、三年级的学生为宜。</w:t>
      </w:r>
    </w:p>
    <w:p w14:paraId="10769FB7" w14:textId="77777777" w:rsidR="00D017CB" w:rsidRDefault="006569F5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/>
          <w:sz w:val="24"/>
        </w:rPr>
        <w:t>课程与</w:t>
      </w:r>
      <w:r>
        <w:rPr>
          <w:rFonts w:ascii="SimHei" w:eastAsia="SimHei" w:hAnsi="SimSun" w:hint="eastAsia"/>
          <w:sz w:val="24"/>
        </w:rPr>
        <w:t>专业毕业要求</w:t>
      </w:r>
      <w:r>
        <w:rPr>
          <w:rFonts w:ascii="SimHei" w:eastAsia="SimHei" w:hAnsi="SimSun"/>
          <w:sz w:val="24"/>
        </w:rPr>
        <w:t>的关联性</w:t>
      </w:r>
    </w:p>
    <w:tbl>
      <w:tblPr>
        <w:tblStyle w:val="a8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D017CB" w14:paraId="1D0C2154" w14:textId="77777777">
        <w:tc>
          <w:tcPr>
            <w:tcW w:w="6912" w:type="dxa"/>
            <w:gridSpan w:val="2"/>
          </w:tcPr>
          <w:p w14:paraId="31D9F983" w14:textId="77777777" w:rsidR="00D017CB" w:rsidRDefault="006569F5">
            <w:pPr>
              <w:jc w:val="center"/>
              <w:rPr>
                <w:rFonts w:ascii="SimHei" w:eastAsia="SimHei" w:hAnsi="SimHei" w:cs="SimHei"/>
                <w:kern w:val="0"/>
                <w:sz w:val="20"/>
                <w:szCs w:val="20"/>
              </w:rPr>
            </w:pPr>
            <w:r>
              <w:rPr>
                <w:rFonts w:ascii="SimHei" w:eastAsia="SimHei" w:hAnsi="SimHei" w:cs="SimHei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1245DBC0" w14:textId="77777777" w:rsidR="00D017CB" w:rsidRDefault="006569F5">
            <w:pPr>
              <w:jc w:val="center"/>
              <w:rPr>
                <w:rFonts w:ascii="SimHei" w:eastAsia="SimHei" w:hAnsi="SimHei" w:cs="SimHei"/>
                <w:kern w:val="0"/>
                <w:sz w:val="20"/>
                <w:szCs w:val="20"/>
              </w:rPr>
            </w:pPr>
            <w:r>
              <w:rPr>
                <w:rFonts w:ascii="SimHei" w:eastAsia="SimHei" w:hAnsi="SimHei" w:cs="SimHei" w:hint="eastAsia"/>
                <w:kern w:val="0"/>
                <w:sz w:val="20"/>
                <w:szCs w:val="20"/>
              </w:rPr>
              <w:t>关联</w:t>
            </w:r>
          </w:p>
        </w:tc>
      </w:tr>
      <w:tr w:rsidR="00D017CB" w14:paraId="6F3030A9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75675F6A" w14:textId="77777777" w:rsidR="00D017CB" w:rsidRDefault="006569F5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lastRenderedPageBreak/>
              <w:t>：</w:t>
            </w:r>
          </w:p>
        </w:tc>
        <w:tc>
          <w:tcPr>
            <w:tcW w:w="6095" w:type="dxa"/>
            <w:vAlign w:val="center"/>
          </w:tcPr>
          <w:p w14:paraId="19C465CA" w14:textId="77777777" w:rsidR="00D017CB" w:rsidRDefault="006569F5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1E81A8A9" w14:textId="77777777" w:rsidR="00D017CB" w:rsidRDefault="00D017CB">
            <w:pPr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0B8E0111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26C7B85C" w14:textId="77777777" w:rsidR="00D017CB" w:rsidRDefault="00D017CB">
            <w:pPr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F869BA" w14:textId="77777777" w:rsidR="00D017CB" w:rsidRDefault="006569F5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12FCE947" w14:textId="77777777" w:rsidR="00D017CB" w:rsidRDefault="006569F5">
            <w:pPr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D017CB" w14:paraId="7B14DDA4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61CBAC76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14:paraId="5DA4090D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78FC1DEC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16F9D120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6A87E6F8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AB4A4D0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7F23AEE7" w14:textId="77777777" w:rsidR="00D017CB" w:rsidRDefault="00D017C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017CB" w14:paraId="5C2D9E86" w14:textId="77777777">
        <w:trPr>
          <w:trHeight w:val="126"/>
        </w:trPr>
        <w:tc>
          <w:tcPr>
            <w:tcW w:w="817" w:type="dxa"/>
            <w:vMerge w:val="restart"/>
            <w:vAlign w:val="center"/>
          </w:tcPr>
          <w:p w14:paraId="08D8802F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14:paraId="74BA5074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2AAD79FD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2F16F04D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5D275CAF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1B95E4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1F523062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266BC7F0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1E0D8581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C75CF0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06452A13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38F8794E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0FE1FC09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B8EA16F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59D41A0E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6ABEE38D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2F528698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C024638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4E4C9362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03835E7D" w14:textId="77777777">
        <w:trPr>
          <w:trHeight w:val="81"/>
        </w:trPr>
        <w:tc>
          <w:tcPr>
            <w:tcW w:w="817" w:type="dxa"/>
            <w:vMerge w:val="restart"/>
            <w:vAlign w:val="center"/>
          </w:tcPr>
          <w:p w14:paraId="382C86F8" w14:textId="77777777" w:rsidR="00D017CB" w:rsidRDefault="006569F5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14:paraId="1F429D68" w14:textId="77777777" w:rsidR="00D017CB" w:rsidRDefault="006569F5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599D52EE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12DDEE45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61CC95B5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09838B8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6AC496E6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0072CE35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670A7D8B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7F2B58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61AE8D62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5B3C6519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4F5D866B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1FA956E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15438B1C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08A65097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36FF4534" w14:textId="77777777" w:rsidR="00D017CB" w:rsidRDefault="006569F5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14:paraId="7A0E9C8D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1D98C410" w14:textId="77777777" w:rsidR="00D017CB" w:rsidRDefault="006569F5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D017CB" w14:paraId="7B1A124A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6F6E5BDD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7C71129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2AEA570B" w14:textId="77777777" w:rsidR="00D017CB" w:rsidRDefault="006569F5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D017CB" w14:paraId="03906959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323CA429" w14:textId="77777777" w:rsidR="00D017CB" w:rsidRDefault="006569F5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14:paraId="5B72755C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510D3AAA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4521E00F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562629C9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11DF58A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456169BA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1CE9A38A" w14:textId="77777777">
        <w:trPr>
          <w:trHeight w:val="105"/>
        </w:trPr>
        <w:tc>
          <w:tcPr>
            <w:tcW w:w="817" w:type="dxa"/>
            <w:vMerge w:val="restart"/>
            <w:vAlign w:val="center"/>
          </w:tcPr>
          <w:p w14:paraId="3F9D70F9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14:paraId="1603CBEA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2AB2801D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1D7CFC04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4A33B827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2C93E6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7232AF53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1A578709" w14:textId="77777777">
        <w:trPr>
          <w:trHeight w:val="158"/>
        </w:trPr>
        <w:tc>
          <w:tcPr>
            <w:tcW w:w="817" w:type="dxa"/>
            <w:vMerge/>
            <w:vAlign w:val="center"/>
          </w:tcPr>
          <w:p w14:paraId="5EDCD87A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69B4E8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474E1A66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1BA15D65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2AE41ECA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C7DFFE8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58CF168F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483B8FD8" w14:textId="77777777">
        <w:trPr>
          <w:trHeight w:val="81"/>
        </w:trPr>
        <w:tc>
          <w:tcPr>
            <w:tcW w:w="817" w:type="dxa"/>
            <w:vMerge w:val="restart"/>
            <w:vAlign w:val="center"/>
          </w:tcPr>
          <w:p w14:paraId="18889F52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lastRenderedPageBreak/>
              <w:t>：</w:t>
            </w:r>
          </w:p>
        </w:tc>
        <w:tc>
          <w:tcPr>
            <w:tcW w:w="6095" w:type="dxa"/>
            <w:vAlign w:val="center"/>
          </w:tcPr>
          <w:p w14:paraId="4C54C609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6B3E186A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1B7B7B30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300A3CB1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C7295F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5A8AD789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42DD91CA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6B31A0CC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F2B36F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1EDA96F2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5FFB3A30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492EBDFC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3B50F4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7B9D6366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5A42CE19" w14:textId="77777777">
        <w:trPr>
          <w:trHeight w:val="120"/>
        </w:trPr>
        <w:tc>
          <w:tcPr>
            <w:tcW w:w="817" w:type="dxa"/>
            <w:vMerge w:val="restart"/>
            <w:vAlign w:val="center"/>
          </w:tcPr>
          <w:p w14:paraId="43F42046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14:paraId="0786F94C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6016803F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7EF28227" w14:textId="77777777">
        <w:trPr>
          <w:trHeight w:val="120"/>
        </w:trPr>
        <w:tc>
          <w:tcPr>
            <w:tcW w:w="817" w:type="dxa"/>
            <w:vMerge/>
            <w:vAlign w:val="center"/>
          </w:tcPr>
          <w:p w14:paraId="4FE96D6C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917A7FE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2B949A5C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445E0258" w14:textId="77777777">
        <w:trPr>
          <w:trHeight w:val="120"/>
        </w:trPr>
        <w:tc>
          <w:tcPr>
            <w:tcW w:w="817" w:type="dxa"/>
            <w:vMerge/>
            <w:vAlign w:val="center"/>
          </w:tcPr>
          <w:p w14:paraId="3877FDFE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57BB6F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36BE7A13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37A3B402" w14:textId="77777777">
        <w:trPr>
          <w:trHeight w:val="81"/>
        </w:trPr>
        <w:tc>
          <w:tcPr>
            <w:tcW w:w="817" w:type="dxa"/>
            <w:vMerge w:val="restart"/>
            <w:vAlign w:val="center"/>
          </w:tcPr>
          <w:p w14:paraId="658CC2D5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14:paraId="641B4F8D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06C7BCD4" w14:textId="77777777" w:rsidR="00D017CB" w:rsidRDefault="006569F5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D017CB" w14:paraId="5D9D5662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1E3D83E6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8F9D9DC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64279573" w14:textId="77777777" w:rsidR="00D017CB" w:rsidRDefault="006569F5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D017CB" w14:paraId="3BCF0C04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7807E63C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2187691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5F8992BB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35304AFA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110CC781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24E4F5E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0147A923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7D4F91C5" w14:textId="77777777">
        <w:trPr>
          <w:trHeight w:val="105"/>
        </w:trPr>
        <w:tc>
          <w:tcPr>
            <w:tcW w:w="817" w:type="dxa"/>
            <w:vMerge w:val="restart"/>
            <w:vAlign w:val="center"/>
          </w:tcPr>
          <w:p w14:paraId="18B9398E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14:paraId="14E1CEAC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35C262A8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4EC06474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709826B4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11B636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7A8801F7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D017CB" w14:paraId="0DE3C5A5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45DA9C91" w14:textId="77777777" w:rsidR="00D017CB" w:rsidRDefault="00D017CB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B54C20" w14:textId="77777777" w:rsidR="00D017CB" w:rsidRDefault="006569F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3C366594" w14:textId="77777777" w:rsidR="00D017CB" w:rsidRDefault="00D017CB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</w:tbl>
    <w:p w14:paraId="76220D7A" w14:textId="77777777" w:rsidR="00D017CB" w:rsidRDefault="006569F5">
      <w:pPr>
        <w:widowControl/>
        <w:spacing w:beforeLines="50" w:before="156" w:afterLines="50" w:after="156" w:line="288" w:lineRule="auto"/>
        <w:jc w:val="left"/>
        <w:rPr>
          <w:rFonts w:eastAsiaTheme="minorEastAsia"/>
        </w:rPr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136BE68D" w14:textId="77777777" w:rsidR="00D017CB" w:rsidRDefault="006569F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Theme="minorEastAsia"/>
          <w:sz w:val="20"/>
          <w:szCs w:val="20"/>
        </w:rPr>
      </w:pPr>
      <w:r>
        <w:rPr>
          <w:rFonts w:ascii="SimHei" w:eastAsia="SimHei" w:hAnsi="SimSun" w:hint="eastAsia"/>
          <w:sz w:val="24"/>
        </w:rPr>
        <w:t>五、</w:t>
      </w:r>
      <w:r>
        <w:rPr>
          <w:rFonts w:ascii="SimHei" w:eastAsia="SimHei" w:hAnsi="SimSun"/>
          <w:sz w:val="24"/>
        </w:rPr>
        <w:t>课程</w:t>
      </w:r>
      <w:r>
        <w:rPr>
          <w:rFonts w:ascii="SimHei" w:eastAsia="SimHei" w:hAnsi="SimSun" w:hint="eastAsia"/>
          <w:sz w:val="24"/>
        </w:rPr>
        <w:t>目标/课程预期学习成果</w:t>
      </w:r>
      <w:r>
        <w:rPr>
          <w:rFonts w:ascii="SimHei" w:eastAsia="SimHei" w:hAnsi="SimSun"/>
          <w:sz w:val="24"/>
        </w:rPr>
        <w:t>（必填项）（</w:t>
      </w:r>
      <w:r>
        <w:rPr>
          <w:rFonts w:ascii="SimHei" w:eastAsia="SimHei" w:hAnsi="SimSun" w:hint="eastAsia"/>
          <w:sz w:val="24"/>
        </w:rPr>
        <w:t>预期学习成果</w:t>
      </w:r>
      <w:r>
        <w:rPr>
          <w:rFonts w:ascii="SimHei" w:eastAsia="SimHei" w:hAnsi="SimSun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D017CB" w14:paraId="0C2B8EA2" w14:textId="77777777">
        <w:tc>
          <w:tcPr>
            <w:tcW w:w="535" w:type="dxa"/>
            <w:shd w:val="clear" w:color="auto" w:fill="auto"/>
          </w:tcPr>
          <w:p w14:paraId="2D7871FC" w14:textId="77777777" w:rsidR="00D017CB" w:rsidRDefault="006569F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00B9A452" w14:textId="77777777" w:rsidR="00D017CB" w:rsidRDefault="006569F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6CE1941C" w14:textId="77777777" w:rsidR="00D017CB" w:rsidRDefault="006569F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4FBEA77" w14:textId="77777777" w:rsidR="00D017CB" w:rsidRDefault="006569F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6F5E92A5" w14:textId="77777777" w:rsidR="00D017CB" w:rsidRDefault="006569F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A2CC5B8" w14:textId="77777777" w:rsidR="00D017CB" w:rsidRDefault="006569F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9EE66" w14:textId="77777777" w:rsidR="00D017CB" w:rsidRDefault="006569F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D017CB" w14:paraId="552D3172" w14:textId="77777777">
        <w:tc>
          <w:tcPr>
            <w:tcW w:w="535" w:type="dxa"/>
            <w:shd w:val="clear" w:color="auto" w:fill="auto"/>
          </w:tcPr>
          <w:p w14:paraId="7E0B8C94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C1CFEA8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 w14:paraId="1F62344C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具备书面和语言能力，善于与他人沟通。</w:t>
            </w:r>
          </w:p>
        </w:tc>
        <w:tc>
          <w:tcPr>
            <w:tcW w:w="2199" w:type="dxa"/>
            <w:shd w:val="clear" w:color="auto" w:fill="auto"/>
          </w:tcPr>
          <w:p w14:paraId="157D031B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SimHei" w:eastAsia="SimHei" w:hAnsi="SimSun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14:paraId="77ECDED3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SimHei" w:eastAsia="SimHei" w:hAnsi="SimSun" w:hint="eastAsia"/>
                <w:sz w:val="24"/>
              </w:rPr>
              <w:t>书面考试</w:t>
            </w:r>
          </w:p>
        </w:tc>
      </w:tr>
      <w:tr w:rsidR="00D017CB" w14:paraId="3B641C7B" w14:textId="77777777">
        <w:tc>
          <w:tcPr>
            <w:tcW w:w="535" w:type="dxa"/>
            <w:vMerge w:val="restart"/>
            <w:shd w:val="clear" w:color="auto" w:fill="auto"/>
          </w:tcPr>
          <w:p w14:paraId="41CED8BA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375D2A24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LO331</w:t>
            </w:r>
          </w:p>
          <w:p w14:paraId="0C26875D" w14:textId="77777777" w:rsidR="00D017CB" w:rsidRDefault="00D017CB">
            <w:pPr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  <w:p w14:paraId="3D23BDEC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LO332</w:t>
            </w:r>
          </w:p>
          <w:p w14:paraId="1F39D6FC" w14:textId="77777777" w:rsidR="00D017CB" w:rsidRDefault="00D017CB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08F949A2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lastRenderedPageBreak/>
              <w:t>掌握中日礼仪差异</w:t>
            </w:r>
          </w:p>
        </w:tc>
        <w:tc>
          <w:tcPr>
            <w:tcW w:w="2199" w:type="dxa"/>
            <w:shd w:val="clear" w:color="auto" w:fill="auto"/>
          </w:tcPr>
          <w:p w14:paraId="5E8A7549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SimHei" w:eastAsia="SimHei" w:hAnsi="SimSun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14:paraId="00C25C85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SimHei" w:eastAsia="SimHei" w:hAnsi="SimSun" w:hint="eastAsia"/>
                <w:sz w:val="24"/>
              </w:rPr>
              <w:t>书面考试</w:t>
            </w:r>
          </w:p>
        </w:tc>
      </w:tr>
      <w:tr w:rsidR="00D017CB" w14:paraId="644826CD" w14:textId="77777777">
        <w:tc>
          <w:tcPr>
            <w:tcW w:w="535" w:type="dxa"/>
            <w:vMerge/>
            <w:shd w:val="clear" w:color="auto" w:fill="auto"/>
          </w:tcPr>
          <w:p w14:paraId="0AA55D13" w14:textId="77777777" w:rsidR="00D017CB" w:rsidRDefault="00D017CB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04F05E4C" w14:textId="77777777" w:rsidR="00D017CB" w:rsidRDefault="00D017CB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145E4C86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</w:tcPr>
          <w:p w14:paraId="00AA6C07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SimHei" w:eastAsia="SimHei" w:hAnsi="SimSun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14:paraId="24FEF6A0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SimHei" w:eastAsia="SimHei" w:hAnsi="SimSun" w:hint="eastAsia"/>
                <w:sz w:val="24"/>
              </w:rPr>
              <w:t>书面考试</w:t>
            </w:r>
          </w:p>
        </w:tc>
      </w:tr>
      <w:tr w:rsidR="00D017CB" w14:paraId="32594C2D" w14:textId="77777777">
        <w:tc>
          <w:tcPr>
            <w:tcW w:w="535" w:type="dxa"/>
            <w:vMerge/>
            <w:shd w:val="clear" w:color="auto" w:fill="auto"/>
          </w:tcPr>
          <w:p w14:paraId="3F05612C" w14:textId="77777777" w:rsidR="00D017CB" w:rsidRDefault="00D017CB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4C6DBD49" w14:textId="77777777" w:rsidR="00D017CB" w:rsidRDefault="00D017CB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29036D5E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提高文化交际能力</w:t>
            </w:r>
          </w:p>
        </w:tc>
        <w:tc>
          <w:tcPr>
            <w:tcW w:w="2199" w:type="dxa"/>
            <w:shd w:val="clear" w:color="auto" w:fill="auto"/>
          </w:tcPr>
          <w:p w14:paraId="03876C72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SimHei" w:eastAsia="SimHei" w:hAnsi="SimSun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14:paraId="7D57F4DA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SimHei" w:eastAsia="SimHei" w:hAnsi="SimSun" w:hint="eastAsia"/>
                <w:sz w:val="24"/>
              </w:rPr>
              <w:t>书面考试</w:t>
            </w:r>
          </w:p>
        </w:tc>
      </w:tr>
      <w:tr w:rsidR="00D017CB" w14:paraId="44935884" w14:textId="77777777">
        <w:tc>
          <w:tcPr>
            <w:tcW w:w="535" w:type="dxa"/>
            <w:vMerge w:val="restart"/>
            <w:shd w:val="clear" w:color="auto" w:fill="auto"/>
          </w:tcPr>
          <w:p w14:paraId="26CC334A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02D868AA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LO711</w:t>
            </w:r>
          </w:p>
          <w:p w14:paraId="4333FFE0" w14:textId="77777777" w:rsidR="00D017CB" w:rsidRDefault="00D017CB">
            <w:pPr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</w:p>
          <w:p w14:paraId="3CEBFE1B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 w14:paraId="44803876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了解祖国传统文化，热爱祖国。</w:t>
            </w:r>
          </w:p>
        </w:tc>
        <w:tc>
          <w:tcPr>
            <w:tcW w:w="2199" w:type="dxa"/>
            <w:shd w:val="clear" w:color="auto" w:fill="auto"/>
          </w:tcPr>
          <w:p w14:paraId="0602DADE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SimHei" w:eastAsia="SimHei" w:hAnsi="SimSun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14:paraId="36931B84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SimHei" w:eastAsia="SimHei" w:hAnsi="SimSun" w:hint="eastAsia"/>
                <w:sz w:val="24"/>
              </w:rPr>
              <w:t>书面考试</w:t>
            </w:r>
          </w:p>
        </w:tc>
      </w:tr>
      <w:tr w:rsidR="00D017CB" w14:paraId="4111CA07" w14:textId="77777777">
        <w:tc>
          <w:tcPr>
            <w:tcW w:w="535" w:type="dxa"/>
            <w:vMerge/>
            <w:shd w:val="clear" w:color="auto" w:fill="auto"/>
          </w:tcPr>
          <w:p w14:paraId="63B79751" w14:textId="77777777" w:rsidR="00D017CB" w:rsidRDefault="00D017CB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1534F6B0" w14:textId="77777777" w:rsidR="00D017CB" w:rsidRDefault="00D017CB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2BE885DF" w14:textId="77777777" w:rsidR="00D017CB" w:rsidRDefault="006569F5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具备助人为乐的爱心，懂得感恩。</w:t>
            </w:r>
          </w:p>
        </w:tc>
        <w:tc>
          <w:tcPr>
            <w:tcW w:w="2199" w:type="dxa"/>
            <w:shd w:val="clear" w:color="auto" w:fill="auto"/>
          </w:tcPr>
          <w:p w14:paraId="12647DE0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SimHei" w:eastAsia="SimHei" w:hAnsi="SimSun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14:paraId="343DC741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SimHei" w:eastAsia="SimHei" w:hAnsi="SimSun" w:hint="eastAsia"/>
                <w:sz w:val="24"/>
              </w:rPr>
              <w:t>书面考试</w:t>
            </w:r>
          </w:p>
        </w:tc>
      </w:tr>
    </w:tbl>
    <w:p w14:paraId="628037F9" w14:textId="77777777" w:rsidR="00D017CB" w:rsidRDefault="00D017CB">
      <w:pPr>
        <w:snapToGrid w:val="0"/>
        <w:spacing w:line="288" w:lineRule="auto"/>
        <w:rPr>
          <w:rFonts w:ascii="SimHei" w:eastAsia="SimHei" w:hAnsi="SimSun"/>
          <w:sz w:val="24"/>
        </w:rPr>
      </w:pPr>
    </w:p>
    <w:p w14:paraId="6BF02598" w14:textId="77777777" w:rsidR="00D017CB" w:rsidRDefault="006569F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 w:hint="eastAsia"/>
          <w:sz w:val="24"/>
        </w:rPr>
        <w:t>六、</w:t>
      </w:r>
      <w:r>
        <w:rPr>
          <w:rFonts w:ascii="SimHei" w:eastAsia="SimHei" w:hAnsi="SimSun"/>
          <w:sz w:val="24"/>
        </w:rPr>
        <w:t>课程内容（必填项）</w:t>
      </w:r>
    </w:p>
    <w:p w14:paraId="76DF25C3" w14:textId="77777777" w:rsidR="00D017CB" w:rsidRDefault="00D017CB">
      <w:pPr>
        <w:snapToGrid w:val="0"/>
        <w:spacing w:line="288" w:lineRule="auto"/>
        <w:rPr>
          <w:rFonts w:ascii="SimSun" w:hAnsi="SimSun"/>
          <w:sz w:val="20"/>
          <w:szCs w:val="20"/>
        </w:rPr>
      </w:pPr>
    </w:p>
    <w:p w14:paraId="69B89942" w14:textId="77777777" w:rsidR="00D017CB" w:rsidRDefault="006569F5">
      <w:pPr>
        <w:snapToGrid w:val="0"/>
        <w:spacing w:line="288" w:lineRule="auto"/>
        <w:ind w:firstLine="400"/>
        <w:rPr>
          <w:rFonts w:ascii="SimSun" w:hAnsi="SimSun"/>
          <w:sz w:val="20"/>
          <w:szCs w:val="20"/>
        </w:rPr>
      </w:pPr>
      <w:r>
        <w:rPr>
          <w:rFonts w:ascii="SimSun" w:hAnsi="SimSun" w:hint="eastAsia"/>
          <w:sz w:val="20"/>
          <w:szCs w:val="20"/>
        </w:rPr>
        <w:t>本课程总课时为32学时，每个单元各为8学时。教师的授课和学生的讨论包括在内。课外作业的时间不包括在内。</w:t>
      </w:r>
    </w:p>
    <w:p w14:paraId="69DC56B6" w14:textId="77777777" w:rsidR="00D017CB" w:rsidRDefault="006569F5">
      <w:pPr>
        <w:snapToGrid w:val="0"/>
        <w:spacing w:line="288" w:lineRule="auto"/>
        <w:jc w:val="center"/>
        <w:rPr>
          <w:rFonts w:ascii="SimSun" w:hAnsi="SimSun"/>
          <w:sz w:val="20"/>
          <w:szCs w:val="20"/>
        </w:rPr>
      </w:pPr>
      <w:r>
        <w:rPr>
          <w:rFonts w:ascii="SimSun" w:hAnsi="SimSun" w:hint="eastAsia"/>
          <w:sz w:val="20"/>
          <w:szCs w:val="20"/>
        </w:rPr>
        <w:t>课程内容和能力要求极其重点等一览表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721"/>
        <w:gridCol w:w="795"/>
        <w:gridCol w:w="1830"/>
        <w:gridCol w:w="2205"/>
        <w:gridCol w:w="2971"/>
      </w:tblGrid>
      <w:tr w:rsidR="00D017CB" w14:paraId="186CF6B1" w14:textId="77777777">
        <w:tc>
          <w:tcPr>
            <w:tcW w:w="721" w:type="dxa"/>
          </w:tcPr>
          <w:p w14:paraId="44F766DF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序号</w:t>
            </w:r>
          </w:p>
        </w:tc>
        <w:tc>
          <w:tcPr>
            <w:tcW w:w="795" w:type="dxa"/>
          </w:tcPr>
          <w:p w14:paraId="62326249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课时</w:t>
            </w:r>
          </w:p>
        </w:tc>
        <w:tc>
          <w:tcPr>
            <w:tcW w:w="1830" w:type="dxa"/>
          </w:tcPr>
          <w:p w14:paraId="41F16C3A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授课内容</w:t>
            </w:r>
          </w:p>
        </w:tc>
        <w:tc>
          <w:tcPr>
            <w:tcW w:w="2205" w:type="dxa"/>
          </w:tcPr>
          <w:p w14:paraId="65D1C183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知识和能力的要求</w:t>
            </w:r>
          </w:p>
        </w:tc>
        <w:tc>
          <w:tcPr>
            <w:tcW w:w="2971" w:type="dxa"/>
          </w:tcPr>
          <w:p w14:paraId="3AF9B3A1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教学重点和难点列举</w:t>
            </w:r>
          </w:p>
        </w:tc>
      </w:tr>
      <w:tr w:rsidR="00D017CB" w14:paraId="573AA772" w14:textId="77777777">
        <w:tc>
          <w:tcPr>
            <w:tcW w:w="721" w:type="dxa"/>
          </w:tcPr>
          <w:p w14:paraId="2740978E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14:paraId="7402DF5A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14:paraId="2D3F6573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日常生活中的礼仪</w:t>
            </w:r>
          </w:p>
        </w:tc>
        <w:tc>
          <w:tcPr>
            <w:tcW w:w="2205" w:type="dxa"/>
          </w:tcPr>
          <w:p w14:paraId="7423BA07" w14:textId="77777777" w:rsidR="00D017CB" w:rsidRDefault="006569F5">
            <w:pPr>
              <w:snapToGrid w:val="0"/>
              <w:spacing w:line="288" w:lineRule="auto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要求学生理解中日两国民众在生活中礼仪的差异，举办与日本人交往的能力。</w:t>
            </w:r>
          </w:p>
        </w:tc>
        <w:tc>
          <w:tcPr>
            <w:tcW w:w="2971" w:type="dxa"/>
          </w:tcPr>
          <w:p w14:paraId="19A482CD" w14:textId="77777777" w:rsidR="00D017CB" w:rsidRDefault="006569F5">
            <w:pPr>
              <w:snapToGrid w:val="0"/>
              <w:spacing w:line="288" w:lineRule="auto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用实例说明中日两国民众在日常生活的理由的差异，分析差异产生的原因。使学生在行为、举止方面吸收好的做法，关键落实到行动中。</w:t>
            </w:r>
          </w:p>
        </w:tc>
      </w:tr>
      <w:tr w:rsidR="00D017CB" w14:paraId="05101B3A" w14:textId="77777777">
        <w:tc>
          <w:tcPr>
            <w:tcW w:w="721" w:type="dxa"/>
          </w:tcPr>
          <w:p w14:paraId="0036AA5E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14:paraId="4C32857B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14:paraId="49379567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工作和交往的礼仪</w:t>
            </w:r>
          </w:p>
        </w:tc>
        <w:tc>
          <w:tcPr>
            <w:tcW w:w="2205" w:type="dxa"/>
          </w:tcPr>
          <w:p w14:paraId="746B70D9" w14:textId="77777777" w:rsidR="00D017CB" w:rsidRDefault="006569F5">
            <w:pPr>
              <w:snapToGrid w:val="0"/>
              <w:spacing w:line="288" w:lineRule="auto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使学生了解工作和人际交往过程中的各种礼仪的差异，提升个人的工作能力和人际交往能力。</w:t>
            </w:r>
          </w:p>
        </w:tc>
        <w:tc>
          <w:tcPr>
            <w:tcW w:w="2971" w:type="dxa"/>
          </w:tcPr>
          <w:p w14:paraId="58D52C44" w14:textId="77777777" w:rsidR="00D017CB" w:rsidRDefault="006569F5">
            <w:pPr>
              <w:snapToGrid w:val="0"/>
              <w:spacing w:line="288" w:lineRule="auto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日本社会是等级社会，而中国是比较平等的社会。分析两国社会现状的历史原因和社会原因等。使学生在以后的留学生活和工作中能够处理与中国不同的社会关系。</w:t>
            </w:r>
          </w:p>
        </w:tc>
      </w:tr>
      <w:tr w:rsidR="00D017CB" w14:paraId="0C4DA666" w14:textId="77777777">
        <w:tc>
          <w:tcPr>
            <w:tcW w:w="721" w:type="dxa"/>
          </w:tcPr>
          <w:p w14:paraId="55F13079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 w14:paraId="20DD78D6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14:paraId="6B716C47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衣食住行的差异</w:t>
            </w:r>
          </w:p>
        </w:tc>
        <w:tc>
          <w:tcPr>
            <w:tcW w:w="2205" w:type="dxa"/>
          </w:tcPr>
          <w:p w14:paraId="7953C505" w14:textId="77777777" w:rsidR="00D017CB" w:rsidRDefault="006569F5">
            <w:pPr>
              <w:snapToGrid w:val="0"/>
              <w:spacing w:line="288" w:lineRule="auto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这是中日文化差异的一个部分。要求学生理解中日两国民众在衣食住行方面的差异，取长补短，提高个人素质。</w:t>
            </w:r>
          </w:p>
        </w:tc>
        <w:tc>
          <w:tcPr>
            <w:tcW w:w="2971" w:type="dxa"/>
          </w:tcPr>
          <w:p w14:paraId="1DBA39F1" w14:textId="77777777" w:rsidR="00D017CB" w:rsidRDefault="006569F5">
            <w:pPr>
              <w:snapToGrid w:val="0"/>
              <w:spacing w:line="288" w:lineRule="auto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人们在衣食住行方面的习惯、习性是长期养成的，要改变自己的行为、习性是痛苦的。需要用实例进行分析，人学生明白个人素质的重要性。落实到个人的行为、举止上是比较困难的。</w:t>
            </w:r>
          </w:p>
        </w:tc>
      </w:tr>
      <w:tr w:rsidR="00D017CB" w14:paraId="44F21D32" w14:textId="77777777">
        <w:tc>
          <w:tcPr>
            <w:tcW w:w="721" w:type="dxa"/>
          </w:tcPr>
          <w:p w14:paraId="19F55459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5" w:type="dxa"/>
          </w:tcPr>
          <w:p w14:paraId="73B1A422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14:paraId="00F2A956" w14:textId="77777777" w:rsidR="00D017CB" w:rsidRDefault="006569F5">
            <w:pPr>
              <w:snapToGrid w:val="0"/>
              <w:spacing w:line="288" w:lineRule="auto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风俗习惯的差异</w:t>
            </w:r>
          </w:p>
        </w:tc>
        <w:tc>
          <w:tcPr>
            <w:tcW w:w="2205" w:type="dxa"/>
          </w:tcPr>
          <w:p w14:paraId="7856FAD1" w14:textId="77777777" w:rsidR="00D017CB" w:rsidRDefault="006569F5">
            <w:pPr>
              <w:snapToGrid w:val="0"/>
              <w:spacing w:line="288" w:lineRule="auto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中日两国的风俗习惯、风土人情等存在着差异。要求学生理解这种差异，懂得入乡随俗的重要性，以便在今后的留学和工作中能够适应环境的需要。</w:t>
            </w:r>
          </w:p>
        </w:tc>
        <w:tc>
          <w:tcPr>
            <w:tcW w:w="2971" w:type="dxa"/>
          </w:tcPr>
          <w:p w14:paraId="3BE11512" w14:textId="77777777" w:rsidR="00D017CB" w:rsidRDefault="006569F5">
            <w:pPr>
              <w:snapToGrid w:val="0"/>
              <w:spacing w:line="288" w:lineRule="auto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日本的许多风俗习惯、风土人情是从中国引进的，但是随着历史的进程，许多风俗习惯、风土人情都发生了细微的变化。这些细微的差异是教学中需要讲解的，也是重点和难点。只有尊重他人才能够得到他人的尊重。</w:t>
            </w:r>
          </w:p>
        </w:tc>
      </w:tr>
    </w:tbl>
    <w:p w14:paraId="1756CFD9" w14:textId="77777777" w:rsidR="00D017CB" w:rsidRDefault="00D017CB">
      <w:pPr>
        <w:snapToGrid w:val="0"/>
        <w:spacing w:line="288" w:lineRule="auto"/>
        <w:ind w:right="26"/>
        <w:rPr>
          <w:sz w:val="20"/>
          <w:szCs w:val="20"/>
        </w:rPr>
      </w:pPr>
    </w:p>
    <w:p w14:paraId="787072A6" w14:textId="77777777" w:rsidR="00D017CB" w:rsidRDefault="006569F5">
      <w:pPr>
        <w:snapToGrid w:val="0"/>
        <w:spacing w:line="288" w:lineRule="auto"/>
        <w:ind w:right="2520" w:firstLineChars="200" w:firstLine="480"/>
        <w:rPr>
          <w:rFonts w:ascii="SimHei" w:eastAsia="SimHei" w:hAnsi="SimSun"/>
          <w:sz w:val="24"/>
        </w:rPr>
      </w:pPr>
      <w:r>
        <w:rPr>
          <w:rFonts w:ascii="SimHei" w:eastAsia="SimHei" w:hAnsi="SimSun" w:hint="eastAsia"/>
          <w:sz w:val="24"/>
        </w:rPr>
        <w:t>七、评价方式与成绩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D017CB" w14:paraId="323B255B" w14:textId="77777777">
        <w:tc>
          <w:tcPr>
            <w:tcW w:w="1809" w:type="dxa"/>
            <w:shd w:val="clear" w:color="auto" w:fill="auto"/>
          </w:tcPr>
          <w:p w14:paraId="0CEB3AB3" w14:textId="77777777" w:rsidR="00D017CB" w:rsidRDefault="006569F5">
            <w:pPr>
              <w:snapToGrid w:val="0"/>
              <w:spacing w:beforeLines="50" w:before="156" w:afterLines="50" w:after="156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lastRenderedPageBreak/>
              <w:t>总评构成（1+</w:t>
            </w:r>
            <w:r>
              <w:rPr>
                <w:rFonts w:ascii="SimSun" w:hAnsi="SimSun"/>
                <w:bCs/>
                <w:color w:val="000000"/>
                <w:szCs w:val="20"/>
              </w:rPr>
              <w:t>X</w:t>
            </w:r>
            <w:r>
              <w:rPr>
                <w:rFonts w:ascii="SimSun" w:hAnsi="SimSun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737AA30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D88C003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占比</w:t>
            </w:r>
          </w:p>
        </w:tc>
      </w:tr>
      <w:tr w:rsidR="00D017CB" w14:paraId="3D9C3180" w14:textId="77777777">
        <w:tc>
          <w:tcPr>
            <w:tcW w:w="1809" w:type="dxa"/>
            <w:shd w:val="clear" w:color="auto" w:fill="auto"/>
          </w:tcPr>
          <w:p w14:paraId="2214EE0D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7FD21F8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eastAsiaTheme="minorEastAsia" w:hAnsi="SimSun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650CF83D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60%</w:t>
            </w:r>
          </w:p>
        </w:tc>
      </w:tr>
      <w:tr w:rsidR="00D017CB" w14:paraId="7A310531" w14:textId="77777777">
        <w:tc>
          <w:tcPr>
            <w:tcW w:w="1809" w:type="dxa"/>
            <w:shd w:val="clear" w:color="auto" w:fill="auto"/>
          </w:tcPr>
          <w:p w14:paraId="2C23C036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291A0BF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eastAsiaTheme="minorEastAsia" w:hAnsi="SimSun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14:paraId="57D0A404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15%</w:t>
            </w:r>
          </w:p>
        </w:tc>
      </w:tr>
      <w:tr w:rsidR="00D017CB" w14:paraId="561FB560" w14:textId="77777777">
        <w:tc>
          <w:tcPr>
            <w:tcW w:w="1809" w:type="dxa"/>
            <w:shd w:val="clear" w:color="auto" w:fill="auto"/>
          </w:tcPr>
          <w:p w14:paraId="45A11D8A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0F710F9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eastAsiaTheme="minorEastAsia" w:hAnsi="SimSun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14:paraId="3152F221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10%</w:t>
            </w:r>
          </w:p>
        </w:tc>
      </w:tr>
      <w:tr w:rsidR="00D017CB" w14:paraId="0F1B0091" w14:textId="77777777">
        <w:tc>
          <w:tcPr>
            <w:tcW w:w="1809" w:type="dxa"/>
            <w:shd w:val="clear" w:color="auto" w:fill="auto"/>
          </w:tcPr>
          <w:p w14:paraId="197E1877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57D58FC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eastAsiaTheme="minorEastAsia" w:hAnsi="SimSun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14:paraId="04CB8787" w14:textId="77777777" w:rsidR="00D017CB" w:rsidRDefault="006569F5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15%</w:t>
            </w:r>
          </w:p>
        </w:tc>
      </w:tr>
    </w:tbl>
    <w:p w14:paraId="19F168D6" w14:textId="77777777" w:rsidR="00D017CB" w:rsidRDefault="00D017CB">
      <w:pPr>
        <w:snapToGrid w:val="0"/>
        <w:spacing w:before="120" w:after="120" w:line="288" w:lineRule="auto"/>
        <w:rPr>
          <w:rFonts w:ascii="SimSun" w:hAnsi="SimSun"/>
          <w:sz w:val="20"/>
          <w:szCs w:val="20"/>
          <w:highlight w:val="yellow"/>
        </w:rPr>
      </w:pPr>
    </w:p>
    <w:p w14:paraId="5D4F8905" w14:textId="77777777" w:rsidR="00D017CB" w:rsidRDefault="00D017CB">
      <w:pPr>
        <w:snapToGrid w:val="0"/>
        <w:spacing w:before="120" w:after="120" w:line="288" w:lineRule="auto"/>
        <w:ind w:firstLineChars="200" w:firstLine="400"/>
        <w:rPr>
          <w:rFonts w:ascii="SimSun" w:hAnsi="SimSun"/>
          <w:sz w:val="20"/>
          <w:szCs w:val="20"/>
          <w:highlight w:val="yellow"/>
        </w:rPr>
      </w:pPr>
    </w:p>
    <w:p w14:paraId="4F487642" w14:textId="1761A912" w:rsidR="00D017CB" w:rsidRDefault="006569F5">
      <w:pPr>
        <w:snapToGrid w:val="0"/>
        <w:spacing w:line="288" w:lineRule="auto"/>
      </w:pPr>
      <w:r>
        <w:rPr>
          <w:rFonts w:hint="eastAsia"/>
          <w:sz w:val="28"/>
          <w:szCs w:val="28"/>
        </w:rPr>
        <w:t>撰写人：</w:t>
      </w:r>
      <w:r w:rsidR="00D81771">
        <w:rPr>
          <w:rFonts w:eastAsia="ＭＳ 明朝" w:hint="eastAsia"/>
          <w:sz w:val="28"/>
          <w:szCs w:val="28"/>
        </w:rPr>
        <w:t>西村秀樹</w:t>
      </w:r>
      <w:r>
        <w:rPr>
          <w:rFonts w:ascii="ＭＳ 明朝" w:hAnsi="ＭＳ 明朝"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审核时间：</w:t>
      </w:r>
    </w:p>
    <w:sectPr w:rsidR="00D01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6EFE0D"/>
    <w:multiLevelType w:val="singleLevel"/>
    <w:tmpl w:val="936EFE0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51F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6569F5"/>
    <w:rsid w:val="00657254"/>
    <w:rsid w:val="007208D6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D017CB"/>
    <w:rsid w:val="00D81771"/>
    <w:rsid w:val="00E16D30"/>
    <w:rsid w:val="00E33169"/>
    <w:rsid w:val="00E70904"/>
    <w:rsid w:val="00EF44B1"/>
    <w:rsid w:val="00F35AA0"/>
    <w:rsid w:val="016E63C2"/>
    <w:rsid w:val="024B0C39"/>
    <w:rsid w:val="02896EE4"/>
    <w:rsid w:val="03785E8F"/>
    <w:rsid w:val="05827871"/>
    <w:rsid w:val="06421089"/>
    <w:rsid w:val="079131FC"/>
    <w:rsid w:val="09482CCD"/>
    <w:rsid w:val="0A8128A6"/>
    <w:rsid w:val="0BDE49F8"/>
    <w:rsid w:val="0BF32A1B"/>
    <w:rsid w:val="0FFA5589"/>
    <w:rsid w:val="10BD2C22"/>
    <w:rsid w:val="13FA5219"/>
    <w:rsid w:val="1D814953"/>
    <w:rsid w:val="22987C80"/>
    <w:rsid w:val="24192CCC"/>
    <w:rsid w:val="2C71584E"/>
    <w:rsid w:val="39A66CD4"/>
    <w:rsid w:val="3C7D4FB5"/>
    <w:rsid w:val="3CD52CE1"/>
    <w:rsid w:val="3DB47B36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AF1515D"/>
    <w:rsid w:val="5F4F0CE4"/>
    <w:rsid w:val="611F6817"/>
    <w:rsid w:val="6470330B"/>
    <w:rsid w:val="66CA1754"/>
    <w:rsid w:val="6A7161EF"/>
    <w:rsid w:val="6F1E65D4"/>
    <w:rsid w:val="6F266C86"/>
    <w:rsid w:val="6F5042C2"/>
    <w:rsid w:val="70246516"/>
    <w:rsid w:val="74316312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85F8FF7"/>
  <w15:docId w15:val="{F930B9D0-EB7B-4557-9B09-B9AE3DB8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フッター (文字)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h n</cp:lastModifiedBy>
  <cp:revision>17</cp:revision>
  <dcterms:created xsi:type="dcterms:W3CDTF">2016-12-19T07:34:00Z</dcterms:created>
  <dcterms:modified xsi:type="dcterms:W3CDTF">2020-02-27T13:58:00Z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