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BA303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大学日语4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5A1AEFA6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  <w:bookmarkStart w:id="2" w:name="_GoBack"/>
      <w:bookmarkEnd w:id="2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8D4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8E277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C05A9C">
            <w:pPr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（中文）大学日语4</w:t>
            </w:r>
          </w:p>
        </w:tc>
      </w:tr>
      <w:tr w14:paraId="1BA2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CD540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5C4D06A">
            <w:pPr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（英文）college Japanese4</w:t>
            </w:r>
          </w:p>
        </w:tc>
      </w:tr>
      <w:tr w14:paraId="1228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ACFE91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562922A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2020339</w:t>
            </w:r>
          </w:p>
        </w:tc>
        <w:tc>
          <w:tcPr>
            <w:tcW w:w="2126" w:type="dxa"/>
            <w:gridSpan w:val="2"/>
            <w:vAlign w:val="center"/>
          </w:tcPr>
          <w:p w14:paraId="572B2AD9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112A10F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B3F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8D5F28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27D8337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 w14:paraId="18993774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5978D5C">
            <w:pPr>
              <w:widowControl w:val="0"/>
              <w:jc w:val="center"/>
              <w:rPr>
                <w:rFonts w:hint="default" w:eastAsia="MS Mincho" w:asciiTheme="minorEastAsia" w:hAnsiTheme="minorEastAsia"/>
                <w:color w:val="000000" w:themeColor="text1"/>
                <w:sz w:val="21"/>
                <w:szCs w:val="21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MS Mincho" w:asciiTheme="minorEastAsia" w:hAnsiTheme="minorEastAsia"/>
                <w:color w:val="000000" w:themeColor="text1"/>
                <w:sz w:val="21"/>
                <w:szCs w:val="21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13" w:type="dxa"/>
            <w:gridSpan w:val="2"/>
            <w:vAlign w:val="center"/>
          </w:tcPr>
          <w:p w14:paraId="404C5FB3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420FD87">
            <w:pPr>
              <w:widowControl w:val="0"/>
              <w:jc w:val="center"/>
              <w:rPr>
                <w:rFonts w:hint="default" w:eastAsia="MS Mincho" w:asciiTheme="minorEastAsia" w:hAnsiTheme="minorEastAsia"/>
                <w:color w:val="000000" w:themeColor="text1"/>
                <w:sz w:val="21"/>
                <w:szCs w:val="21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MS Mincho" w:asciiTheme="minorEastAsia" w:hAnsiTheme="minorEastAsia"/>
                <w:color w:val="000000" w:themeColor="text1"/>
                <w:sz w:val="21"/>
                <w:szCs w:val="21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4728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E69E0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24F6E6A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外国语学院日语系</w:t>
            </w:r>
          </w:p>
        </w:tc>
        <w:tc>
          <w:tcPr>
            <w:tcW w:w="2126" w:type="dxa"/>
            <w:gridSpan w:val="2"/>
            <w:vAlign w:val="center"/>
          </w:tcPr>
          <w:p w14:paraId="722B801E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1E26988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大学三年级</w:t>
            </w:r>
          </w:p>
        </w:tc>
      </w:tr>
      <w:tr w14:paraId="2FA7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720E86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5ED6F28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全校选修课</w:t>
            </w:r>
          </w:p>
        </w:tc>
        <w:tc>
          <w:tcPr>
            <w:tcW w:w="2126" w:type="dxa"/>
            <w:gridSpan w:val="2"/>
            <w:vAlign w:val="center"/>
          </w:tcPr>
          <w:p w14:paraId="77B32C45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22D0FE4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闭卷考试</w:t>
            </w:r>
          </w:p>
        </w:tc>
      </w:tr>
      <w:tr w14:paraId="0310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1A1B6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D04AB29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《标准日本语初级下》</w:t>
            </w:r>
          </w:p>
        </w:tc>
        <w:tc>
          <w:tcPr>
            <w:tcW w:w="1413" w:type="dxa"/>
            <w:gridSpan w:val="2"/>
            <w:vAlign w:val="center"/>
          </w:tcPr>
          <w:p w14:paraId="30D6CAFB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8B318AC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F70809C">
            <w:pPr>
              <w:widowControl w:val="0"/>
              <w:ind w:left="120" w:left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2C6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FBADFC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49E35B9">
            <w:pPr>
              <w:pStyle w:val="15"/>
              <w:widowControl w:val="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大学日语1  大学日语2  大学日语3</w:t>
            </w:r>
          </w:p>
        </w:tc>
      </w:tr>
      <w:tr w14:paraId="4F88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0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5846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D970879">
            <w:pPr>
              <w:pStyle w:val="15"/>
              <w:widowControl w:val="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本课程为面向全校专业的通识教育基础课，开课对象为全校二年级学生。本课程以奠定学生日语基础为主要目标，要求学生在日语的基础语音，语法，日常口语方面都具备一定能力，同时具备基本的日语口语交流，阅读能力。通过学习本门课程，培养学生实际运用能力；拓宽学生的各方面知识，对日语能有所了解；调动学生的学习积极性，使学生增强学好日语的信心。</w:t>
            </w:r>
          </w:p>
        </w:tc>
      </w:tr>
      <w:tr w14:paraId="0D78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74A57B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65AA1E5">
            <w:pPr>
              <w:pStyle w:val="15"/>
              <w:widowControl w:val="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本课程于全校专业大二下学期开设。</w:t>
            </w:r>
          </w:p>
        </w:tc>
      </w:tr>
      <w:tr w14:paraId="2C6F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B9DED7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6A12EF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75310" cy="255270"/>
                  <wp:effectExtent l="0" t="0" r="15240" b="1143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A86FC4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6F9A9A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3814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89229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FF8DC7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69215</wp:posOffset>
                  </wp:positionV>
                  <wp:extent cx="482600" cy="314325"/>
                  <wp:effectExtent l="0" t="0" r="12700" b="9525"/>
                  <wp:wrapNone/>
                  <wp:docPr id="1" name="图片 1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3A7040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08130D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3083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E557AA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7A867B0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858520</wp:posOffset>
                  </wp:positionH>
                  <wp:positionV relativeFrom="paragraph">
                    <wp:posOffset>39370</wp:posOffset>
                  </wp:positionV>
                  <wp:extent cx="756285" cy="397510"/>
                  <wp:effectExtent l="0" t="0" r="5715" b="254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397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FBAF95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C54D4F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5EEA09F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8B8140C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28E98077">
      <w:pPr>
        <w:pStyle w:val="18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89"/>
        <w:gridCol w:w="6447"/>
        <w:gridCol w:w="940"/>
      </w:tblGrid>
      <w:tr w14:paraId="57ED5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89" w:type="dxa"/>
            <w:vAlign w:val="center"/>
          </w:tcPr>
          <w:p w14:paraId="1024FAF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05C9CAA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40" w:type="dxa"/>
            <w:vAlign w:val="center"/>
          </w:tcPr>
          <w:p w14:paraId="29F63B0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58045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6357A54F">
            <w:pPr>
              <w:pStyle w:val="15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L031-2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2487DFC4">
            <w:pPr>
              <w:pStyle w:val="15"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掌握正确的发音，能够使用日语进行交流和表达。</w:t>
            </w:r>
          </w:p>
        </w:tc>
        <w:tc>
          <w:tcPr>
            <w:tcW w:w="940" w:type="dxa"/>
            <w:vAlign w:val="center"/>
          </w:tcPr>
          <w:p w14:paraId="4279C1BC">
            <w:pPr>
              <w:pStyle w:val="15"/>
            </w:pPr>
            <w:r>
              <w:rPr>
                <w:rFonts w:hint="eastAsia"/>
              </w:rPr>
              <w:t>H</w:t>
            </w:r>
          </w:p>
        </w:tc>
      </w:tr>
      <w:tr w14:paraId="73C3D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4B1ECF6A">
            <w:pPr>
              <w:pStyle w:val="15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L033-1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086E996B">
            <w:pPr>
              <w:pStyle w:val="15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了解日本文化、社会和风土人情，认识中日文化差异。</w:t>
            </w:r>
          </w:p>
        </w:tc>
        <w:tc>
          <w:tcPr>
            <w:tcW w:w="940" w:type="dxa"/>
            <w:vAlign w:val="center"/>
          </w:tcPr>
          <w:p w14:paraId="6FB12EE9">
            <w:pPr>
              <w:pStyle w:val="15"/>
            </w:pPr>
            <w:r>
              <w:rPr>
                <w:rFonts w:hint="eastAsia"/>
              </w:rPr>
              <w:t>M</w:t>
            </w:r>
          </w:p>
        </w:tc>
      </w:tr>
      <w:tr w14:paraId="70F03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73392992">
            <w:pPr>
              <w:pStyle w:val="15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L033-2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0ADC04BA">
            <w:pPr>
              <w:pStyle w:val="15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具有跨文化交际能力，掌握有效的认知、调腔、交际策略和跨文化理解能力。</w:t>
            </w:r>
          </w:p>
        </w:tc>
        <w:tc>
          <w:tcPr>
            <w:tcW w:w="940" w:type="dxa"/>
            <w:vAlign w:val="center"/>
          </w:tcPr>
          <w:p w14:paraId="4502759B">
            <w:pPr>
              <w:pStyle w:val="15"/>
            </w:pPr>
            <w:r>
              <w:rPr>
                <w:rFonts w:hint="eastAsia"/>
              </w:rPr>
              <w:t>L</w:t>
            </w:r>
          </w:p>
        </w:tc>
      </w:tr>
      <w:tr w14:paraId="0E205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576DD721">
            <w:pPr>
              <w:pStyle w:val="15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L081-1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0D87DB6F">
            <w:pPr>
              <w:pStyle w:val="15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具备外语表达沟通能力，达到本专业的要求。</w:t>
            </w:r>
          </w:p>
        </w:tc>
        <w:tc>
          <w:tcPr>
            <w:tcW w:w="940" w:type="dxa"/>
            <w:vAlign w:val="center"/>
          </w:tcPr>
          <w:p w14:paraId="04EE274B">
            <w:pPr>
              <w:pStyle w:val="15"/>
            </w:pPr>
            <w:r>
              <w:rPr>
                <w:rFonts w:hint="eastAsia"/>
              </w:rPr>
              <w:t>H</w:t>
            </w:r>
          </w:p>
        </w:tc>
      </w:tr>
      <w:tr w14:paraId="41634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7BF1BA15">
            <w:pPr>
              <w:pStyle w:val="15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L081-2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20DA9C16">
            <w:pPr>
              <w:pStyle w:val="15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理解其他国家历史文化，有跨文化交流能力。</w:t>
            </w:r>
          </w:p>
        </w:tc>
        <w:tc>
          <w:tcPr>
            <w:tcW w:w="940" w:type="dxa"/>
            <w:vAlign w:val="center"/>
          </w:tcPr>
          <w:p w14:paraId="0D9AA1B2">
            <w:pPr>
              <w:pStyle w:val="15"/>
            </w:pPr>
            <w:r>
              <w:rPr>
                <w:rFonts w:hint="eastAsia"/>
              </w:rPr>
              <w:t>L</w:t>
            </w:r>
          </w:p>
        </w:tc>
      </w:tr>
    </w:tbl>
    <w:p w14:paraId="7BB43244">
      <w:pPr>
        <w:pStyle w:val="18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8"/>
        <w:gridCol w:w="925"/>
        <w:gridCol w:w="5503"/>
        <w:gridCol w:w="950"/>
      </w:tblGrid>
      <w:tr w14:paraId="1253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98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F9A8650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F29CFC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9BC716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A4D651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02DAF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1619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656B357">
            <w:pPr>
              <w:pStyle w:val="15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L031-2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4002ACCC">
            <w:pPr>
              <w:pStyle w:val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18"/>
                <w:szCs w:val="18"/>
              </w:rPr>
              <w:t>1</w:t>
            </w:r>
            <w:r>
              <w:rPr>
                <w:rFonts w:cs="Times New Roman" w:asciiTheme="minorEastAsia" w:hAnsiTheme="minorEastAsia" w:eastAsiaTheme="minorEastAsia"/>
                <w:bCs/>
                <w:sz w:val="18"/>
                <w:szCs w:val="18"/>
              </w:rPr>
              <w:t>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06FA637B">
            <w:pPr>
              <w:pStyle w:val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课堂上进行日语基础的发音练习，营造真实的会话环境，让学生能够正确发音，能够简答交流表达。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24161147">
            <w:pPr>
              <w:pStyle w:val="1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</w:tr>
      <w:tr w14:paraId="0E96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DB5AA26">
            <w:pPr>
              <w:pStyle w:val="15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L033-1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557DE2D2">
            <w:pPr>
              <w:pStyle w:val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18"/>
                <w:szCs w:val="18"/>
              </w:rPr>
              <w:t>2</w:t>
            </w:r>
            <w:r>
              <w:rPr>
                <w:rFonts w:cs="Times New Roman" w:asciiTheme="minorEastAsia" w:hAnsiTheme="minorEastAsia" w:eastAsiaTheme="minorEastAsia"/>
                <w:bCs/>
                <w:sz w:val="18"/>
                <w:szCs w:val="18"/>
              </w:rPr>
              <w:t>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51A886FD">
            <w:pPr>
              <w:pStyle w:val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课堂上进行简单介绍，学生进一步了解中日文化差异。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35BFAB6D">
            <w:pPr>
              <w:pStyle w:val="1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</w:rPr>
              <w:t>①</w:t>
            </w:r>
          </w:p>
        </w:tc>
      </w:tr>
      <w:tr w14:paraId="0219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7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0F6CBCF">
            <w:pPr>
              <w:pStyle w:val="15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L033-2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76F54040">
            <w:pPr>
              <w:pStyle w:val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18"/>
                <w:szCs w:val="18"/>
              </w:rPr>
              <w:t>2</w:t>
            </w:r>
            <w:r>
              <w:rPr>
                <w:rFonts w:cs="Times New Roman" w:asciiTheme="minorEastAsia" w:hAnsiTheme="minorEastAsia" w:eastAsiaTheme="minorEastAsia"/>
                <w:bCs/>
                <w:sz w:val="18"/>
                <w:szCs w:val="18"/>
              </w:rPr>
              <w:t>-</w:t>
            </w:r>
            <w:r>
              <w:rPr>
                <w:rFonts w:hint="eastAsia" w:cs="Times New Roman" w:asciiTheme="minorEastAsia" w:hAnsiTheme="minorEastAsia" w:eastAsiaTheme="minorEastAsia"/>
                <w:bCs/>
                <w:sz w:val="18"/>
                <w:szCs w:val="18"/>
              </w:rPr>
              <w:t>2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199F044E">
            <w:pPr>
              <w:pStyle w:val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通过课上基础日语学习以及对文化简单介绍，学生加强跨文化交际能力了。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2F99DFFD">
            <w:pPr>
              <w:pStyle w:val="1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</w:rPr>
              <w:t>④</w:t>
            </w:r>
          </w:p>
        </w:tc>
      </w:tr>
      <w:tr w14:paraId="4815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ED8637D">
            <w:pPr>
              <w:pStyle w:val="15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L081-1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46AB6642">
            <w:pPr>
              <w:pStyle w:val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18"/>
                <w:szCs w:val="18"/>
              </w:rPr>
              <w:t>3</w:t>
            </w:r>
            <w:r>
              <w:rPr>
                <w:rFonts w:cs="Times New Roman" w:asciiTheme="minorEastAsia" w:hAnsiTheme="minorEastAsia" w:eastAsiaTheme="minorEastAsia"/>
                <w:bCs/>
                <w:sz w:val="18"/>
                <w:szCs w:val="18"/>
              </w:rPr>
              <w:t>-</w:t>
            </w:r>
            <w:r>
              <w:rPr>
                <w:rFonts w:hint="eastAsia" w:cs="Times New Roman" w:asciiTheme="minorEastAsia" w:hAnsiTheme="minorEastAsia"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07E9E403">
            <w:pPr>
              <w:pStyle w:val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引导学生利用所学日语进行简答表达与沟通。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627C9BD7">
            <w:pPr>
              <w:pStyle w:val="1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</w:rPr>
              <w:t>③</w:t>
            </w:r>
          </w:p>
        </w:tc>
      </w:tr>
      <w:tr w14:paraId="5B12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A1C9A1B">
            <w:pPr>
              <w:pStyle w:val="15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L081-2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0E3A0EC8">
            <w:pPr>
              <w:pStyle w:val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18"/>
                <w:szCs w:val="18"/>
              </w:rPr>
              <w:t>3-2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7F54D551">
            <w:pPr>
              <w:pStyle w:val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在日语学习中对逐渐简答了解日本的历史文化，能进行中日跨文化交流，坚定文化自信。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55FE00C9">
            <w:pPr>
              <w:pStyle w:val="1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</w:rPr>
              <w:t>①</w:t>
            </w:r>
          </w:p>
        </w:tc>
      </w:tr>
      <w:tr w14:paraId="342C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4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8BC92">
            <w:pPr>
              <w:pStyle w:val="14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7509D3A9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00E1C87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995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23"/>
        <w:gridCol w:w="2580"/>
        <w:gridCol w:w="1950"/>
        <w:gridCol w:w="2595"/>
        <w:gridCol w:w="675"/>
        <w:gridCol w:w="675"/>
      </w:tblGrid>
      <w:tr w14:paraId="60EF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7" w:type="dxa"/>
            <w:vAlign w:val="center"/>
          </w:tcPr>
          <w:p w14:paraId="36E35AB8">
            <w:pPr>
              <w:jc w:val="center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023" w:type="dxa"/>
            <w:vAlign w:val="center"/>
          </w:tcPr>
          <w:p w14:paraId="0C62C580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2580" w:type="dxa"/>
            <w:vAlign w:val="center"/>
          </w:tcPr>
          <w:p w14:paraId="26FAB787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知识点</w:t>
            </w:r>
          </w:p>
          <w:p w14:paraId="5ABBF7B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（运用）</w:t>
            </w:r>
          </w:p>
        </w:tc>
        <w:tc>
          <w:tcPr>
            <w:tcW w:w="1950" w:type="dxa"/>
            <w:vAlign w:val="center"/>
          </w:tcPr>
          <w:p w14:paraId="779416EB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难点</w:t>
            </w:r>
          </w:p>
        </w:tc>
        <w:tc>
          <w:tcPr>
            <w:tcW w:w="2595" w:type="dxa"/>
            <w:vAlign w:val="center"/>
          </w:tcPr>
          <w:p w14:paraId="5BC06F95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能力要求</w:t>
            </w:r>
          </w:p>
        </w:tc>
        <w:tc>
          <w:tcPr>
            <w:tcW w:w="675" w:type="dxa"/>
            <w:vAlign w:val="center"/>
          </w:tcPr>
          <w:p w14:paraId="3ED31AD2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理论课时</w:t>
            </w:r>
          </w:p>
        </w:tc>
        <w:tc>
          <w:tcPr>
            <w:tcW w:w="675" w:type="dxa"/>
            <w:vAlign w:val="center"/>
          </w:tcPr>
          <w:p w14:paraId="5755812B">
            <w:pPr>
              <w:jc w:val="center"/>
              <w:rPr>
                <w:rFonts w:hint="eastAsia" w:ascii="Calibri" w:hAnsi="Calibri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  <w:t>实践课时</w:t>
            </w:r>
          </w:p>
        </w:tc>
      </w:tr>
      <w:tr w14:paraId="1BA4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09BF42A">
            <w:pPr>
              <w:spacing w:before="163" w:beforeLines="50" w:after="163" w:afterLines="50" w:line="288" w:lineRule="auto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1023" w:type="dxa"/>
            <w:vAlign w:val="center"/>
          </w:tcPr>
          <w:p w14:paraId="56B37BC3">
            <w:pPr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单元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在北京的工作情况</w:t>
            </w:r>
          </w:p>
        </w:tc>
        <w:tc>
          <w:tcPr>
            <w:tcW w:w="2580" w:type="dxa"/>
          </w:tcPr>
          <w:p w14:paraId="39F7C30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ascii="Calibri" w:hAnsi="Calibri" w:eastAsia="MS Mincho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掌握动词使役态的变化以及用法</w:t>
            </w:r>
          </w:p>
          <w:p w14:paraId="6A4C655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ascii="Calibri" w:hAnsi="Calibri" w:eastAsia="MS Mincho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eastAsia="ja-JP"/>
              </w:rPr>
              <w:t>掌握</w:t>
            </w:r>
            <w:r>
              <w:rPr>
                <w:rFonts w:hint="eastAsia" w:ascii="MS Mincho" w:hAnsi="MS Mincho" w:eastAsia="MS Mincho" w:cs="MS Mincho"/>
                <w:color w:val="000000"/>
                <w:sz w:val="20"/>
                <w:szCs w:val="20"/>
                <w:lang w:eastAsia="ja-JP"/>
              </w:rPr>
              <w:t>～やすい</w:t>
            </w:r>
            <w:r>
              <w:rPr>
                <w:rFonts w:hint="eastAsia" w:ascii="MS Mincho" w:hAnsi="MS Mincho" w:eastAsia="MS Mincho" w:cs="MS Mincho"/>
                <w:color w:val="000000"/>
                <w:sz w:val="20"/>
                <w:szCs w:val="20"/>
                <w:lang w:val="en-US" w:eastAsia="ja-JP"/>
              </w:rPr>
              <w:t>/にくい</w:t>
            </w:r>
            <w:r>
              <w:rPr>
                <w:rFonts w:hint="eastAsia" w:ascii="MS Mincho" w:hAnsi="MS Mincho" w:cs="MS Mincho"/>
                <w:color w:val="00000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MS Mincho" w:hAnsi="MS Mincho" w:eastAsia="MS Mincho" w:cs="MS Mincho"/>
                <w:color w:val="000000"/>
                <w:sz w:val="20"/>
                <w:szCs w:val="20"/>
                <w:lang w:val="en-US" w:eastAsia="ja-JP"/>
              </w:rPr>
              <w:t>～過ぎます</w:t>
            </w:r>
            <w:r>
              <w:rPr>
                <w:rFonts w:hint="eastAsia" w:ascii="MS Mincho" w:hAnsi="MS Mincho" w:cs="MS Mincho"/>
                <w:color w:val="000000"/>
                <w:sz w:val="20"/>
                <w:szCs w:val="20"/>
                <w:lang w:val="en-US" w:eastAsia="zh-CN"/>
              </w:rPr>
              <w:t>的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变化以及用法</w:t>
            </w:r>
          </w:p>
          <w:p w14:paraId="4830A934">
            <w:pPr>
              <w:rPr>
                <w:rFonts w:hint="eastAsia" w:ascii="MS Mincho" w:hAnsi="MS Mincho" w:eastAsia="宋体" w:cs="MS Mincho"/>
                <w:color w:val="000000"/>
                <w:sz w:val="20"/>
                <w:szCs w:val="20"/>
                <w:lang w:val="en-US" w:eastAsia="zh-CN"/>
              </w:rPr>
            </w:pPr>
          </w:p>
          <w:p w14:paraId="75B12694">
            <w:pPr>
              <w:rPr>
                <w:rFonts w:ascii="Calibri" w:hAnsi="Calibri" w:eastAsia="MS Mincho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能用正确的语音和语调朗读课文，能够正确使用上述语法</w:t>
            </w:r>
          </w:p>
        </w:tc>
        <w:tc>
          <w:tcPr>
            <w:tcW w:w="1950" w:type="dxa"/>
          </w:tcPr>
          <w:p w14:paraId="0BA31C3E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1、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动词使役态的变形以及使用</w:t>
            </w:r>
          </w:p>
          <w:p w14:paraId="14BD5303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eastAsia="ja-JP"/>
              </w:rPr>
              <w:t>复合句的使用</w:t>
            </w:r>
          </w:p>
        </w:tc>
        <w:tc>
          <w:tcPr>
            <w:tcW w:w="2595" w:type="dxa"/>
          </w:tcPr>
          <w:p w14:paraId="4AB8E415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掌握每课的单词、语法；</w:t>
            </w:r>
          </w:p>
          <w:p w14:paraId="42A9B4BC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2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要求学生运用正确的语音和语调朗读课文；</w:t>
            </w:r>
          </w:p>
          <w:p w14:paraId="60035BF7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675" w:type="dxa"/>
          </w:tcPr>
          <w:p w14:paraId="65A75B3B">
            <w:pPr>
              <w:spacing w:before="163" w:beforeLines="50" w:after="163" w:afterLines="50" w:line="288" w:lineRule="auto"/>
              <w:jc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2"/>
                <w:sz w:val="16"/>
                <w:szCs w:val="16"/>
              </w:rPr>
              <w:t>2</w:t>
            </w:r>
            <w:r>
              <w:rPr>
                <w:rFonts w:hint="eastAsia" w:ascii="Calibri" w:hAnsi="Calibri" w:cs="Times New Roman"/>
                <w:kern w:val="2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675" w:type="dxa"/>
          </w:tcPr>
          <w:p w14:paraId="72B4B31C">
            <w:pPr>
              <w:spacing w:before="163" w:beforeLines="50" w:after="163" w:afterLines="50" w:line="288" w:lineRule="auto"/>
              <w:jc w:val="center"/>
              <w:rPr>
                <w:rFonts w:hint="eastAsia" w:ascii="Calibri" w:hAnsi="Calibri" w:cs="Times New Roman"/>
                <w:kern w:val="2"/>
                <w:sz w:val="16"/>
                <w:szCs w:val="16"/>
              </w:rPr>
            </w:pPr>
          </w:p>
        </w:tc>
      </w:tr>
      <w:tr w14:paraId="66C0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E32AA16">
            <w:pPr>
              <w:spacing w:before="163" w:beforeLines="50" w:after="163" w:afterLines="50" w:line="288" w:lineRule="auto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MS Mincho" w:cs="Times New Roman"/>
                <w:kern w:val="2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023" w:type="dxa"/>
            <w:vAlign w:val="center"/>
          </w:tcPr>
          <w:p w14:paraId="2D77D565">
            <w:pPr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单元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新的拓展</w:t>
            </w:r>
          </w:p>
        </w:tc>
        <w:tc>
          <w:tcPr>
            <w:tcW w:w="2580" w:type="dxa"/>
          </w:tcPr>
          <w:p w14:paraId="0A765A48">
            <w:pP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1、掌握</w:t>
            </w:r>
            <w:r>
              <w:rPr>
                <w:rFonts w:hint="eastAsia" w:ascii="MS Mincho" w:hAnsi="MS Mincho" w:eastAsia="MS Mincho" w:cs="Times New Roman"/>
                <w:color w:val="000000"/>
                <w:sz w:val="20"/>
                <w:szCs w:val="20"/>
                <w:lang w:eastAsia="ja-JP"/>
              </w:rPr>
              <w:t>～ていく</w:t>
            </w:r>
            <w:r>
              <w:rPr>
                <w:rFonts w:hint="eastAsia" w:ascii="MS Mincho" w:hAnsi="MS Mincho" w:eastAsia="MS Mincho" w:cs="微软雅黑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ja-JP"/>
              </w:rPr>
              <w:t>てくる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的用法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eastAsia="ja-JP"/>
              </w:rPr>
              <w:t>；</w:t>
            </w:r>
          </w:p>
          <w:p w14:paraId="56FECDC8">
            <w:pP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2、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eastAsia="ja-JP"/>
              </w:rPr>
              <w:t>掌握</w:t>
            </w:r>
            <w:r>
              <w:rPr>
                <w:rFonts w:hint="eastAsia" w:ascii="MS Mincho" w:hAnsi="MS Mincho" w:eastAsia="MS Mincho" w:cs="Times New Roman"/>
                <w:color w:val="000000"/>
                <w:sz w:val="20"/>
                <w:szCs w:val="20"/>
                <w:lang w:eastAsia="ja-JP"/>
              </w:rPr>
              <w:t>～ようだ</w:t>
            </w:r>
            <w:r>
              <w:rPr>
                <w:rFonts w:hint="eastAsia" w:ascii="MS Mincho" w:hAnsi="MS Mincho" w:eastAsia="MS Mincho" w:cs="微软雅黑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ja-JP"/>
              </w:rPr>
              <w:t>みたいだ</w:t>
            </w:r>
            <w:r>
              <w:rPr>
                <w:rFonts w:hint="eastAsia" w:ascii="MS Mincho" w:hAnsi="MS Mincho" w:eastAsia="MS Mincho" w:cs="微软雅黑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ja-JP"/>
              </w:rPr>
              <w:t>らし</w:t>
            </w:r>
            <w:r>
              <w:rPr>
                <w:rFonts w:hint="eastAsia" w:ascii="MS Mincho" w:hAnsi="MS Mincho" w:eastAsia="MS Mincho" w:cs="Times New Roman"/>
                <w:color w:val="000000"/>
                <w:sz w:val="20"/>
                <w:szCs w:val="20"/>
                <w:lang w:eastAsia="ja-JP"/>
              </w:rPr>
              <w:t>い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eastAsia="ja-JP"/>
              </w:rPr>
              <w:t>的表现形式；</w:t>
            </w:r>
          </w:p>
          <w:p w14:paraId="32FD5E1C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3、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掌握敬语的用法；</w:t>
            </w:r>
          </w:p>
          <w:p w14:paraId="4D469F47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4、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1950" w:type="dxa"/>
          </w:tcPr>
          <w:p w14:paraId="67CE30C8">
            <w:pPr>
              <w:rPr>
                <w:rFonts w:ascii="Calibri" w:hAnsi="Calibri" w:eastAsia="MS Mincho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hint="eastAsia" w:cs="Times New Roman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eastAsia="ja-JP"/>
              </w:rPr>
              <w:t>区别</w:t>
            </w:r>
            <w:r>
              <w:rPr>
                <w:rFonts w:hint="eastAsia" w:ascii="MS Mincho" w:hAnsi="MS Mincho" w:eastAsia="MS Mincho" w:cs="Times New Roman"/>
                <w:color w:val="000000"/>
                <w:sz w:val="20"/>
                <w:szCs w:val="20"/>
                <w:lang w:eastAsia="ja-JP"/>
              </w:rPr>
              <w:t>～ていく</w:t>
            </w:r>
            <w:r>
              <w:rPr>
                <w:rFonts w:hint="eastAsia" w:ascii="MS Mincho" w:hAnsi="MS Mincho" w:eastAsia="MS Mincho" w:cs="微软雅黑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ja-JP"/>
              </w:rPr>
              <w:t>てくる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eastAsia="ja-JP"/>
              </w:rPr>
              <w:t>的使用方法</w:t>
            </w:r>
          </w:p>
          <w:p w14:paraId="5DE75A85">
            <w:pPr>
              <w:rPr>
                <w:rFonts w:ascii="Calibri" w:hAnsi="Calibri" w:eastAsia="MS Mincho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eastAsia="ja-JP"/>
              </w:rPr>
              <w:t>2</w:t>
            </w:r>
            <w:r>
              <w:rPr>
                <w:rFonts w:hint="eastAsia" w:cs="Times New Roman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eastAsia="ja-JP"/>
              </w:rPr>
              <w:t>区别</w:t>
            </w:r>
            <w:r>
              <w:rPr>
                <w:rFonts w:hint="eastAsia" w:ascii="MS Mincho" w:hAnsi="MS Mincho" w:eastAsia="MS Mincho" w:cs="Times New Roman"/>
                <w:color w:val="000000"/>
                <w:sz w:val="20"/>
                <w:szCs w:val="20"/>
                <w:lang w:eastAsia="ja-JP"/>
              </w:rPr>
              <w:t>～ようだ</w:t>
            </w:r>
            <w:r>
              <w:rPr>
                <w:rFonts w:hint="eastAsia" w:ascii="MS Mincho" w:hAnsi="MS Mincho" w:eastAsia="MS Mincho" w:cs="微软雅黑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ja-JP"/>
              </w:rPr>
              <w:t>みたいだ</w:t>
            </w:r>
            <w:r>
              <w:rPr>
                <w:rFonts w:hint="eastAsia" w:ascii="MS Mincho" w:hAnsi="MS Mincho" w:eastAsia="MS Mincho" w:cs="微软雅黑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ja-JP"/>
              </w:rPr>
              <w:t>らし</w:t>
            </w:r>
            <w:r>
              <w:rPr>
                <w:rFonts w:hint="eastAsia" w:ascii="MS Mincho" w:hAnsi="MS Mincho" w:eastAsia="MS Mincho" w:cs="Times New Roman"/>
                <w:color w:val="000000"/>
                <w:sz w:val="20"/>
                <w:szCs w:val="20"/>
                <w:lang w:eastAsia="ja-JP"/>
              </w:rPr>
              <w:t>い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eastAsia="ja-JP"/>
              </w:rPr>
              <w:t>的使用方法</w:t>
            </w:r>
          </w:p>
          <w:p w14:paraId="42270878">
            <w:pPr>
              <w:rPr>
                <w:rFonts w:ascii="Calibri" w:hAnsi="Calibri" w:eastAsia="MS Mincho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区别尊他/自谦的使用方法</w:t>
            </w:r>
          </w:p>
        </w:tc>
        <w:tc>
          <w:tcPr>
            <w:tcW w:w="2595" w:type="dxa"/>
          </w:tcPr>
          <w:p w14:paraId="5863986B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掌握每课的单词、语法；</w:t>
            </w:r>
          </w:p>
          <w:p w14:paraId="13025DB4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2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要求学生运用正确的语音和语调朗读课文；</w:t>
            </w:r>
          </w:p>
          <w:p w14:paraId="79B02E55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675" w:type="dxa"/>
          </w:tcPr>
          <w:p w14:paraId="40B7EEFF">
            <w:pPr>
              <w:spacing w:before="163" w:beforeLines="50" w:after="163" w:afterLines="50" w:line="288" w:lineRule="auto"/>
              <w:jc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2"/>
                <w:sz w:val="16"/>
                <w:szCs w:val="16"/>
              </w:rPr>
              <w:t>2</w:t>
            </w:r>
            <w:r>
              <w:rPr>
                <w:rFonts w:hint="eastAsia" w:ascii="Calibri" w:hAnsi="Calibri" w:cs="Times New Roman"/>
                <w:kern w:val="2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675" w:type="dxa"/>
          </w:tcPr>
          <w:p w14:paraId="3246F223">
            <w:pPr>
              <w:spacing w:before="163" w:beforeLines="50" w:after="163" w:afterLines="50" w:line="288" w:lineRule="auto"/>
              <w:jc w:val="center"/>
              <w:rPr>
                <w:rFonts w:hint="eastAsia" w:ascii="Calibri" w:hAnsi="Calibri" w:cs="Times New Roman"/>
                <w:kern w:val="2"/>
                <w:sz w:val="16"/>
                <w:szCs w:val="16"/>
              </w:rPr>
            </w:pPr>
          </w:p>
        </w:tc>
      </w:tr>
      <w:tr w14:paraId="5935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92B2389">
            <w:pPr>
              <w:spacing w:before="163" w:beforeLines="50" w:after="163" w:afterLines="50" w:line="288" w:lineRule="auto"/>
              <w:rPr>
                <w:rFonts w:hint="eastAsia" w:ascii="Calibri" w:hAnsi="Calibri" w:eastAsia="宋体" w:cs="Times New Roman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2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023" w:type="dxa"/>
            <w:vAlign w:val="center"/>
          </w:tcPr>
          <w:p w14:paraId="0E37CC28">
            <w:pPr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四级真题讲解</w:t>
            </w:r>
          </w:p>
        </w:tc>
        <w:tc>
          <w:tcPr>
            <w:tcW w:w="2580" w:type="dxa"/>
          </w:tcPr>
          <w:p w14:paraId="53F456B6">
            <w:pPr>
              <w:numPr>
                <w:ilvl w:val="0"/>
                <w:numId w:val="0"/>
              </w:numPr>
              <w:rPr>
                <w:rFonts w:hint="default" w:ascii="Calibri" w:hAnsi="Calibri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  <w:t>1、历年真题中相应听力题以及听力技巧</w:t>
            </w:r>
          </w:p>
          <w:p w14:paraId="06200432">
            <w:pPr>
              <w:numPr>
                <w:ilvl w:val="0"/>
                <w:numId w:val="0"/>
              </w:numPr>
              <w:rPr>
                <w:rFonts w:hint="default" w:ascii="Calibri" w:hAnsi="Calibri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  <w:t>2、历年真题中相应单词、词汇、语法、句型等</w:t>
            </w:r>
          </w:p>
          <w:p w14:paraId="4E0C23BB">
            <w:pPr>
              <w:numPr>
                <w:ilvl w:val="0"/>
                <w:numId w:val="0"/>
              </w:numPr>
              <w:rPr>
                <w:rFonts w:hint="default" w:ascii="Calibri" w:hAnsi="Calibri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  <w:t>3、帮助学生熟悉考试题型、掌握解题技巧</w:t>
            </w:r>
          </w:p>
        </w:tc>
        <w:tc>
          <w:tcPr>
            <w:tcW w:w="1950" w:type="dxa"/>
          </w:tcPr>
          <w:p w14:paraId="024893E3">
            <w:pPr>
              <w:numPr>
                <w:ilvl w:val="0"/>
                <w:numId w:val="0"/>
              </w:numP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  <w:t>1、听懂题目并选出正确选项</w:t>
            </w:r>
          </w:p>
          <w:p w14:paraId="0D3C0667">
            <w:pPr>
              <w:numPr>
                <w:ilvl w:val="0"/>
                <w:numId w:val="0"/>
              </w:numPr>
              <w:rPr>
                <w:rFonts w:hint="default" w:ascii="Calibri" w:hAnsi="Calibri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  <w:t>2、掌握相应重点单词、词汇、句型的使用方法</w:t>
            </w:r>
          </w:p>
        </w:tc>
        <w:tc>
          <w:tcPr>
            <w:tcW w:w="2595" w:type="dxa"/>
          </w:tcPr>
          <w:p w14:paraId="4A1A402E">
            <w:pPr>
              <w:numPr>
                <w:ilvl w:val="0"/>
                <w:numId w:val="0"/>
              </w:numP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  <w:t>1、具有相应的听力能力</w:t>
            </w:r>
          </w:p>
          <w:p w14:paraId="2B02846E">
            <w:pPr>
              <w:numPr>
                <w:ilvl w:val="0"/>
                <w:numId w:val="0"/>
              </w:numPr>
              <w:rPr>
                <w:rFonts w:hint="default" w:ascii="Calibri" w:hAnsi="Calibri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  <w:t>2、要求学生掌握相应重点单词、词汇、句型的使用方法等</w:t>
            </w:r>
          </w:p>
          <w:p w14:paraId="1CB76101">
            <w:pPr>
              <w:numPr>
                <w:ilvl w:val="0"/>
                <w:numId w:val="0"/>
              </w:numPr>
              <w:rPr>
                <w:rFonts w:hint="default" w:ascii="Calibri" w:hAnsi="Calibri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val="en-US" w:eastAsia="zh-CN"/>
              </w:rPr>
              <w:t>3、要求学生查漏补缺，巩固基础知识</w:t>
            </w:r>
          </w:p>
        </w:tc>
        <w:tc>
          <w:tcPr>
            <w:tcW w:w="675" w:type="dxa"/>
          </w:tcPr>
          <w:p w14:paraId="7B867D55">
            <w:pPr>
              <w:spacing w:before="163" w:beforeLines="50" w:after="163" w:afterLines="50" w:line="288" w:lineRule="auto"/>
              <w:jc w:val="center"/>
              <w:rPr>
                <w:rFonts w:hint="eastAsia" w:ascii="Calibri" w:hAnsi="Calibri" w:cs="Times New Roman"/>
                <w:kern w:val="2"/>
                <w:sz w:val="16"/>
                <w:szCs w:val="16"/>
              </w:rPr>
            </w:pPr>
          </w:p>
        </w:tc>
        <w:tc>
          <w:tcPr>
            <w:tcW w:w="675" w:type="dxa"/>
          </w:tcPr>
          <w:p w14:paraId="5454DE00">
            <w:pPr>
              <w:spacing w:before="163" w:beforeLines="50" w:after="163" w:afterLines="50" w:line="288" w:lineRule="auto"/>
              <w:jc w:val="center"/>
              <w:rPr>
                <w:rFonts w:hint="default" w:ascii="Calibri" w:hAnsi="Calibri" w:eastAsia="宋体" w:cs="Times New Roman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2"/>
                <w:sz w:val="16"/>
                <w:szCs w:val="16"/>
                <w:lang w:val="en-US" w:eastAsia="zh-CN"/>
              </w:rPr>
              <w:t>12</w:t>
            </w:r>
          </w:p>
        </w:tc>
      </w:tr>
      <w:tr w14:paraId="7D36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2AA339D">
            <w:pPr>
              <w:spacing w:before="163" w:beforeLines="50" w:after="163" w:afterLines="50" w:line="288" w:lineRule="auto"/>
              <w:rPr>
                <w:rFonts w:hint="eastAsia" w:ascii="Calibri" w:hAnsi="Calibri" w:eastAsia="宋体" w:cs="Times New Roman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2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023" w:type="dxa"/>
            <w:vAlign w:val="center"/>
          </w:tcPr>
          <w:p w14:paraId="0C79B6DC">
            <w:pPr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单元复习</w:t>
            </w:r>
          </w:p>
        </w:tc>
        <w:tc>
          <w:tcPr>
            <w:tcW w:w="2580" w:type="dxa"/>
          </w:tcPr>
          <w:p w14:paraId="66F8A8D2">
            <w:pPr>
              <w:rPr>
                <w:rFonts w:ascii="Calibri" w:hAnsi="Calibri" w:cs="Times New Roman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1、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复习动词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0"/>
                <w:szCs w:val="20"/>
              </w:rPr>
              <w:t>使役态的变形规则</w:t>
            </w:r>
          </w:p>
          <w:p w14:paraId="274F5BA3">
            <w:pPr>
              <w:rPr>
                <w:rFonts w:hint="default" w:ascii="Calibri" w:hAnsi="Calibri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0"/>
                <w:szCs w:val="20"/>
                <w:lang w:eastAsia="ja-JP"/>
              </w:rPr>
              <w:t>2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hint="eastAsia" w:ascii="Calibri" w:hAnsi="Calibri" w:cs="Times New Roman" w:eastAsiaTheme="minorEastAsia"/>
                <w:color w:val="000000"/>
                <w:sz w:val="20"/>
                <w:szCs w:val="20"/>
                <w:lang w:eastAsia="ja-JP"/>
              </w:rPr>
              <w:t>复习</w:t>
            </w:r>
            <w:r>
              <w:rPr>
                <w:rFonts w:hint="eastAsia" w:ascii="Calibri" w:hAnsi="Calibri" w:cs="Times New Roman" w:eastAsiaTheme="minorEastAsia"/>
                <w:color w:val="000000"/>
                <w:sz w:val="20"/>
                <w:szCs w:val="20"/>
                <w:lang w:val="en-US" w:eastAsia="zh-CN"/>
              </w:rPr>
              <w:t>相关句型的用法</w:t>
            </w:r>
          </w:p>
          <w:p w14:paraId="5C08E573">
            <w:pPr>
              <w:rPr>
                <w:rFonts w:ascii="Calibri" w:hAnsi="Calibri" w:eastAsia="MS Mincho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 w:eastAsiaTheme="minorEastAsia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 w:cs="Times New Roman" w:eastAsiaTheme="minorEastAsia"/>
                <w:color w:val="000000"/>
                <w:sz w:val="20"/>
                <w:szCs w:val="20"/>
              </w:rPr>
              <w:t>复习敬语的使用方法</w:t>
            </w:r>
          </w:p>
          <w:p w14:paraId="589F0C01">
            <w:pPr>
              <w:rPr>
                <w:rFonts w:ascii="Calibri" w:hAnsi="Calibri" w:eastAsia="MS Mincho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4、能用正确的词语和语法表达特定的意思。</w:t>
            </w:r>
          </w:p>
        </w:tc>
        <w:tc>
          <w:tcPr>
            <w:tcW w:w="1950" w:type="dxa"/>
          </w:tcPr>
          <w:p w14:paraId="5E76439F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1、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动词使役态的变形以及使用</w:t>
            </w:r>
          </w:p>
          <w:p w14:paraId="7E8F107D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2、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敬语的概念以及使用</w:t>
            </w:r>
          </w:p>
          <w:p w14:paraId="7F8662EF">
            <w:pPr>
              <w:rPr>
                <w:rFonts w:ascii="Calibri" w:hAnsi="Calibri" w:eastAsia="MS Mincho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3、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复合句的使用</w:t>
            </w:r>
          </w:p>
        </w:tc>
        <w:tc>
          <w:tcPr>
            <w:tcW w:w="2595" w:type="dxa"/>
          </w:tcPr>
          <w:p w14:paraId="53BCF719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掌握每课的单词、语法；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</w:p>
          <w:p w14:paraId="1F9E6BF1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2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要求学生运用正确的语音和语调朗读课文；</w:t>
            </w:r>
          </w:p>
          <w:p w14:paraId="3FBC1C99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675" w:type="dxa"/>
          </w:tcPr>
          <w:p w14:paraId="51596A05">
            <w:pPr>
              <w:spacing w:before="163" w:beforeLines="50" w:after="163" w:afterLines="50" w:line="288" w:lineRule="auto"/>
              <w:jc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lang w:val="en-US" w:eastAsia="zh-CN"/>
              </w:rPr>
            </w:pPr>
          </w:p>
        </w:tc>
        <w:tc>
          <w:tcPr>
            <w:tcW w:w="675" w:type="dxa"/>
          </w:tcPr>
          <w:p w14:paraId="27AECC63">
            <w:pPr>
              <w:spacing w:before="163" w:beforeLines="50" w:after="163" w:afterLines="50" w:line="288" w:lineRule="auto"/>
              <w:jc w:val="center"/>
              <w:rPr>
                <w:rFonts w:hint="default" w:ascii="Calibri" w:hAnsi="Calibri" w:eastAsia="宋体" w:cs="Times New Roman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2"/>
                <w:sz w:val="16"/>
                <w:szCs w:val="16"/>
                <w:lang w:val="en-US" w:eastAsia="zh-CN"/>
              </w:rPr>
              <w:t>4</w:t>
            </w:r>
          </w:p>
        </w:tc>
      </w:tr>
    </w:tbl>
    <w:p w14:paraId="299AC42A">
      <w:pPr>
        <w:pStyle w:val="18"/>
        <w:spacing w:before="81" w:after="163"/>
      </w:pPr>
    </w:p>
    <w:p w14:paraId="2A4F7865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6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331"/>
        <w:gridCol w:w="1100"/>
        <w:gridCol w:w="1099"/>
        <w:gridCol w:w="1100"/>
        <w:gridCol w:w="1099"/>
        <w:gridCol w:w="1099"/>
      </w:tblGrid>
      <w:tr w14:paraId="5A06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331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8B2E15C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FA3A448">
            <w:pPr>
              <w:pStyle w:val="14"/>
              <w:ind w:right="210"/>
              <w:jc w:val="left"/>
              <w:rPr>
                <w:szCs w:val="16"/>
              </w:rPr>
            </w:pPr>
          </w:p>
          <w:p w14:paraId="4A510384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607285B8">
            <w:pPr>
              <w:pStyle w:val="14"/>
              <w:rPr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-1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0A5FE894">
            <w:pPr>
              <w:pStyle w:val="14"/>
              <w:rPr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-1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6DFA12F">
            <w:pPr>
              <w:pStyle w:val="14"/>
              <w:rPr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-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0E40F136">
            <w:pPr>
              <w:pStyle w:val="14"/>
              <w:rPr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-1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E036E96">
            <w:pPr>
              <w:pStyle w:val="14"/>
              <w:rPr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-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 w14:paraId="6835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tcBorders>
              <w:left w:val="single" w:color="auto" w:sz="12" w:space="0"/>
            </w:tcBorders>
          </w:tcPr>
          <w:p w14:paraId="139363E5">
            <w:pPr>
              <w:pStyle w:val="15"/>
            </w:pPr>
            <w:r>
              <w:rPr>
                <w:rFonts w:hint="eastAsia"/>
              </w:rPr>
              <w:t>第11单元</w:t>
            </w:r>
          </w:p>
        </w:tc>
        <w:tc>
          <w:tcPr>
            <w:tcW w:w="1100" w:type="dxa"/>
            <w:vAlign w:val="center"/>
          </w:tcPr>
          <w:p w14:paraId="44B301D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2238107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6DA3C5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339E78ED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2E03F82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6B77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tcBorders>
              <w:left w:val="single" w:color="auto" w:sz="12" w:space="0"/>
            </w:tcBorders>
          </w:tcPr>
          <w:p w14:paraId="56CE49FA">
            <w:pPr>
              <w:pStyle w:val="15"/>
            </w:pPr>
            <w:r>
              <w:rPr>
                <w:rFonts w:hint="eastAsia"/>
              </w:rPr>
              <w:t>第12单元</w:t>
            </w:r>
          </w:p>
        </w:tc>
        <w:tc>
          <w:tcPr>
            <w:tcW w:w="1100" w:type="dxa"/>
            <w:vAlign w:val="center"/>
          </w:tcPr>
          <w:p w14:paraId="1CA30DE4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5FAAA7CE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E3C0A97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4A2856F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3C7DA00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4C3E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tcBorders>
              <w:left w:val="single" w:color="auto" w:sz="12" w:space="0"/>
            </w:tcBorders>
          </w:tcPr>
          <w:p w14:paraId="01EA62A5">
            <w:pPr>
              <w:pStyle w:val="15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大学日语</w:t>
            </w:r>
            <w:r>
              <w:rPr>
                <w:rFonts w:hint="eastAsia"/>
                <w:lang w:eastAsia="ja-JP"/>
              </w:rPr>
              <w:t>四级真题讲解</w:t>
            </w:r>
          </w:p>
        </w:tc>
        <w:tc>
          <w:tcPr>
            <w:tcW w:w="1100" w:type="dxa"/>
            <w:vAlign w:val="center"/>
          </w:tcPr>
          <w:p w14:paraId="1B6D989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23093A3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5A68CCA6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16DBF7B4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D13A08F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</w:tr>
      <w:tr w14:paraId="159B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tcBorders>
              <w:left w:val="single" w:color="auto" w:sz="12" w:space="0"/>
            </w:tcBorders>
          </w:tcPr>
          <w:p w14:paraId="7684424F">
            <w:pPr>
              <w:pStyle w:val="15"/>
            </w:pPr>
            <w:r>
              <w:rPr>
                <w:rFonts w:hint="eastAsia"/>
              </w:rPr>
              <w:t>单元复习</w:t>
            </w:r>
          </w:p>
        </w:tc>
        <w:tc>
          <w:tcPr>
            <w:tcW w:w="1100" w:type="dxa"/>
            <w:vAlign w:val="center"/>
          </w:tcPr>
          <w:p w14:paraId="0052FBDC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36978A5E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DADAC37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3257CA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3A0DE633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</w:tbl>
    <w:p w14:paraId="09C99B3B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1088"/>
        <w:gridCol w:w="1020"/>
      </w:tblGrid>
      <w:tr w14:paraId="6A55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D509F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4FE2B47B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16E8103E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BC7AE7A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4A0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</w:tcPr>
          <w:p w14:paraId="49CFDC9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</w:tcPr>
          <w:p w14:paraId="545B6D4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506FE4A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E67427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052527A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实践</w:t>
            </w:r>
          </w:p>
        </w:tc>
      </w:tr>
      <w:tr w14:paraId="312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596D5C32">
            <w:pPr>
              <w:widowControl/>
              <w:jc w:val="both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复习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+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43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課　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陳さんは、息子をアメリカに留学させます</w:t>
            </w:r>
          </w:p>
        </w:tc>
        <w:tc>
          <w:tcPr>
            <w:tcW w:w="3041" w:type="dxa"/>
          </w:tcPr>
          <w:p w14:paraId="638FD0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Arial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14:paraId="62A5813F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68C885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0BCC6B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1B17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392743BE">
            <w:pPr>
              <w:widowControl/>
              <w:jc w:val="both"/>
              <w:rPr>
                <w:rFonts w:asciiTheme="minorEastAsia" w:hAnsiTheme="minorEastAsia" w:eastAsiaTheme="minorEastAsia"/>
                <w:bCs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44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課　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玄関のところにだれかいるようです</w:t>
            </w:r>
          </w:p>
        </w:tc>
        <w:tc>
          <w:tcPr>
            <w:tcW w:w="3041" w:type="dxa"/>
          </w:tcPr>
          <w:p w14:paraId="66C60A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Arial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14:paraId="55B0C1A7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377BEF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23E1588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  </w:t>
            </w:r>
          </w:p>
        </w:tc>
      </w:tr>
      <w:tr w14:paraId="624E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6AC05BFA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2024年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四级真题讲解</w:t>
            </w:r>
          </w:p>
        </w:tc>
        <w:tc>
          <w:tcPr>
            <w:tcW w:w="3041" w:type="dxa"/>
          </w:tcPr>
          <w:p w14:paraId="7FCE547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Arial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14:paraId="2F36F160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142BC52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3DFEFE4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3F34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55E2366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2024年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+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第一次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过程性考试</w:t>
            </w:r>
          </w:p>
        </w:tc>
        <w:tc>
          <w:tcPr>
            <w:tcW w:w="3041" w:type="dxa"/>
          </w:tcPr>
          <w:p w14:paraId="155011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Arial"/>
                <w:sz w:val="18"/>
                <w:szCs w:val="18"/>
              </w:rPr>
              <w:t>随堂测试，答案解析</w:t>
            </w:r>
          </w:p>
        </w:tc>
        <w:tc>
          <w:tcPr>
            <w:tcW w:w="1738" w:type="dxa"/>
            <w:vAlign w:val="center"/>
          </w:tcPr>
          <w:p w14:paraId="63C5BAEB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7A72262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5C2B310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2691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C29849E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45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課　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少子化が進んで、日本の人口はだんだん減っていくでしょう</w:t>
            </w:r>
          </w:p>
        </w:tc>
        <w:tc>
          <w:tcPr>
            <w:tcW w:w="3041" w:type="dxa"/>
          </w:tcPr>
          <w:p w14:paraId="26FC94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Arial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14:paraId="3DB61316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42CF2C8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1589CA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45BC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010FE1D0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46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課　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これは柔らかくて、まるで本物の毛皮のようです　</w:t>
            </w:r>
          </w:p>
        </w:tc>
        <w:tc>
          <w:tcPr>
            <w:tcW w:w="3041" w:type="dxa"/>
          </w:tcPr>
          <w:p w14:paraId="791B4C0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Arial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14:paraId="53AE64D8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0D3D27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6B0DE0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510E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51653EBC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最新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考试大纲样题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讲解（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新题型，包括作文等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3041" w:type="dxa"/>
          </w:tcPr>
          <w:p w14:paraId="664C4A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Arial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14:paraId="6C0136A7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测试</w:t>
            </w:r>
          </w:p>
        </w:tc>
        <w:tc>
          <w:tcPr>
            <w:tcW w:w="1088" w:type="dxa"/>
            <w:vAlign w:val="center"/>
          </w:tcPr>
          <w:p w14:paraId="1263365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13BF28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7F40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5C446797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2022年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+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二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次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过程性考试</w:t>
            </w:r>
          </w:p>
        </w:tc>
        <w:tc>
          <w:tcPr>
            <w:tcW w:w="3041" w:type="dxa"/>
          </w:tcPr>
          <w:p w14:paraId="3C416B1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微软雅黑"/>
                <w:sz w:val="18"/>
                <w:szCs w:val="18"/>
              </w:rPr>
              <w:t>随堂测试</w:t>
            </w:r>
            <w:r>
              <w:rPr>
                <w:rFonts w:hint="eastAsia" w:cs="MS Mincho"/>
                <w:sz w:val="18"/>
                <w:szCs w:val="18"/>
              </w:rPr>
              <w:t>，答案解析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738" w:type="dxa"/>
            <w:vAlign w:val="center"/>
          </w:tcPr>
          <w:p w14:paraId="30543ED7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60B9804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0E5EF6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5F07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59524B23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47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課　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周先生は明日日本へ行かれます　</w:t>
            </w:r>
          </w:p>
        </w:tc>
        <w:tc>
          <w:tcPr>
            <w:tcW w:w="3041" w:type="dxa"/>
          </w:tcPr>
          <w:p w14:paraId="732E3D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Arial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14:paraId="019AB6BF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6731A66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66D6E9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2AD3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2D5DEFA0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48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課　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お荷物は私がお持ちします</w:t>
            </w:r>
          </w:p>
        </w:tc>
        <w:tc>
          <w:tcPr>
            <w:tcW w:w="3041" w:type="dxa"/>
          </w:tcPr>
          <w:p w14:paraId="58853CC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Arial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14:paraId="3924820F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6744A6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3EA0A2C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7449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75795851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</w:p>
        </w:tc>
        <w:tc>
          <w:tcPr>
            <w:tcW w:w="3041" w:type="dxa"/>
          </w:tcPr>
          <w:p w14:paraId="3A38BF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Arial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14:paraId="1463ADDF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5ABD61A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44CEF8B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3949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7683EE21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+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三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次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过程性考试</w:t>
            </w:r>
          </w:p>
        </w:tc>
        <w:tc>
          <w:tcPr>
            <w:tcW w:w="3041" w:type="dxa"/>
          </w:tcPr>
          <w:p w14:paraId="00148F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微软雅黑"/>
                <w:sz w:val="18"/>
                <w:szCs w:val="18"/>
              </w:rPr>
              <w:t>随堂测试</w:t>
            </w:r>
            <w:r>
              <w:rPr>
                <w:rFonts w:hint="eastAsia" w:cs="MS Mincho"/>
                <w:sz w:val="18"/>
                <w:szCs w:val="18"/>
              </w:rPr>
              <w:t>，答案解析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738" w:type="dxa"/>
            <w:vAlign w:val="center"/>
          </w:tcPr>
          <w:p w14:paraId="01B66321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341DBC3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35875D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4C4E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9B191E1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2020年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</w:p>
        </w:tc>
        <w:tc>
          <w:tcPr>
            <w:tcW w:w="3041" w:type="dxa"/>
          </w:tcPr>
          <w:p w14:paraId="5CC218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Arial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14:paraId="79DDE194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119F9C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2B47600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F3B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75DA2D99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2019年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</w:p>
        </w:tc>
        <w:tc>
          <w:tcPr>
            <w:tcW w:w="3041" w:type="dxa"/>
          </w:tcPr>
          <w:p w14:paraId="28114DE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Arial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14:paraId="6CF34AFF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35C58F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666160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3B4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3FAF986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2018年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</w:p>
        </w:tc>
        <w:tc>
          <w:tcPr>
            <w:tcW w:w="3041" w:type="dxa"/>
          </w:tcPr>
          <w:p w14:paraId="383D0E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Arial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738" w:type="dxa"/>
            <w:vAlign w:val="center"/>
          </w:tcPr>
          <w:p w14:paraId="39EF7703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68972C5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61C8BF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B27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739D306E">
            <w:pPr>
              <w:widowControl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总复习</w:t>
            </w:r>
          </w:p>
        </w:tc>
        <w:tc>
          <w:tcPr>
            <w:tcW w:w="3041" w:type="dxa"/>
            <w:vAlign w:val="center"/>
          </w:tcPr>
          <w:p w14:paraId="7C40EFB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第4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课-48课全部内容</w:t>
            </w:r>
          </w:p>
        </w:tc>
        <w:tc>
          <w:tcPr>
            <w:tcW w:w="1738" w:type="dxa"/>
            <w:vAlign w:val="center"/>
          </w:tcPr>
          <w:p w14:paraId="6DE7C94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练习</w:t>
            </w:r>
          </w:p>
        </w:tc>
        <w:tc>
          <w:tcPr>
            <w:tcW w:w="1088" w:type="dxa"/>
            <w:vAlign w:val="center"/>
          </w:tcPr>
          <w:p w14:paraId="7F249E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color="auto" w:sz="12" w:space="0"/>
            </w:tcBorders>
            <w:vAlign w:val="center"/>
          </w:tcPr>
          <w:p w14:paraId="2A6A7EC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5C6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C33B1F8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1088" w:type="dxa"/>
            <w:tcBorders>
              <w:bottom w:val="single" w:color="auto" w:sz="12" w:space="0"/>
            </w:tcBorders>
            <w:vAlign w:val="center"/>
          </w:tcPr>
          <w:p w14:paraId="5790EEA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02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563528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08753141">
      <w:pPr>
        <w:pStyle w:val="18"/>
        <w:spacing w:before="326" w:beforeLines="100" w:after="163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29C51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0B548969">
            <w:pPr>
              <w:pStyle w:val="14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1391A5A0">
            <w:pPr>
              <w:pStyle w:val="14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21B84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10ADDCD1">
            <w:pPr>
              <w:pStyle w:val="15"/>
              <w:widowControl w:val="0"/>
            </w:pPr>
            <w:r>
              <w:rPr>
                <w:rFonts w:hint="eastAsia"/>
              </w:rPr>
              <w:t>第11单元</w:t>
            </w:r>
          </w:p>
        </w:tc>
        <w:tc>
          <w:tcPr>
            <w:tcW w:w="7177" w:type="dxa"/>
            <w:vAlign w:val="center"/>
          </w:tcPr>
          <w:p w14:paraId="57055D5B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本单元结合日本企业文化融入中国企业文化，让学生了解中国企业文化特色。</w:t>
            </w:r>
          </w:p>
        </w:tc>
      </w:tr>
      <w:tr w14:paraId="47A54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68B7C864">
            <w:pPr>
              <w:pStyle w:val="15"/>
              <w:widowControl w:val="0"/>
            </w:pPr>
            <w:r>
              <w:rPr>
                <w:rFonts w:hint="eastAsia"/>
              </w:rPr>
              <w:t>第12单元</w:t>
            </w:r>
          </w:p>
        </w:tc>
        <w:tc>
          <w:tcPr>
            <w:tcW w:w="7177" w:type="dxa"/>
            <w:vAlign w:val="center"/>
          </w:tcPr>
          <w:p w14:paraId="03DBF5F1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本单元通过日语文化融入中国文字对日语文字文法历史的影响。</w:t>
            </w:r>
          </w:p>
        </w:tc>
      </w:tr>
      <w:tr w14:paraId="4FC35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3F4E5C33">
            <w:pPr>
              <w:pStyle w:val="15"/>
              <w:widowControl w:val="0"/>
            </w:pPr>
            <w:r>
              <w:rPr>
                <w:rFonts w:hint="eastAsia"/>
              </w:rPr>
              <w:t>单元复习</w:t>
            </w:r>
          </w:p>
        </w:tc>
        <w:tc>
          <w:tcPr>
            <w:tcW w:w="7177" w:type="dxa"/>
            <w:vAlign w:val="center"/>
          </w:tcPr>
          <w:p w14:paraId="4F15620B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本单元通过学习，拓展学生国际视野，增强文化自信，学会用日语讲好中国传统文化故事。</w:t>
            </w:r>
          </w:p>
        </w:tc>
      </w:tr>
    </w:tbl>
    <w:p w14:paraId="4251B2E9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798"/>
        <w:gridCol w:w="851"/>
        <w:gridCol w:w="799"/>
        <w:gridCol w:w="706"/>
      </w:tblGrid>
      <w:tr w14:paraId="2CCF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9699D0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3C76922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4813092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CB265C0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31D8AE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05C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053C37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1E36A07A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2FBD5786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D36F3E6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18"/>
                <w:szCs w:val="18"/>
              </w:rPr>
              <w:t>1</w:t>
            </w:r>
            <w:r>
              <w:rPr>
                <w:rFonts w:cs="Times New Roman" w:asciiTheme="minorEastAsia" w:hAnsiTheme="minorEastAsia" w:eastAsiaTheme="minorEastAsia"/>
                <w:bCs/>
                <w:sz w:val="18"/>
                <w:szCs w:val="18"/>
              </w:rPr>
              <w:t>-1</w:t>
            </w:r>
          </w:p>
        </w:tc>
        <w:tc>
          <w:tcPr>
            <w:tcW w:w="612" w:type="dxa"/>
            <w:vAlign w:val="center"/>
          </w:tcPr>
          <w:p w14:paraId="4CCA5D07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Times New Roman" w:asciiTheme="minorEastAsia" w:hAnsiTheme="minorEastAsia" w:eastAsiaTheme="minorEastAsia"/>
                <w:bCs/>
                <w:sz w:val="18"/>
                <w:szCs w:val="18"/>
              </w:rPr>
              <w:t>-1</w:t>
            </w:r>
          </w:p>
        </w:tc>
        <w:tc>
          <w:tcPr>
            <w:tcW w:w="798" w:type="dxa"/>
            <w:vAlign w:val="center"/>
          </w:tcPr>
          <w:p w14:paraId="27B002B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-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B05677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Times New Roman" w:asciiTheme="minorEastAsia" w:hAnsiTheme="minorEastAsia" w:eastAsiaTheme="minorEastAsia"/>
                <w:bCs/>
                <w:sz w:val="18"/>
                <w:szCs w:val="18"/>
              </w:rPr>
              <w:t>-1</w:t>
            </w:r>
          </w:p>
        </w:tc>
        <w:tc>
          <w:tcPr>
            <w:tcW w:w="799" w:type="dxa"/>
            <w:vAlign w:val="center"/>
          </w:tcPr>
          <w:p w14:paraId="3DF0A323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-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D2A2C3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D6E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320A53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64096E4">
            <w:pPr>
              <w:pStyle w:val="15"/>
              <w:widowControl w:val="0"/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AB4993E">
            <w:pPr>
              <w:pStyle w:val="15"/>
              <w:widowControl w:val="0"/>
            </w:pPr>
            <w:r>
              <w:rPr>
                <w:rFonts w:hint="eastAsia"/>
              </w:rPr>
              <w:t>期末测试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257C0CA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291550F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98" w:type="dxa"/>
            <w:vAlign w:val="center"/>
          </w:tcPr>
          <w:p w14:paraId="786ECFA2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851" w:type="dxa"/>
            <w:vAlign w:val="center"/>
          </w:tcPr>
          <w:p w14:paraId="73260307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99" w:type="dxa"/>
            <w:vAlign w:val="center"/>
          </w:tcPr>
          <w:p w14:paraId="7D7D0DFB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D989CA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1A9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62F55C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30D4B5E">
            <w:pPr>
              <w:pStyle w:val="15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E5B5040">
            <w:pPr>
              <w:pStyle w:val="15"/>
              <w:widowControl w:val="0"/>
            </w:pPr>
            <w:r>
              <w:rPr>
                <w:rFonts w:hint="eastAsia"/>
              </w:rPr>
              <w:t>小测试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4F41DB6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7F82B79D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98" w:type="dxa"/>
            <w:vAlign w:val="center"/>
          </w:tcPr>
          <w:p w14:paraId="63104904">
            <w:pPr>
              <w:pStyle w:val="15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2BAF4951">
            <w:pPr>
              <w:pStyle w:val="15"/>
              <w:widowControl w:val="0"/>
            </w:pPr>
          </w:p>
        </w:tc>
        <w:tc>
          <w:tcPr>
            <w:tcW w:w="799" w:type="dxa"/>
            <w:vAlign w:val="center"/>
          </w:tcPr>
          <w:p w14:paraId="57597193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3405EB9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637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F44154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3187F15">
            <w:pPr>
              <w:pStyle w:val="15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F979B56">
            <w:pPr>
              <w:pStyle w:val="15"/>
              <w:widowControl w:val="0"/>
            </w:pPr>
            <w:r>
              <w:rPr>
                <w:rFonts w:hint="eastAsia"/>
              </w:rPr>
              <w:t>小测试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91EAD86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129C7A3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98" w:type="dxa"/>
            <w:vAlign w:val="center"/>
          </w:tcPr>
          <w:p w14:paraId="035BF1D9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vAlign w:val="center"/>
          </w:tcPr>
          <w:p w14:paraId="72B8C915">
            <w:pPr>
              <w:pStyle w:val="15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799" w:type="dxa"/>
            <w:vAlign w:val="center"/>
          </w:tcPr>
          <w:p w14:paraId="0AE1BB67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7EF1B6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FB6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46BCB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170A3C3D">
            <w:pPr>
              <w:pStyle w:val="15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73886D0">
            <w:pPr>
              <w:pStyle w:val="15"/>
              <w:widowControl w:val="0"/>
            </w:pPr>
            <w:r>
              <w:rPr>
                <w:rFonts w:hint="eastAsia"/>
              </w:rPr>
              <w:t>小测试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DC3FF10">
            <w:pPr>
              <w:pStyle w:val="15"/>
              <w:widowControl w:val="0"/>
              <w:jc w:val="left"/>
            </w:pPr>
          </w:p>
        </w:tc>
        <w:tc>
          <w:tcPr>
            <w:tcW w:w="612" w:type="dxa"/>
            <w:vAlign w:val="center"/>
          </w:tcPr>
          <w:p w14:paraId="20F54FE1">
            <w:pPr>
              <w:pStyle w:val="15"/>
              <w:widowControl w:val="0"/>
              <w:jc w:val="left"/>
            </w:pPr>
          </w:p>
        </w:tc>
        <w:tc>
          <w:tcPr>
            <w:tcW w:w="798" w:type="dxa"/>
            <w:vAlign w:val="center"/>
          </w:tcPr>
          <w:p w14:paraId="20224468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vAlign w:val="center"/>
          </w:tcPr>
          <w:p w14:paraId="3EC3D67F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99" w:type="dxa"/>
            <w:vAlign w:val="center"/>
          </w:tcPr>
          <w:p w14:paraId="7FB6C486">
            <w:pPr>
              <w:pStyle w:val="15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11B76F5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D001BC5">
      <w:pPr>
        <w:pStyle w:val="17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37F3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89C4D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</w:t>
                          </w:r>
                          <w:r>
                            <w:rPr>
                              <w:rFonts w:ascii="Times New Roman" w:hAnsi="Times New Roman"/>
                              <w:color w:val="auto"/>
                              <w:highlight w:val="none"/>
                            </w:rPr>
                            <w:t>-033（A1）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D89C4D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</w:t>
                    </w:r>
                    <w:r>
                      <w:rPr>
                        <w:rFonts w:ascii="Times New Roman" w:hAnsi="Times New Roman"/>
                        <w:color w:val="auto"/>
                        <w:highlight w:val="none"/>
                      </w:rPr>
                      <w:t>-033（A1）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YzVjNDM0NzRjYzg3OWZmN2M1ZjA4NzQ4YzFhZTMifQ=="/>
  </w:docVars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7861"/>
    <w:rsid w:val="002204E4"/>
    <w:rsid w:val="002211BF"/>
    <w:rsid w:val="00233F15"/>
    <w:rsid w:val="002420F1"/>
    <w:rsid w:val="002521E4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5D67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03F3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9045B"/>
    <w:rsid w:val="005A13AB"/>
    <w:rsid w:val="005B1150"/>
    <w:rsid w:val="005B1FFC"/>
    <w:rsid w:val="005B2B6D"/>
    <w:rsid w:val="005B4B4E"/>
    <w:rsid w:val="005B61AB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27CE6"/>
    <w:rsid w:val="006331EE"/>
    <w:rsid w:val="006355E6"/>
    <w:rsid w:val="00637262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3E66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27595"/>
    <w:rsid w:val="00732152"/>
    <w:rsid w:val="00742E7A"/>
    <w:rsid w:val="0074424F"/>
    <w:rsid w:val="0075589E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3732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4E21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37A9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5485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90CF9"/>
    <w:rsid w:val="00CA18FD"/>
    <w:rsid w:val="00CA27E5"/>
    <w:rsid w:val="00CA4897"/>
    <w:rsid w:val="00CA6928"/>
    <w:rsid w:val="00CA72DD"/>
    <w:rsid w:val="00CB3D3F"/>
    <w:rsid w:val="00CB50D5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061FD"/>
    <w:rsid w:val="00D11D8F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918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9E16BED"/>
    <w:rsid w:val="0A8128A6"/>
    <w:rsid w:val="0BF32A1B"/>
    <w:rsid w:val="10BD2C22"/>
    <w:rsid w:val="137E15E1"/>
    <w:rsid w:val="1FD162B0"/>
    <w:rsid w:val="22987C80"/>
    <w:rsid w:val="24192CCC"/>
    <w:rsid w:val="2A992469"/>
    <w:rsid w:val="39A66CD4"/>
    <w:rsid w:val="3CD52CE1"/>
    <w:rsid w:val="3EE77811"/>
    <w:rsid w:val="410F2E6A"/>
    <w:rsid w:val="4430136C"/>
    <w:rsid w:val="4AB0382B"/>
    <w:rsid w:val="569868B5"/>
    <w:rsid w:val="5AD14857"/>
    <w:rsid w:val="5CC92F41"/>
    <w:rsid w:val="611F6817"/>
    <w:rsid w:val="62E05C2A"/>
    <w:rsid w:val="66CA1754"/>
    <w:rsid w:val="6BD96FD2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8CDF6A-1F34-4F22-9CAB-44B6EA57A5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1020</Words>
  <Characters>1114</Characters>
  <Lines>22</Lines>
  <Paragraphs>6</Paragraphs>
  <TotalTime>0</TotalTime>
  <ScaleCrop>false</ScaleCrop>
  <LinksUpToDate>false</LinksUpToDate>
  <CharactersWithSpaces>1132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2024-01-15T01:58:00Z</dcterms:created>
  <dc:creator>juvg</dc:creator>
  <cp:lastModifiedBy>奶茶</cp:lastModifiedBy>
  <cp:lastPrinted>2023-10-23T04:11:00Z</cp:lastPrinted>
  <dcterms:modified xsi:type="dcterms:W3CDTF">2025-04-15T02:18:46Z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88754F3751A141EBA88782E25DB2B62F_12</vt:lpwstr>
  </property>
  <property fmtid="{D5CDD505-2E9C-101B-9397-08002B2CF9AE}" pid="4" name="KSOTemplateDocerSaveRecord">
    <vt:lpwstr>eyJoZGlkIjoiMmM2ZDUyMGJmZjRlZDIyMDRkNzU0MTBmOTBhZjJkOGUiLCJ1c2VySWQiOiIyNzM5NTIyNTEifQ==</vt:lpwstr>
  </property>
</Properties>
</file>