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《跨文化交际》本科课程教学大纲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跨文化交际</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heme="majorEastAsia" w:hAnsiTheme="majorEastAsia" w:eastAsiaTheme="majorEastAsia"/>
                <w:color w:val="000000" w:themeColor="text1"/>
                <w:sz w:val="21"/>
                <w:szCs w:val="21"/>
                <w14:textFill>
                  <w14:solidFill>
                    <w14:schemeClr w14:val="tx1"/>
                  </w14:solidFill>
                </w14:textFill>
              </w:rPr>
              <w:t>Intercultural communication</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ascii="Times New Roman" w:hAnsi="Times New Roman" w:cs="Times New Roman" w:eastAsiaTheme="majorEastAsia"/>
                <w:color w:val="000000" w:themeColor="text1"/>
                <w:sz w:val="21"/>
                <w:szCs w:val="21"/>
                <w:lang w:eastAsia="ja-JP"/>
                <w14:textFill>
                  <w14:solidFill>
                    <w14:schemeClr w14:val="tx1"/>
                  </w14:solidFill>
                </w14:textFill>
              </w:rPr>
            </w:pPr>
            <w:r>
              <w:rPr>
                <w:rFonts w:ascii="Times New Roman" w:hAnsi="Times New Roman" w:cs="Times New Roman" w:eastAsiaTheme="majorEastAsia"/>
                <w:color w:val="000000" w:themeColor="text1"/>
                <w:sz w:val="21"/>
                <w:szCs w:val="21"/>
                <w:lang w:eastAsia="ja-JP"/>
                <w14:textFill>
                  <w14:solidFill>
                    <w14:schemeClr w14:val="tx1"/>
                  </w14:solidFill>
                </w14:textFill>
              </w:rPr>
              <w:t>2020244</w:t>
            </w:r>
          </w:p>
        </w:tc>
        <w:tc>
          <w:tcPr>
            <w:tcW w:w="2126"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333A096">
            <w:pPr>
              <w:widowControl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rFonts w:hint="default" w:ascii="Times New Roman" w:hAnsi="Times New Roman" w:cs="Times New Roman" w:eastAsiaTheme="maj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16</w:t>
            </w:r>
          </w:p>
        </w:tc>
        <w:tc>
          <w:tcPr>
            <w:tcW w:w="1272"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18DF9D4">
            <w:pPr>
              <w:widowControl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16</w:t>
            </w:r>
          </w:p>
        </w:tc>
        <w:tc>
          <w:tcPr>
            <w:tcW w:w="1413" w:type="dxa"/>
            <w:gridSpan w:val="2"/>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sz w:val="21"/>
                <w:szCs w:val="21"/>
              </w:rPr>
              <w:t>外国语学院</w:t>
            </w:r>
          </w:p>
        </w:tc>
        <w:tc>
          <w:tcPr>
            <w:tcW w:w="2126"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679FC0C">
            <w:pPr>
              <w:widowControl w:val="0"/>
              <w:jc w:val="center"/>
              <w:rPr>
                <w:rFonts w:eastAsia="MS Mincho"/>
                <w:color w:val="000000" w:themeColor="text1"/>
                <w:sz w:val="21"/>
                <w:szCs w:val="21"/>
                <w:lang w:eastAsia="ja-JP"/>
                <w14:textFill>
                  <w14:solidFill>
                    <w14:schemeClr w14:val="tx1"/>
                  </w14:solidFill>
                </w14:textFill>
              </w:rPr>
            </w:pPr>
            <w:r>
              <w:rPr>
                <w:rFonts w:hint="eastAsia"/>
                <w:color w:val="000000"/>
                <w:sz w:val="21"/>
                <w:szCs w:val="21"/>
              </w:rPr>
              <w:t>日语专业三</w:t>
            </w:r>
            <w:r>
              <w:rPr>
                <w:rFonts w:hint="eastAsia" w:ascii="MS Mincho" w:hAnsi="MS Mincho" w:eastAsia="MS Mincho"/>
                <w:color w:val="000000"/>
                <w:sz w:val="21"/>
                <w:szCs w:val="21"/>
                <w:lang w:eastAsia="ja-JP"/>
              </w:rPr>
              <w:t>年</w:t>
            </w:r>
            <w:r>
              <w:rPr>
                <w:rFonts w:hint="eastAsia" w:asciiTheme="majorEastAsia" w:hAnsiTheme="majorEastAsia" w:eastAsiaTheme="majorEastAsia"/>
                <w:color w:val="000000" w:themeColor="text1"/>
                <w:sz w:val="21"/>
                <w:szCs w:val="21"/>
                <w14:textFill>
                  <w14:solidFill>
                    <w14:schemeClr w14:val="tx1"/>
                  </w14:solidFill>
                </w14:textFill>
              </w:rPr>
              <w:t>级</w:t>
            </w:r>
            <w:r>
              <w:rPr>
                <w:rFonts w:hint="eastAsia" w:ascii="MS Mincho" w:hAnsi="MS Mincho" w:eastAsia="MS Mincho"/>
                <w:color w:val="000000" w:themeColor="text1"/>
                <w:sz w:val="21"/>
                <w:szCs w:val="21"/>
                <w:lang w:eastAsia="ja-JP"/>
                <w14:textFill>
                  <w14:solidFill>
                    <w14:schemeClr w14:val="tx1"/>
                  </w14:solidFill>
                </w14:textFill>
              </w:rPr>
              <w:t>上</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color w:val="000000" w:themeColor="text1"/>
                <w:sz w:val="21"/>
                <w:szCs w:val="21"/>
                <w14:textFill>
                  <w14:solidFill>
                    <w14:schemeClr w14:val="tx1"/>
                  </w14:solidFill>
                </w14:textFill>
              </w:rPr>
            </w:pPr>
            <w:r>
              <w:rPr>
                <w:rFonts w:hint="eastAsia"/>
                <w:color w:val="000000"/>
                <w:sz w:val="21"/>
                <w:szCs w:val="21"/>
              </w:rPr>
              <w:t>专业基础选修课</w:t>
            </w:r>
          </w:p>
        </w:tc>
        <w:tc>
          <w:tcPr>
            <w:tcW w:w="2126"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D5A7CE9">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7769783">
            <w:pPr>
              <w:widowControl w:val="0"/>
              <w:jc w:val="left"/>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《中日跨文化交际实用教程》</w:t>
            </w:r>
          </w:p>
        </w:tc>
        <w:tc>
          <w:tcPr>
            <w:tcW w:w="1413"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eastAsia="ja-JP"/>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F229263">
            <w:pPr>
              <w:pStyle w:val="14"/>
              <w:widowControl w:val="0"/>
              <w:jc w:val="both"/>
              <w:rPr>
                <w:rFonts w:asciiTheme="majorEastAsia" w:hAnsiTheme="majorEastAsia" w:eastAsiaTheme="majorEastAsia"/>
              </w:rPr>
            </w:pPr>
            <w:r>
              <w:rPr>
                <w:bCs/>
              </w:rPr>
              <w:t>基础日语</w:t>
            </w:r>
            <w:r>
              <w:rPr>
                <w:rFonts w:hint="eastAsia"/>
                <w:bCs/>
              </w:rPr>
              <w:t>（1）2020052（10）、基础日语（2）2020053（10）</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54"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9259C8">
            <w:pPr>
              <w:widowControl w:val="0"/>
              <w:adjustRightInd w:val="0"/>
              <w:snapToGrid w:val="0"/>
              <w:spacing w:line="300" w:lineRule="auto"/>
              <w:ind w:firstLine="420" w:firstLineChars="200"/>
              <w:jc w:val="both"/>
              <w:rPr>
                <w:sz w:val="21"/>
                <w:szCs w:val="21"/>
                <w:lang w:eastAsia="ja-JP"/>
              </w:rPr>
            </w:pPr>
            <w:r>
              <w:rPr>
                <w:rFonts w:hint="eastAsia"/>
                <w:sz w:val="21"/>
                <w:szCs w:val="21"/>
                <w:lang w:eastAsia="ja-JP"/>
              </w:rPr>
              <w:t>在当今全球化浪潮的推动下，中日两国在经济、文化、教育等领域的交流日益频繁，跨文化交际能力已成为当代社会不可或缺的重要素质。《</w:t>
            </w:r>
            <w:r>
              <w:rPr>
                <w:sz w:val="21"/>
                <w:szCs w:val="21"/>
                <w:lang w:eastAsia="ja-JP"/>
              </w:rPr>
              <w:t>跨文化交际》</w:t>
            </w:r>
            <w:r>
              <w:rPr>
                <w:rFonts w:hint="eastAsia"/>
                <w:sz w:val="21"/>
                <w:szCs w:val="21"/>
                <w:lang w:eastAsia="ja-JP"/>
              </w:rPr>
              <w:t>课程旨在为学生搭建一座通往中日文化交融的桥梁，帮助学生深入了解中日文化的异同，掌握跨文化交际的技巧，培养在中日交流情境中有效沟通的能力。</w:t>
            </w:r>
            <w:r>
              <w:rPr>
                <w:rFonts w:hint="eastAsia"/>
                <w:sz w:val="21"/>
                <w:szCs w:val="21"/>
                <w:lang w:val="en-US" w:eastAsia="zh-CN"/>
              </w:rPr>
              <w:t>本</w:t>
            </w:r>
            <w:r>
              <w:rPr>
                <w:sz w:val="21"/>
                <w:szCs w:val="21"/>
                <w:lang w:eastAsia="ja-JP"/>
              </w:rPr>
              <w:t>课程是为本科二年级学生开设的一门</w:t>
            </w:r>
            <w:r>
              <w:rPr>
                <w:rFonts w:hint="eastAsia"/>
                <w:sz w:val="21"/>
                <w:szCs w:val="21"/>
                <w:lang w:eastAsia="ja-JP"/>
              </w:rPr>
              <w:t>专业必修</w:t>
            </w:r>
            <w:r>
              <w:rPr>
                <w:sz w:val="21"/>
                <w:szCs w:val="21"/>
                <w:lang w:eastAsia="ja-JP"/>
              </w:rPr>
              <w:t>课程</w:t>
            </w:r>
            <w:r>
              <w:rPr>
                <w:rFonts w:hint="eastAsia"/>
                <w:sz w:val="21"/>
                <w:szCs w:val="21"/>
                <w:lang w:eastAsia="ja-JP"/>
              </w:rPr>
              <w:t>，也是日语专业的核心课程之一。</w:t>
            </w:r>
            <w:r>
              <w:rPr>
                <w:rFonts w:hint="eastAsia"/>
                <w:sz w:val="21"/>
                <w:szCs w:val="21"/>
                <w:lang w:val="en-US" w:eastAsia="zh-CN"/>
              </w:rPr>
              <w:t>学生可以通过</w:t>
            </w:r>
            <w:r>
              <w:rPr>
                <w:sz w:val="21"/>
                <w:szCs w:val="21"/>
                <w:lang w:eastAsia="ja-JP"/>
              </w:rPr>
              <w:t>该课程拓宽知识、了解世界文化</w:t>
            </w:r>
            <w:r>
              <w:rPr>
                <w:rFonts w:hint="eastAsia"/>
                <w:sz w:val="21"/>
                <w:szCs w:val="21"/>
                <w:lang w:eastAsia="ja-JP"/>
              </w:rPr>
              <w:t>，尤其是日本文化</w:t>
            </w:r>
            <w:r>
              <w:rPr>
                <w:sz w:val="21"/>
                <w:szCs w:val="21"/>
                <w:lang w:eastAsia="ja-JP"/>
              </w:rPr>
              <w:t>的课程。同时帮助学生解决在跨文化交际中因文化差异而产生的种种问题</w:t>
            </w:r>
            <w:r>
              <w:rPr>
                <w:rFonts w:hint="eastAsia"/>
                <w:sz w:val="21"/>
                <w:szCs w:val="21"/>
                <w:lang w:eastAsia="ja-JP"/>
              </w:rPr>
              <w:t>。教学方式会选用情景剧演绎、</w:t>
            </w:r>
            <w:r>
              <w:rPr>
                <w:rFonts w:hint="eastAsia"/>
                <w:sz w:val="21"/>
                <w:szCs w:val="21"/>
                <w:lang w:val="en-US" w:eastAsia="zh-CN"/>
              </w:rPr>
              <w:t>观看视频或日剧节选、</w:t>
            </w:r>
            <w:r>
              <w:rPr>
                <w:rFonts w:hint="eastAsia"/>
                <w:sz w:val="21"/>
                <w:szCs w:val="21"/>
                <w:lang w:eastAsia="ja-JP"/>
              </w:rPr>
              <w:t>实战会话、应变类1V</w:t>
            </w:r>
            <w:r>
              <w:rPr>
                <w:sz w:val="21"/>
                <w:szCs w:val="21"/>
                <w:lang w:eastAsia="ja-JP"/>
              </w:rPr>
              <w:t>1</w:t>
            </w:r>
            <w:r>
              <w:rPr>
                <w:rFonts w:hint="eastAsia"/>
                <w:sz w:val="21"/>
                <w:szCs w:val="21"/>
                <w:lang w:eastAsia="ja-JP"/>
              </w:rPr>
              <w:t>问答和小游戏等。</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widowControl w:val="0"/>
              <w:snapToGrid w:val="0"/>
              <w:spacing w:line="288" w:lineRule="auto"/>
              <w:ind w:firstLine="420" w:firstLineChars="200"/>
              <w:jc w:val="both"/>
              <w:rPr>
                <w:sz w:val="21"/>
                <w:szCs w:val="21"/>
              </w:rPr>
            </w:pPr>
            <w:r>
              <w:rPr>
                <w:rFonts w:hint="eastAsia"/>
                <w:sz w:val="21"/>
                <w:szCs w:val="21"/>
              </w:rPr>
              <w:t>本课程要求学生具备一定的语言基础，着重培养、提高学生的日语口语表达能力和跨文化交际能力，学习上要求能够进行情景表演和实战会话等练习。通过本课程的学习，学生能够认识语言、文化和交际三者之间的关系；适应各类交际形式；正确思维时势和最新的国际交流的信息；选题偏向职场生活、时政要闻和日常生活。</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72745" cy="238125"/>
                  <wp:effectExtent l="0" t="0" r="8255" b="5715"/>
                  <wp:docPr id="1" name="图片 1" descr="鲁美玲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鲁美玲签名"/>
                          <pic:cNvPicPr>
                            <a:picLocks noChangeAspect="1"/>
                          </pic:cNvPicPr>
                        </pic:nvPicPr>
                        <pic:blipFill>
                          <a:blip r:embed="rId5"/>
                          <a:stretch>
                            <a:fillRect/>
                          </a:stretch>
                        </pic:blipFill>
                        <pic:spPr>
                          <a:xfrm>
                            <a:off x="0" y="0"/>
                            <a:ext cx="372745" cy="238125"/>
                          </a:xfrm>
                          <a:prstGeom prst="rect">
                            <a:avLst/>
                          </a:prstGeom>
                        </pic:spPr>
                      </pic:pic>
                    </a:graphicData>
                  </a:graphic>
                </wp:inline>
              </w:drawing>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eastAsia="MS Mincho"/>
                <w:color w:val="000000"/>
                <w:sz w:val="21"/>
                <w:szCs w:val="21"/>
                <w:lang w:eastAsia="ja-JP"/>
              </w:rPr>
            </w:pPr>
            <w:r>
              <w:rPr>
                <w:rFonts w:hint="eastAsia" w:ascii="Times New Roman" w:hAnsi="Times New Roman" w:eastAsia="MS Mincho"/>
                <w:color w:val="000000"/>
                <w:sz w:val="21"/>
                <w:szCs w:val="21"/>
                <w:lang w:eastAsia="ja-JP"/>
              </w:rPr>
              <w:t>2</w:t>
            </w:r>
            <w:r>
              <w:rPr>
                <w:rFonts w:ascii="Times New Roman" w:hAnsi="Times New Roman" w:eastAsia="MS Mincho"/>
                <w:color w:val="000000"/>
                <w:sz w:val="21"/>
                <w:szCs w:val="21"/>
                <w:lang w:eastAsia="ja-JP"/>
              </w:rPr>
              <w:t>02</w:t>
            </w:r>
            <w:r>
              <w:rPr>
                <w:rFonts w:hint="eastAsia" w:ascii="Times New Roman" w:hAnsi="Times New Roman"/>
                <w:color w:val="000000"/>
                <w:sz w:val="21"/>
                <w:szCs w:val="21"/>
                <w:lang w:val="en-US" w:eastAsia="zh-CN"/>
              </w:rPr>
              <w:t>5</w:t>
            </w:r>
            <w:r>
              <w:rPr>
                <w:rFonts w:hint="eastAsia" w:ascii="Times New Roman" w:hAnsi="Times New Roman" w:eastAsia="MS Mincho"/>
                <w:color w:val="000000"/>
                <w:sz w:val="21"/>
                <w:szCs w:val="21"/>
                <w:lang w:eastAsia="ja-JP"/>
              </w:rPr>
              <w:t>年</w:t>
            </w:r>
            <w:r>
              <w:rPr>
                <w:rFonts w:hint="eastAsia" w:ascii="Times New Roman" w:hAnsi="Times New Roman"/>
                <w:color w:val="000000"/>
                <w:sz w:val="21"/>
                <w:szCs w:val="21"/>
                <w:lang w:val="en-US" w:eastAsia="zh-CN"/>
              </w:rPr>
              <w:t>2</w:t>
            </w:r>
            <w:r>
              <w:rPr>
                <w:rFonts w:hint="eastAsia" w:ascii="Times New Roman" w:hAnsi="Times New Roman" w:eastAsia="MS Mincho"/>
                <w:color w:val="000000"/>
                <w:sz w:val="21"/>
                <w:szCs w:val="21"/>
                <w:lang w:eastAsia="ja-JP"/>
              </w:rPr>
              <w:t>月</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59264" behindDoc="0" locked="0" layoutInCell="1" allowOverlap="1">
                  <wp:simplePos x="0" y="0"/>
                  <wp:positionH relativeFrom="column">
                    <wp:posOffset>890270</wp:posOffset>
                  </wp:positionH>
                  <wp:positionV relativeFrom="paragraph">
                    <wp:posOffset>15875</wp:posOffset>
                  </wp:positionV>
                  <wp:extent cx="482600" cy="314325"/>
                  <wp:effectExtent l="0" t="0" r="12700" b="9525"/>
                  <wp:wrapNone/>
                  <wp:docPr id="2"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6864682111cdbb9b8be5557acbb38"/>
                          <pic:cNvPicPr>
                            <a:picLocks noChangeAspect="1" noChangeArrowheads="1"/>
                          </pic:cNvPicPr>
                        </pic:nvPicPr>
                        <pic:blipFill>
                          <a:blip r:embed="rId6" cstate="print">
                            <a:extLst>
                              <a:ext uri="{28A0092B-C50C-407E-A947-70E740481C1C}">
                                <a14:useLocalDpi xmlns:a14="http://schemas.microsoft.com/office/drawing/2010/main" val="0"/>
                              </a:ext>
                            </a:extLst>
                          </a:blip>
                          <a:srcRect l="18773" t="20906" r="13768" b="8952"/>
                          <a:stretch>
                            <a:fillRect/>
                          </a:stretch>
                        </pic:blipFill>
                        <pic:spPr>
                          <a:xfrm>
                            <a:off x="0" y="0"/>
                            <a:ext cx="482600" cy="314325"/>
                          </a:xfrm>
                          <a:prstGeom prst="rect">
                            <a:avLst/>
                          </a:prstGeom>
                          <a:noFill/>
                          <a:ln>
                            <a:noFill/>
                          </a:ln>
                        </pic:spPr>
                      </pic:pic>
                    </a:graphicData>
                  </a:graphic>
                </wp:anchor>
              </w:drawing>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imes New Roman" w:hAnsi="Times New Roman" w:eastAsia="MS Mincho"/>
                <w:color w:val="000000"/>
                <w:sz w:val="21"/>
                <w:szCs w:val="21"/>
                <w:lang w:eastAsia="ja-JP"/>
              </w:rPr>
              <w:t>2</w:t>
            </w:r>
            <w:r>
              <w:rPr>
                <w:rFonts w:ascii="Times New Roman" w:hAnsi="Times New Roman" w:eastAsia="MS Mincho"/>
                <w:color w:val="000000"/>
                <w:sz w:val="21"/>
                <w:szCs w:val="21"/>
                <w:lang w:eastAsia="ja-JP"/>
              </w:rPr>
              <w:t>02</w:t>
            </w:r>
            <w:r>
              <w:rPr>
                <w:rFonts w:hint="eastAsia" w:ascii="Times New Roman" w:hAnsi="Times New Roman"/>
                <w:color w:val="000000"/>
                <w:sz w:val="21"/>
                <w:szCs w:val="21"/>
                <w:lang w:val="en-US" w:eastAsia="zh-CN"/>
              </w:rPr>
              <w:t>5</w:t>
            </w:r>
            <w:r>
              <w:rPr>
                <w:rFonts w:hint="eastAsia" w:ascii="Times New Roman" w:hAnsi="Times New Roman" w:eastAsia="MS Mincho"/>
                <w:color w:val="000000"/>
                <w:sz w:val="21"/>
                <w:szCs w:val="21"/>
                <w:lang w:eastAsia="ja-JP"/>
              </w:rPr>
              <w:t>年</w:t>
            </w:r>
            <w:r>
              <w:rPr>
                <w:rFonts w:hint="eastAsia" w:ascii="Times New Roman" w:hAnsi="Times New Roman"/>
                <w:color w:val="000000"/>
                <w:sz w:val="21"/>
                <w:szCs w:val="21"/>
                <w:lang w:val="en-US" w:eastAsia="zh-CN"/>
              </w:rPr>
              <w:t>2</w:t>
            </w:r>
            <w:r>
              <w:rPr>
                <w:rFonts w:hint="eastAsia" w:ascii="Times New Roman" w:hAnsi="Times New Roman" w:eastAsia="MS Mincho"/>
                <w:color w:val="000000"/>
                <w:sz w:val="21"/>
                <w:szCs w:val="21"/>
                <w:lang w:eastAsia="ja-JP"/>
              </w:rPr>
              <w:t>月</w:t>
            </w: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anchor distT="0" distB="0" distL="114300" distR="114300" simplePos="0" relativeHeight="251660288" behindDoc="0" locked="0" layoutInCell="1" allowOverlap="1">
                  <wp:simplePos x="0" y="0"/>
                  <wp:positionH relativeFrom="column">
                    <wp:posOffset>734695</wp:posOffset>
                  </wp:positionH>
                  <wp:positionV relativeFrom="paragraph">
                    <wp:posOffset>23495</wp:posOffset>
                  </wp:positionV>
                  <wp:extent cx="756285" cy="302895"/>
                  <wp:effectExtent l="0" t="0" r="0"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56285" cy="302895"/>
                          </a:xfrm>
                          <a:prstGeom prst="rect">
                            <a:avLst/>
                          </a:prstGeom>
                          <a:noFill/>
                        </pic:spPr>
                      </pic:pic>
                    </a:graphicData>
                  </a:graphic>
                </wp:anchor>
              </w:drawing>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imes New Roman" w:hAnsi="Times New Roman" w:eastAsia="MS Mincho"/>
                <w:color w:val="000000"/>
                <w:sz w:val="21"/>
                <w:szCs w:val="21"/>
                <w:lang w:eastAsia="ja-JP"/>
              </w:rPr>
              <w:t>2</w:t>
            </w:r>
            <w:r>
              <w:rPr>
                <w:rFonts w:ascii="Times New Roman" w:hAnsi="Times New Roman" w:eastAsia="MS Mincho"/>
                <w:color w:val="000000"/>
                <w:sz w:val="21"/>
                <w:szCs w:val="21"/>
                <w:lang w:eastAsia="ja-JP"/>
              </w:rPr>
              <w:t>02</w:t>
            </w:r>
            <w:r>
              <w:rPr>
                <w:rFonts w:hint="eastAsia" w:ascii="Times New Roman" w:hAnsi="Times New Roman"/>
                <w:color w:val="000000"/>
                <w:sz w:val="21"/>
                <w:szCs w:val="21"/>
                <w:lang w:val="en-US" w:eastAsia="zh-CN"/>
              </w:rPr>
              <w:t>5</w:t>
            </w:r>
            <w:r>
              <w:rPr>
                <w:rFonts w:hint="eastAsia" w:ascii="Times New Roman" w:hAnsi="Times New Roman" w:eastAsia="MS Mincho"/>
                <w:color w:val="000000"/>
                <w:sz w:val="21"/>
                <w:szCs w:val="21"/>
                <w:lang w:eastAsia="ja-JP"/>
              </w:rPr>
              <w:t>年</w:t>
            </w:r>
            <w:r>
              <w:rPr>
                <w:rFonts w:hint="eastAsia" w:ascii="Times New Roman" w:hAnsi="Times New Roman"/>
                <w:color w:val="000000"/>
                <w:sz w:val="21"/>
                <w:szCs w:val="21"/>
                <w:lang w:val="en-US" w:eastAsia="zh-CN"/>
              </w:rPr>
              <w:t>2</w:t>
            </w:r>
            <w:r>
              <w:rPr>
                <w:rFonts w:hint="eastAsia" w:ascii="Times New Roman" w:hAnsi="Times New Roman" w:eastAsia="MS Mincho"/>
                <w:color w:val="000000"/>
                <w:sz w:val="21"/>
                <w:szCs w:val="21"/>
                <w:lang w:eastAsia="ja-JP"/>
              </w:rPr>
              <w:t>月</w:t>
            </w:r>
          </w:p>
        </w:tc>
      </w:tr>
    </w:tbl>
    <w:p w14:paraId="0E671D4E">
      <w:pPr>
        <w:spacing w:line="100" w:lineRule="exact"/>
        <w:rPr>
          <w:rFonts w:ascii="Arial" w:hAnsi="Arial" w:eastAsia="黑体"/>
        </w:rPr>
      </w:pPr>
    </w:p>
    <w:p w14:paraId="33F2E72F">
      <w:pPr>
        <w:pStyle w:val="16"/>
        <w:spacing w:before="326" w:beforeLines="100" w:line="360" w:lineRule="auto"/>
        <w:rPr>
          <w:rFonts w:ascii="黑体" w:hAnsi="宋体"/>
        </w:rPr>
      </w:pPr>
      <w:r>
        <w:rPr>
          <w:rFonts w:hint="eastAsia" w:ascii="黑体" w:hAnsi="宋体"/>
        </w:rPr>
        <w:t>二、课程目标与毕业要求</w:t>
      </w:r>
    </w:p>
    <w:p w14:paraId="65FC3283">
      <w:pPr>
        <w:pStyle w:val="17"/>
        <w:spacing w:before="163" w:beforeLines="50" w:after="163"/>
        <w:rPr>
          <w:rFonts w:hint="eastAsia"/>
        </w:rPr>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C763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1BD3CB2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92D19F7">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054B50D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4EE38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00CA2C3">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2FFBF2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2247627F">
            <w:pPr>
              <w:pStyle w:val="14"/>
              <w:jc w:val="left"/>
              <w:rPr>
                <w:rFonts w:ascii="宋体" w:hAnsi="宋体"/>
                <w:bCs/>
              </w:rPr>
            </w:pPr>
            <w:r>
              <w:rPr>
                <w:rFonts w:hint="eastAsia" w:ascii="宋体" w:hAnsi="宋体"/>
                <w:spacing w:val="8"/>
                <w:shd w:val="clear" w:color="auto" w:fill="FFFFFF"/>
              </w:rPr>
              <w:t>通过对日本文化的学习，进一步掌握日语语言使用的规范性和准确性,从而更有效地进行交流。</w:t>
            </w:r>
          </w:p>
        </w:tc>
      </w:tr>
      <w:tr w14:paraId="537E7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C72CD82">
            <w:pPr>
              <w:pStyle w:val="14"/>
              <w:rPr>
                <w:bCs/>
              </w:rPr>
            </w:pPr>
          </w:p>
        </w:tc>
        <w:tc>
          <w:tcPr>
            <w:tcW w:w="764" w:type="dxa"/>
            <w:shd w:val="clear" w:color="auto" w:fill="auto"/>
            <w:vAlign w:val="center"/>
          </w:tcPr>
          <w:p w14:paraId="24F653D1">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29E0C5D0">
            <w:pPr>
              <w:pStyle w:val="14"/>
              <w:jc w:val="left"/>
              <w:rPr>
                <w:rFonts w:ascii="宋体" w:hAnsi="宋体"/>
                <w:bCs/>
              </w:rPr>
            </w:pPr>
            <w:r>
              <w:rPr>
                <w:rFonts w:hint="eastAsia" w:ascii="宋体" w:hAnsi="宋体"/>
                <w:bCs/>
              </w:rPr>
              <w:t>能够解释手势和其他形式的体态语并且可以在交际过程中熟练地使用；在国际往来活动中能够较准确地使用目的语进行日常交际交流活动。</w:t>
            </w:r>
          </w:p>
        </w:tc>
      </w:tr>
      <w:tr w14:paraId="33BF8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12" w:hRule="atLeast"/>
          <w:jc w:val="center"/>
        </w:trPr>
        <w:tc>
          <w:tcPr>
            <w:tcW w:w="1206" w:type="dxa"/>
            <w:vAlign w:val="center"/>
          </w:tcPr>
          <w:p w14:paraId="62E205A8">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7967F7DB">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5F869981">
            <w:pPr>
              <w:pStyle w:val="14"/>
              <w:jc w:val="left"/>
              <w:rPr>
                <w:rFonts w:ascii="宋体" w:hAnsi="宋体"/>
                <w:bCs/>
              </w:rPr>
            </w:pPr>
            <w:r>
              <w:rPr>
                <w:rFonts w:hint="eastAsia" w:ascii="宋体" w:hAnsi="宋体"/>
                <w:spacing w:val="8"/>
                <w:shd w:val="clear" w:color="auto" w:fill="FFFFFF"/>
              </w:rPr>
              <w:t>培养、提高学生的日语口语表达能力和跨文化交际能力。</w:t>
            </w:r>
          </w:p>
        </w:tc>
      </w:tr>
      <w:tr w14:paraId="242E8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86B5BB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D9541DE">
            <w:pPr>
              <w:snapToGrid w:val="0"/>
              <w:jc w:val="center"/>
              <w:rPr>
                <w:rFonts w:ascii="Arial" w:hAnsi="Arial" w:eastAsia="黑体" w:cs="Arial"/>
                <w:bCs/>
                <w:color w:val="000000"/>
                <w:sz w:val="21"/>
                <w:szCs w:val="18"/>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1F546B9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D1F5908">
            <w:pPr>
              <w:pStyle w:val="14"/>
              <w:jc w:val="left"/>
              <w:rPr>
                <w:rFonts w:ascii="宋体" w:hAnsi="宋体"/>
                <w:spacing w:val="8"/>
                <w:shd w:val="clear" w:color="auto" w:fill="FFFFFF"/>
              </w:rPr>
            </w:pPr>
            <w:r>
              <w:rPr>
                <w:rFonts w:hint="eastAsia" w:ascii="宋体" w:hAnsi="宋体"/>
                <w:spacing w:val="8"/>
                <w:shd w:val="clear" w:color="auto" w:fill="FFFFFF"/>
              </w:rPr>
              <w:t>勤奋努力学习，客观看待中日文化差异。</w:t>
            </w:r>
          </w:p>
        </w:tc>
      </w:tr>
      <w:tr w14:paraId="6C94D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41734C2">
            <w:pPr>
              <w:snapToGrid w:val="0"/>
              <w:jc w:val="center"/>
            </w:pPr>
          </w:p>
        </w:tc>
        <w:tc>
          <w:tcPr>
            <w:tcW w:w="764" w:type="dxa"/>
            <w:shd w:val="clear" w:color="auto" w:fill="auto"/>
            <w:vAlign w:val="center"/>
          </w:tcPr>
          <w:p w14:paraId="0F90ADA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70C6D689">
            <w:pPr>
              <w:pStyle w:val="14"/>
              <w:jc w:val="left"/>
              <w:rPr>
                <w:rFonts w:ascii="宋体" w:hAnsi="宋体"/>
                <w:bCs/>
              </w:rPr>
            </w:pPr>
            <w:r>
              <w:rPr>
                <w:rFonts w:hint="eastAsia" w:ascii="宋体" w:hAnsi="宋体"/>
                <w:spacing w:val="8"/>
                <w:shd w:val="clear" w:color="auto" w:fill="FFFFFF"/>
              </w:rPr>
              <w:t>培养思辨能力，通过与中国企业有关丰富的案例来了解跨文化交际过程中的文化冲突，不要从单一面去思考国际问题，要学会理性分析。</w:t>
            </w:r>
          </w:p>
        </w:tc>
      </w:tr>
      <w:tr w14:paraId="08855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3B68F91">
            <w:pPr>
              <w:pStyle w:val="14"/>
              <w:rPr>
                <w:rFonts w:ascii="宋体" w:hAnsi="宋体"/>
              </w:rPr>
            </w:pPr>
          </w:p>
        </w:tc>
        <w:tc>
          <w:tcPr>
            <w:tcW w:w="764" w:type="dxa"/>
            <w:shd w:val="clear" w:color="auto" w:fill="auto"/>
            <w:vAlign w:val="center"/>
          </w:tcPr>
          <w:p w14:paraId="68DE789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4C7C454F">
            <w:pPr>
              <w:pStyle w:val="14"/>
              <w:jc w:val="left"/>
              <w:rPr>
                <w:rFonts w:ascii="宋体" w:hAnsi="宋体"/>
                <w:bCs/>
              </w:rPr>
            </w:pPr>
            <w:r>
              <w:rPr>
                <w:rFonts w:hint="eastAsia" w:ascii="宋体" w:hAnsi="宋体"/>
                <w:spacing w:val="8"/>
                <w:shd w:val="clear" w:color="auto" w:fill="FFFFFF"/>
              </w:rPr>
              <w:t>培养团队协作精神，精心设计的组队内容，让学生通过配合明白人多力量大，聚焦向心力，明白一致向内的重要性。通过组织团队相互质询与评议锻炼团队协作的能力，接受他人批评。</w:t>
            </w:r>
          </w:p>
        </w:tc>
      </w:tr>
    </w:tbl>
    <w:p w14:paraId="4491CAB0">
      <w:pPr>
        <w:pStyle w:val="17"/>
        <w:spacing w:before="163" w:beforeLines="50" w:after="163"/>
        <w:outlineLvl w:val="2"/>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AAFEAF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9238AB1">
            <w:pPr>
              <w:pStyle w:val="14"/>
              <w:widowControl w:val="0"/>
              <w:rPr>
                <w:bCs/>
              </w:rPr>
            </w:pPr>
            <w:r>
              <w:rPr>
                <w:b/>
                <w:bCs/>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425020FE">
            <w:pPr>
              <w:pStyle w:val="14"/>
              <w:widowControl w:val="0"/>
              <w:jc w:val="left"/>
              <w:rPr>
                <w:bCs/>
              </w:rPr>
            </w:pPr>
            <w:r>
              <w:rPr>
                <w:rFonts w:hint="eastAsia"/>
                <w:bCs/>
              </w:rPr>
              <w:t>④</w:t>
            </w:r>
            <w:r>
              <w:rPr>
                <w:bCs/>
              </w:rPr>
              <w:t xml:space="preserve">诚信尽责，为人诚实，信守承诺，勤奋努力，精益求精，勇于担责。 </w:t>
            </w:r>
          </w:p>
        </w:tc>
      </w:tr>
      <w:tr w14:paraId="1BAE618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7D3EDB">
            <w:pPr>
              <w:pStyle w:val="14"/>
              <w:widowControl w:val="0"/>
              <w:jc w:val="left"/>
              <w:rPr>
                <w:rFonts w:hint="eastAsia"/>
                <w:bCs/>
              </w:rPr>
            </w:pPr>
            <w:r>
              <w:rPr>
                <w:rFonts w:hint="eastAsia"/>
                <w:b/>
                <w:bCs/>
              </w:rPr>
              <w:t>LO2专业能力：</w:t>
            </w:r>
            <w:r>
              <w:rPr>
                <w:rFonts w:hint="eastAsia"/>
                <w:bCs/>
              </w:rPr>
              <w:t>具有人文科学素养，具备从事某项工作或专业的理论知识、实践能力。①具有专业所需的人文科学素养。</w:t>
            </w:r>
          </w:p>
          <w:p w14:paraId="2FC2C02A">
            <w:pPr>
              <w:pStyle w:val="14"/>
              <w:widowControl w:val="0"/>
              <w:jc w:val="left"/>
              <w:rPr>
                <w:rFonts w:hint="eastAsia"/>
                <w:bCs/>
              </w:rPr>
            </w:pPr>
            <w:r>
              <w:rPr>
                <w:rFonts w:hint="eastAsia"/>
                <w:bCs/>
              </w:rPr>
              <w:t>④了解中日两国的社会、文化及中日文化差异，具有良好的跨文化交际能力。</w:t>
            </w:r>
          </w:p>
        </w:tc>
      </w:tr>
      <w:tr w14:paraId="0565B54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6B823DD">
            <w:pPr>
              <w:widowControl w:val="0"/>
              <w:spacing w:before="0" w:after="0" w:line="240" w:lineRule="auto"/>
              <w:ind w:left="0"/>
              <w:jc w:val="left"/>
              <w:rPr>
                <w:rFonts w:hint="eastAsia" w:ascii="Times New Roman" w:hAnsi="Times New Roman" w:eastAsia="宋体" w:cs="宋体"/>
                <w:bCs/>
                <w:color w:val="000000"/>
                <w:sz w:val="21"/>
                <w:szCs w:val="21"/>
                <w:lang w:val="en-US" w:eastAsia="zh-CN" w:bidi="ar-SA"/>
              </w:rPr>
            </w:pPr>
            <w:r>
              <w:rPr>
                <w:rFonts w:hint="eastAsia" w:ascii="Times New Roman" w:hAnsi="Times New Roman" w:eastAsia="宋体" w:cs="宋体"/>
                <w:b/>
                <w:bCs/>
                <w:color w:val="000000"/>
                <w:sz w:val="21"/>
                <w:szCs w:val="21"/>
                <w:lang w:val="en-US" w:eastAsia="zh-CN" w:bidi="ar-SA"/>
              </w:rPr>
              <w:t>LO3 表达沟通:</w:t>
            </w:r>
            <w:r>
              <w:rPr>
                <w:rFonts w:hint="eastAsia" w:ascii="Times New Roman" w:hAnsi="Times New Roman" w:eastAsia="宋体" w:cs="宋体"/>
                <w:bCs/>
                <w:color w:val="000000"/>
                <w:sz w:val="21"/>
                <w:szCs w:val="21"/>
                <w:lang w:val="en-US" w:eastAsia="zh-CN" w:bidi="ar-SA"/>
              </w:rPr>
              <w:t>理解他人的观点，尊重他人的价值观，能在不同场合用书面或口头形式进行有效沟通。</w:t>
            </w:r>
          </w:p>
          <w:p w14:paraId="39CD8423">
            <w:pPr>
              <w:pStyle w:val="14"/>
              <w:widowControl w:val="0"/>
              <w:jc w:val="left"/>
              <w:rPr>
                <w:rFonts w:hint="eastAsia"/>
                <w:bCs/>
              </w:rPr>
            </w:pPr>
            <w:r>
              <w:rPr>
                <w:rFonts w:hint="eastAsia"/>
                <w:bCs/>
              </w:rPr>
              <w:t>①倾听他人意见、尊重他人观点、分析他人需求。</w:t>
            </w:r>
          </w:p>
          <w:p w14:paraId="41E7CAE0">
            <w:pPr>
              <w:pStyle w:val="14"/>
              <w:widowControl w:val="0"/>
              <w:jc w:val="left"/>
              <w:rPr>
                <w:rFonts w:hint="eastAsia" w:ascii="Times New Roman" w:hAnsi="Times New Roman" w:eastAsia="宋体" w:cs="宋体"/>
                <w:b/>
                <w:bCs/>
                <w:color w:val="000000"/>
                <w:sz w:val="21"/>
                <w:szCs w:val="21"/>
                <w:lang w:val="en-US" w:eastAsia="zh-CN" w:bidi="ar-SA"/>
              </w:rPr>
            </w:pPr>
            <w:r>
              <w:rPr>
                <w:rFonts w:hint="eastAsia"/>
                <w:bCs/>
              </w:rPr>
              <w:t>②应用书面或口头形式，阐释自己的观点，有效沟通。</w:t>
            </w:r>
          </w:p>
        </w:tc>
      </w:tr>
      <w:tr w14:paraId="11AD04D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4059B33">
            <w:pPr>
              <w:pStyle w:val="14"/>
              <w:widowControl w:val="0"/>
              <w:jc w:val="left"/>
              <w:rPr>
                <w:bCs/>
              </w:rPr>
            </w:pPr>
            <w:r>
              <w:rPr>
                <w:b/>
                <w:bCs/>
              </w:rPr>
              <w:t>LO6协同创新</w:t>
            </w:r>
            <w:r>
              <w:rPr>
                <w:bCs/>
              </w:rPr>
              <w:t>：同群体保持良好的合作关系，做集体中的积极成员，善于自我管理和团队管理；善于从多个维度思考问题，利用自己的知识与实践来提出新设想。</w:t>
            </w:r>
          </w:p>
          <w:p w14:paraId="19560176">
            <w:pPr>
              <w:pStyle w:val="14"/>
              <w:widowControl w:val="0"/>
              <w:jc w:val="left"/>
              <w:rPr>
                <w:rFonts w:eastAsia="MS Mincho"/>
                <w:bCs/>
              </w:rPr>
            </w:pPr>
            <w:r>
              <w:rPr>
                <w:rFonts w:hint="eastAsia"/>
                <w:bCs/>
              </w:rPr>
              <w:t>①</w:t>
            </w:r>
            <w:r>
              <w:rPr>
                <w:bCs/>
              </w:rPr>
              <w:t>在集体活动中能主动担任自己的角色，与其他成员密切合作，善于自我管理和团队管理，共同完成任务。</w:t>
            </w:r>
          </w:p>
        </w:tc>
      </w:tr>
      <w:tr w14:paraId="1E429CF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9D2554F">
            <w:pPr>
              <w:pStyle w:val="14"/>
              <w:widowControl w:val="0"/>
              <w:jc w:val="left"/>
              <w:rPr>
                <w:bCs/>
              </w:rPr>
            </w:pPr>
            <w:r>
              <w:rPr>
                <w:b/>
                <w:bCs/>
              </w:rPr>
              <w:t>LO8国际视野</w:t>
            </w:r>
            <w:r>
              <w:rPr>
                <w:bCs/>
              </w:rPr>
              <w:t>：具有基本的外语表达沟通能力与跨文化理解能力，有国际竞争与合作的意识。</w:t>
            </w:r>
          </w:p>
          <w:p w14:paraId="57311746">
            <w:pPr>
              <w:pStyle w:val="14"/>
              <w:widowControl w:val="0"/>
              <w:jc w:val="left"/>
              <w:rPr>
                <w:rFonts w:eastAsia="MS Mincho"/>
                <w:bCs/>
              </w:rPr>
            </w:pPr>
            <w:r>
              <w:rPr>
                <w:rFonts w:hint="eastAsia"/>
                <w:bCs/>
              </w:rPr>
              <w:t>②理解其他国家历史文化，有跨文化交流能力。</w:t>
            </w:r>
          </w:p>
        </w:tc>
      </w:tr>
    </w:tbl>
    <w:p w14:paraId="601DC169">
      <w:pPr>
        <w:pStyle w:val="17"/>
        <w:spacing w:before="163" w:beforeLines="50" w:after="163"/>
        <w:outlineLvl w:val="2"/>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A14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38443C3">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F8704EE">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5249B0C4">
            <w:pPr>
              <w:pStyle w:val="13"/>
              <w:rPr>
                <w:szCs w:val="16"/>
              </w:rPr>
            </w:pPr>
            <w:r>
              <w:rPr>
                <w:rFonts w:hint="eastAsia"/>
                <w:szCs w:val="16"/>
              </w:rPr>
              <w:t>支撑度</w:t>
            </w:r>
          </w:p>
        </w:tc>
        <w:tc>
          <w:tcPr>
            <w:tcW w:w="4763" w:type="dxa"/>
            <w:tcBorders>
              <w:top w:val="single" w:color="auto" w:sz="12" w:space="0"/>
            </w:tcBorders>
            <w:vAlign w:val="center"/>
          </w:tcPr>
          <w:p w14:paraId="29218E46">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0FB31850">
            <w:pPr>
              <w:pStyle w:val="13"/>
              <w:rPr>
                <w:szCs w:val="16"/>
              </w:rPr>
            </w:pPr>
            <w:r>
              <w:rPr>
                <w:rFonts w:hint="eastAsia"/>
                <w:szCs w:val="16"/>
              </w:rPr>
              <w:t>对指标点的贡献度</w:t>
            </w:r>
          </w:p>
        </w:tc>
      </w:tr>
      <w:tr w14:paraId="2F0C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77" w:type="dxa"/>
            <w:tcBorders>
              <w:left w:val="single" w:color="auto" w:sz="12" w:space="0"/>
              <w:right w:val="single" w:color="auto" w:sz="4" w:space="0"/>
            </w:tcBorders>
            <w:shd w:val="clear" w:color="auto" w:fill="auto"/>
            <w:vAlign w:val="center"/>
          </w:tcPr>
          <w:p w14:paraId="6A1EFFD3">
            <w:pPr>
              <w:pStyle w:val="14"/>
            </w:pPr>
            <w:r>
              <w:rPr>
                <w:b/>
                <w:bCs/>
              </w:rPr>
              <w:t>LO1</w:t>
            </w:r>
          </w:p>
        </w:tc>
        <w:tc>
          <w:tcPr>
            <w:tcW w:w="794" w:type="dxa"/>
            <w:tcBorders>
              <w:left w:val="single" w:color="auto" w:sz="4" w:space="0"/>
            </w:tcBorders>
            <w:vAlign w:val="center"/>
          </w:tcPr>
          <w:p w14:paraId="17528157">
            <w:pPr>
              <w:pStyle w:val="14"/>
              <w:rPr>
                <w:rFonts w:cs="Times New Roman"/>
                <w:bCs/>
              </w:rPr>
            </w:pPr>
            <w:r>
              <w:rPr>
                <w:rFonts w:hint="eastAsia"/>
                <w:bCs/>
              </w:rPr>
              <w:t>④</w:t>
            </w:r>
          </w:p>
        </w:tc>
        <w:tc>
          <w:tcPr>
            <w:tcW w:w="794" w:type="dxa"/>
            <w:tcBorders>
              <w:right w:val="double" w:color="auto" w:sz="4" w:space="0"/>
            </w:tcBorders>
            <w:shd w:val="clear" w:color="auto" w:fill="auto"/>
            <w:vAlign w:val="center"/>
          </w:tcPr>
          <w:p w14:paraId="4C2DE68F">
            <w:pPr>
              <w:pStyle w:val="14"/>
              <w:rPr>
                <w:rFonts w:ascii="宋体" w:hAnsi="宋体"/>
              </w:rPr>
            </w:pPr>
            <w:r>
              <w:rPr>
                <w:rFonts w:hint="eastAsia" w:ascii="宋体" w:hAnsi="宋体"/>
              </w:rPr>
              <w:t>M</w:t>
            </w:r>
          </w:p>
        </w:tc>
        <w:tc>
          <w:tcPr>
            <w:tcW w:w="4763" w:type="dxa"/>
            <w:vAlign w:val="center"/>
          </w:tcPr>
          <w:p w14:paraId="061AC3A7">
            <w:pPr>
              <w:pStyle w:val="14"/>
              <w:jc w:val="both"/>
              <w:rPr>
                <w:rFonts w:ascii="宋体" w:hAnsi="宋体"/>
                <w:bCs/>
              </w:rPr>
            </w:pPr>
            <w:r>
              <w:rPr>
                <w:rFonts w:hint="eastAsia" w:ascii="宋体" w:hAnsi="宋体"/>
                <w:spacing w:val="8"/>
                <w:shd w:val="clear" w:color="auto" w:fill="FFFFFF"/>
              </w:rPr>
              <w:t>勤奋努力学习，客观看待中日文化差异。</w:t>
            </w:r>
          </w:p>
        </w:tc>
        <w:tc>
          <w:tcPr>
            <w:tcW w:w="1348" w:type="dxa"/>
            <w:tcBorders>
              <w:right w:val="single" w:color="auto" w:sz="12" w:space="0"/>
            </w:tcBorders>
            <w:vAlign w:val="center"/>
          </w:tcPr>
          <w:p w14:paraId="2CF053B2">
            <w:pPr>
              <w:pStyle w:val="14"/>
              <w:rPr>
                <w:rFonts w:ascii="宋体" w:hAnsi="宋体"/>
                <w:bCs/>
              </w:rPr>
            </w:pPr>
            <w:r>
              <w:rPr>
                <w:rFonts w:hint="eastAsia" w:ascii="宋体" w:hAnsi="宋体"/>
                <w:bCs/>
              </w:rPr>
              <w:t>100%</w:t>
            </w:r>
          </w:p>
        </w:tc>
      </w:tr>
      <w:tr w14:paraId="3E5C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6C1A2B2A">
            <w:pPr>
              <w:pStyle w:val="14"/>
            </w:pPr>
            <w:r>
              <w:rPr>
                <w:b/>
                <w:bCs/>
              </w:rPr>
              <w:t>LO2</w:t>
            </w:r>
          </w:p>
        </w:tc>
        <w:tc>
          <w:tcPr>
            <w:tcW w:w="794" w:type="dxa"/>
            <w:vMerge w:val="restart"/>
            <w:tcBorders>
              <w:left w:val="single" w:color="auto" w:sz="4" w:space="0"/>
            </w:tcBorders>
            <w:vAlign w:val="center"/>
          </w:tcPr>
          <w:p w14:paraId="52B60632">
            <w:pPr>
              <w:pStyle w:val="14"/>
              <w:rPr>
                <w:rFonts w:cs="Times New Roman"/>
                <w:bCs/>
              </w:rPr>
            </w:pPr>
            <w:r>
              <w:rPr>
                <w:rFonts w:hint="eastAsia" w:eastAsia="MS Mincho"/>
                <w:bCs/>
              </w:rPr>
              <w:t>③</w:t>
            </w:r>
          </w:p>
        </w:tc>
        <w:tc>
          <w:tcPr>
            <w:tcW w:w="794" w:type="dxa"/>
            <w:vMerge w:val="restart"/>
            <w:tcBorders>
              <w:right w:val="double" w:color="auto" w:sz="4" w:space="0"/>
            </w:tcBorders>
            <w:shd w:val="clear" w:color="auto" w:fill="auto"/>
            <w:vAlign w:val="center"/>
          </w:tcPr>
          <w:p w14:paraId="34F92932">
            <w:pPr>
              <w:pStyle w:val="14"/>
              <w:rPr>
                <w:rFonts w:ascii="宋体" w:hAnsi="宋体"/>
              </w:rPr>
            </w:pPr>
            <w:r>
              <w:rPr>
                <w:rFonts w:hint="eastAsia" w:ascii="宋体" w:hAnsi="宋体"/>
              </w:rPr>
              <w:t>H</w:t>
            </w:r>
          </w:p>
        </w:tc>
        <w:tc>
          <w:tcPr>
            <w:tcW w:w="4763" w:type="dxa"/>
            <w:vAlign w:val="center"/>
          </w:tcPr>
          <w:p w14:paraId="7FC00858">
            <w:pPr>
              <w:pStyle w:val="14"/>
              <w:jc w:val="left"/>
              <w:rPr>
                <w:rFonts w:ascii="宋体" w:hAnsi="宋体"/>
                <w:bCs/>
              </w:rPr>
            </w:pPr>
            <w:r>
              <w:rPr>
                <w:rFonts w:hint="eastAsia" w:ascii="宋体" w:hAnsi="宋体"/>
                <w:spacing w:val="8"/>
                <w:shd w:val="clear" w:color="auto" w:fill="FFFFFF"/>
              </w:rPr>
              <w:t>通过对日本文化的学习，进一步掌握日语语言使用的规范性和准确性,从而更有效地进行交流。</w:t>
            </w:r>
          </w:p>
        </w:tc>
        <w:tc>
          <w:tcPr>
            <w:tcW w:w="1348" w:type="dxa"/>
            <w:tcBorders>
              <w:right w:val="single" w:color="auto" w:sz="12" w:space="0"/>
            </w:tcBorders>
            <w:vAlign w:val="center"/>
          </w:tcPr>
          <w:p w14:paraId="5A0B3A4F">
            <w:pPr>
              <w:pStyle w:val="14"/>
              <w:rPr>
                <w:rFonts w:ascii="宋体" w:hAnsi="宋体"/>
                <w:bCs/>
              </w:rPr>
            </w:pPr>
            <w:r>
              <w:rPr>
                <w:rFonts w:hint="eastAsia" w:ascii="宋体" w:hAnsi="宋体"/>
                <w:bCs/>
                <w:lang w:val="en-US" w:eastAsia="zh-CN"/>
              </w:rPr>
              <w:t>50</w:t>
            </w:r>
            <w:r>
              <w:rPr>
                <w:rFonts w:hint="eastAsia" w:ascii="宋体" w:hAnsi="宋体"/>
                <w:bCs/>
              </w:rPr>
              <w:t>%</w:t>
            </w:r>
          </w:p>
        </w:tc>
      </w:tr>
      <w:tr w14:paraId="398B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89D8B2D">
            <w:pPr>
              <w:pStyle w:val="14"/>
            </w:pPr>
          </w:p>
        </w:tc>
        <w:tc>
          <w:tcPr>
            <w:tcW w:w="794" w:type="dxa"/>
            <w:vMerge w:val="continue"/>
            <w:tcBorders>
              <w:left w:val="single" w:color="auto" w:sz="4" w:space="0"/>
            </w:tcBorders>
            <w:vAlign w:val="center"/>
          </w:tcPr>
          <w:p w14:paraId="6E4C917F">
            <w:pPr>
              <w:pStyle w:val="14"/>
              <w:rPr>
                <w:rFonts w:cs="Times New Roman"/>
                <w:bCs/>
              </w:rPr>
            </w:pPr>
          </w:p>
        </w:tc>
        <w:tc>
          <w:tcPr>
            <w:tcW w:w="794" w:type="dxa"/>
            <w:vMerge w:val="continue"/>
            <w:tcBorders>
              <w:right w:val="double" w:color="auto" w:sz="4" w:space="0"/>
            </w:tcBorders>
            <w:shd w:val="clear" w:color="auto" w:fill="auto"/>
            <w:vAlign w:val="center"/>
          </w:tcPr>
          <w:p w14:paraId="1CDE1871">
            <w:pPr>
              <w:pStyle w:val="14"/>
              <w:rPr>
                <w:rFonts w:ascii="宋体" w:hAnsi="宋体"/>
              </w:rPr>
            </w:pPr>
          </w:p>
        </w:tc>
        <w:tc>
          <w:tcPr>
            <w:tcW w:w="4763" w:type="dxa"/>
            <w:vAlign w:val="center"/>
          </w:tcPr>
          <w:p w14:paraId="2D0CD0DA">
            <w:pPr>
              <w:pStyle w:val="14"/>
              <w:jc w:val="left"/>
              <w:rPr>
                <w:rFonts w:ascii="宋体" w:hAnsi="宋体"/>
                <w:bCs/>
              </w:rPr>
            </w:pPr>
            <w:r>
              <w:rPr>
                <w:rFonts w:hint="eastAsia" w:ascii="宋体" w:hAnsi="宋体"/>
                <w:bCs/>
              </w:rPr>
              <w:t>能够解释手势和其他形式的体态语并且可以在交际过程中熟练地使用；在国际往来活动中能够较准确地使用目的语进行日常交际交流活动。</w:t>
            </w:r>
          </w:p>
        </w:tc>
        <w:tc>
          <w:tcPr>
            <w:tcW w:w="1348" w:type="dxa"/>
            <w:tcBorders>
              <w:right w:val="single" w:color="auto" w:sz="12" w:space="0"/>
            </w:tcBorders>
            <w:vAlign w:val="center"/>
          </w:tcPr>
          <w:p w14:paraId="3736900D">
            <w:pPr>
              <w:pStyle w:val="14"/>
              <w:rPr>
                <w:rFonts w:ascii="宋体" w:hAnsi="宋体"/>
                <w:bCs/>
              </w:rPr>
            </w:pPr>
            <w:r>
              <w:rPr>
                <w:rFonts w:hint="eastAsia" w:ascii="宋体" w:hAnsi="宋体"/>
                <w:bCs/>
                <w:lang w:val="en-US" w:eastAsia="zh-CN"/>
              </w:rPr>
              <w:t>30</w:t>
            </w:r>
            <w:r>
              <w:rPr>
                <w:rFonts w:hint="eastAsia" w:ascii="宋体" w:hAnsi="宋体"/>
                <w:bCs/>
              </w:rPr>
              <w:t>%</w:t>
            </w:r>
          </w:p>
        </w:tc>
      </w:tr>
      <w:tr w14:paraId="1771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4466027">
            <w:pPr>
              <w:pStyle w:val="14"/>
            </w:pPr>
          </w:p>
        </w:tc>
        <w:tc>
          <w:tcPr>
            <w:tcW w:w="794" w:type="dxa"/>
            <w:vMerge w:val="continue"/>
            <w:tcBorders>
              <w:left w:val="single" w:color="auto" w:sz="4" w:space="0"/>
            </w:tcBorders>
            <w:vAlign w:val="center"/>
          </w:tcPr>
          <w:p w14:paraId="7FE6E00C">
            <w:pPr>
              <w:pStyle w:val="14"/>
              <w:rPr>
                <w:rFonts w:cs="Times New Roman"/>
                <w:bCs/>
              </w:rPr>
            </w:pPr>
          </w:p>
        </w:tc>
        <w:tc>
          <w:tcPr>
            <w:tcW w:w="794" w:type="dxa"/>
            <w:vMerge w:val="continue"/>
            <w:tcBorders>
              <w:right w:val="double" w:color="auto" w:sz="4" w:space="0"/>
            </w:tcBorders>
            <w:shd w:val="clear" w:color="auto" w:fill="auto"/>
            <w:vAlign w:val="center"/>
          </w:tcPr>
          <w:p w14:paraId="7DFB35ED">
            <w:pPr>
              <w:pStyle w:val="14"/>
              <w:rPr>
                <w:rFonts w:ascii="宋体" w:hAnsi="宋体"/>
              </w:rPr>
            </w:pPr>
          </w:p>
        </w:tc>
        <w:tc>
          <w:tcPr>
            <w:tcW w:w="4763" w:type="dxa"/>
            <w:vAlign w:val="center"/>
          </w:tcPr>
          <w:p w14:paraId="02BA477B">
            <w:pPr>
              <w:pStyle w:val="14"/>
              <w:jc w:val="left"/>
              <w:rPr>
                <w:rFonts w:ascii="宋体" w:hAnsi="宋体"/>
                <w:bCs/>
              </w:rPr>
            </w:pPr>
            <w:r>
              <w:rPr>
                <w:rFonts w:hint="eastAsia" w:ascii="宋体" w:hAnsi="宋体"/>
                <w:spacing w:val="8"/>
                <w:shd w:val="clear" w:color="auto" w:fill="FFFFFF"/>
              </w:rPr>
              <w:t>培养、提高学生的日语口语表达能力和跨文化交际能力。</w:t>
            </w:r>
          </w:p>
        </w:tc>
        <w:tc>
          <w:tcPr>
            <w:tcW w:w="1348" w:type="dxa"/>
            <w:tcBorders>
              <w:right w:val="single" w:color="auto" w:sz="12" w:space="0"/>
            </w:tcBorders>
            <w:vAlign w:val="center"/>
          </w:tcPr>
          <w:p w14:paraId="1761611B">
            <w:pPr>
              <w:pStyle w:val="14"/>
              <w:rPr>
                <w:rFonts w:ascii="宋体" w:hAnsi="宋体"/>
                <w:bCs/>
              </w:rPr>
            </w:pPr>
            <w:r>
              <w:rPr>
                <w:rFonts w:hint="eastAsia" w:ascii="宋体" w:hAnsi="宋体"/>
                <w:bCs/>
                <w:lang w:val="en-US" w:eastAsia="zh-CN"/>
              </w:rPr>
              <w:t>20</w:t>
            </w:r>
            <w:r>
              <w:rPr>
                <w:rFonts w:hint="eastAsia" w:ascii="宋体" w:hAnsi="宋体"/>
                <w:bCs/>
              </w:rPr>
              <w:t>%</w:t>
            </w:r>
          </w:p>
        </w:tc>
      </w:tr>
      <w:tr w14:paraId="789A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88" w:hRule="atLeast"/>
          <w:jc w:val="center"/>
        </w:trPr>
        <w:tc>
          <w:tcPr>
            <w:tcW w:w="777" w:type="dxa"/>
            <w:tcBorders>
              <w:left w:val="single" w:color="auto" w:sz="12" w:space="0"/>
              <w:right w:val="single" w:color="auto" w:sz="4" w:space="0"/>
            </w:tcBorders>
            <w:shd w:val="clear" w:color="auto" w:fill="auto"/>
            <w:vAlign w:val="center"/>
          </w:tcPr>
          <w:p w14:paraId="0111CA0E">
            <w:pPr>
              <w:pStyle w:val="14"/>
            </w:pPr>
            <w:r>
              <w:rPr>
                <w:rFonts w:hint="eastAsia" w:ascii="Times New Roman" w:hAnsi="Times New Roman" w:eastAsia="宋体" w:cs="宋体"/>
                <w:b/>
                <w:bCs/>
                <w:color w:val="000000"/>
                <w:sz w:val="21"/>
                <w:szCs w:val="21"/>
                <w:lang w:val="en-US" w:eastAsia="zh-CN" w:bidi="ar-SA"/>
              </w:rPr>
              <w:t xml:space="preserve">LO3 </w:t>
            </w:r>
          </w:p>
        </w:tc>
        <w:tc>
          <w:tcPr>
            <w:tcW w:w="794" w:type="dxa"/>
            <w:tcBorders>
              <w:left w:val="single" w:color="auto" w:sz="4" w:space="0"/>
            </w:tcBorders>
            <w:vAlign w:val="center"/>
          </w:tcPr>
          <w:p w14:paraId="229796AA">
            <w:pPr>
              <w:pStyle w:val="14"/>
              <w:rPr>
                <w:rFonts w:cs="Times New Roman"/>
                <w:bCs/>
              </w:rPr>
            </w:pPr>
            <w:r>
              <w:rPr>
                <w:rFonts w:hint="eastAsia" w:eastAsia="MS Mincho" w:cs="Times New Roman"/>
                <w:bCs/>
                <w:lang w:eastAsia="ja-JP"/>
              </w:rPr>
              <w:t>①</w:t>
            </w:r>
          </w:p>
        </w:tc>
        <w:tc>
          <w:tcPr>
            <w:tcW w:w="794" w:type="dxa"/>
            <w:tcBorders>
              <w:right w:val="double" w:color="auto" w:sz="4" w:space="0"/>
            </w:tcBorders>
            <w:shd w:val="clear" w:color="auto" w:fill="auto"/>
            <w:vAlign w:val="center"/>
          </w:tcPr>
          <w:p w14:paraId="370BCB40">
            <w:pPr>
              <w:pStyle w:val="14"/>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0037574C">
            <w:pPr>
              <w:pStyle w:val="14"/>
              <w:jc w:val="left"/>
              <w:rPr>
                <w:rFonts w:hint="eastAsia" w:ascii="宋体" w:hAnsi="宋体"/>
                <w:spacing w:val="8"/>
                <w:shd w:val="clear" w:color="auto" w:fill="FFFFFF"/>
              </w:rPr>
            </w:pPr>
            <w:r>
              <w:rPr>
                <w:rFonts w:hint="eastAsia"/>
                <w:bCs/>
              </w:rPr>
              <w:t>了解中日两国的社会、文化及中日文化差异，</w:t>
            </w:r>
            <w:r>
              <w:t>取长补短，提高个人素质</w:t>
            </w:r>
          </w:p>
        </w:tc>
        <w:tc>
          <w:tcPr>
            <w:tcW w:w="1348" w:type="dxa"/>
            <w:tcBorders>
              <w:right w:val="single" w:color="auto" w:sz="12" w:space="0"/>
            </w:tcBorders>
            <w:vAlign w:val="center"/>
          </w:tcPr>
          <w:p w14:paraId="7BC15A52">
            <w:pPr>
              <w:pStyle w:val="14"/>
              <w:rPr>
                <w:rFonts w:hint="default" w:ascii="宋体" w:hAnsi="宋体"/>
                <w:bCs/>
                <w:lang w:val="en-US" w:eastAsia="zh-CN"/>
              </w:rPr>
            </w:pPr>
            <w:r>
              <w:rPr>
                <w:rFonts w:hint="eastAsia" w:ascii="宋体" w:hAnsi="宋体"/>
                <w:bCs/>
                <w:lang w:val="en-US" w:eastAsia="zh-CN"/>
              </w:rPr>
              <w:t>100%</w:t>
            </w:r>
          </w:p>
        </w:tc>
      </w:tr>
      <w:tr w14:paraId="1608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4" w:space="0"/>
              <w:right w:val="single" w:color="auto" w:sz="4" w:space="0"/>
            </w:tcBorders>
            <w:shd w:val="clear" w:color="auto" w:fill="auto"/>
            <w:vAlign w:val="center"/>
          </w:tcPr>
          <w:p w14:paraId="7C0717DA">
            <w:pPr>
              <w:pStyle w:val="14"/>
            </w:pPr>
            <w:r>
              <w:rPr>
                <w:b/>
                <w:bCs/>
              </w:rPr>
              <w:t>LO6</w:t>
            </w:r>
          </w:p>
        </w:tc>
        <w:tc>
          <w:tcPr>
            <w:tcW w:w="794" w:type="dxa"/>
            <w:tcBorders>
              <w:left w:val="single" w:color="auto" w:sz="4" w:space="0"/>
              <w:bottom w:val="single" w:color="auto" w:sz="4" w:space="0"/>
            </w:tcBorders>
            <w:vAlign w:val="center"/>
          </w:tcPr>
          <w:p w14:paraId="0E84D6A7">
            <w:pPr>
              <w:pStyle w:val="14"/>
              <w:rPr>
                <w:rFonts w:eastAsia="MS Mincho" w:cs="Times New Roman"/>
                <w:bCs/>
                <w:lang w:eastAsia="ja-JP"/>
              </w:rPr>
            </w:pPr>
            <w:r>
              <w:rPr>
                <w:rFonts w:hint="eastAsia" w:eastAsia="MS Mincho" w:cs="Times New Roman"/>
                <w:bCs/>
                <w:lang w:eastAsia="ja-JP"/>
              </w:rPr>
              <w:t>①</w:t>
            </w:r>
          </w:p>
        </w:tc>
        <w:tc>
          <w:tcPr>
            <w:tcW w:w="794" w:type="dxa"/>
            <w:tcBorders>
              <w:bottom w:val="single" w:color="auto" w:sz="4" w:space="0"/>
              <w:right w:val="double" w:color="auto" w:sz="4" w:space="0"/>
            </w:tcBorders>
            <w:shd w:val="clear" w:color="auto" w:fill="auto"/>
            <w:vAlign w:val="center"/>
          </w:tcPr>
          <w:p w14:paraId="7CC78A88">
            <w:pPr>
              <w:pStyle w:val="14"/>
              <w:rPr>
                <w:rFonts w:ascii="宋体" w:hAnsi="宋体"/>
              </w:rPr>
            </w:pPr>
            <w:r>
              <w:rPr>
                <w:rFonts w:hint="eastAsia" w:ascii="宋体" w:hAnsi="宋体"/>
              </w:rPr>
              <w:t>L</w:t>
            </w:r>
          </w:p>
        </w:tc>
        <w:tc>
          <w:tcPr>
            <w:tcW w:w="4763" w:type="dxa"/>
            <w:tcBorders>
              <w:bottom w:val="single" w:color="auto" w:sz="4" w:space="0"/>
            </w:tcBorders>
            <w:vAlign w:val="center"/>
          </w:tcPr>
          <w:p w14:paraId="4DB4789D">
            <w:pPr>
              <w:pStyle w:val="14"/>
              <w:jc w:val="left"/>
              <w:rPr>
                <w:rFonts w:ascii="宋体" w:hAnsi="宋体"/>
                <w:bCs/>
              </w:rPr>
            </w:pPr>
            <w:r>
              <w:rPr>
                <w:rFonts w:hint="eastAsia" w:ascii="宋体" w:hAnsi="宋体"/>
                <w:bCs/>
              </w:rPr>
              <w:t>培养团队协作精神，精心设计的组队内容，让学生通过配合明白人多力量大，聚焦向心力，明白一致向内的重要性。通过组织团队相互质询与评议锻炼团队协作的能力，接受他人批评。</w:t>
            </w:r>
          </w:p>
        </w:tc>
        <w:tc>
          <w:tcPr>
            <w:tcW w:w="1348" w:type="dxa"/>
            <w:tcBorders>
              <w:bottom w:val="single" w:color="auto" w:sz="4" w:space="0"/>
              <w:right w:val="single" w:color="auto" w:sz="12" w:space="0"/>
            </w:tcBorders>
            <w:vAlign w:val="center"/>
          </w:tcPr>
          <w:p w14:paraId="1C72AF3C">
            <w:pPr>
              <w:pStyle w:val="14"/>
              <w:rPr>
                <w:rFonts w:ascii="宋体" w:hAnsi="宋体"/>
                <w:bCs/>
              </w:rPr>
            </w:pPr>
            <w:r>
              <w:rPr>
                <w:rFonts w:hint="eastAsia" w:ascii="宋体" w:hAnsi="宋体"/>
                <w:bCs/>
              </w:rPr>
              <w:t>100%</w:t>
            </w:r>
          </w:p>
        </w:tc>
      </w:tr>
      <w:tr w14:paraId="2542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3320D9FE">
            <w:pPr>
              <w:pStyle w:val="14"/>
            </w:pPr>
            <w:r>
              <w:rPr>
                <w:b/>
                <w:bCs/>
              </w:rPr>
              <w:t>LO8</w:t>
            </w:r>
          </w:p>
        </w:tc>
        <w:tc>
          <w:tcPr>
            <w:tcW w:w="794" w:type="dxa"/>
            <w:tcBorders>
              <w:left w:val="single" w:color="auto" w:sz="4" w:space="0"/>
              <w:bottom w:val="single" w:color="auto" w:sz="12" w:space="0"/>
            </w:tcBorders>
            <w:vAlign w:val="center"/>
          </w:tcPr>
          <w:p w14:paraId="30CEB5CE">
            <w:pPr>
              <w:pStyle w:val="14"/>
              <w:rPr>
                <w:rFonts w:cs="Times New Roman"/>
                <w:bCs/>
              </w:rPr>
            </w:pPr>
            <w:r>
              <w:rPr>
                <w:rFonts w:hint="eastAsia" w:ascii="MS Mincho" w:hAnsi="MS Mincho" w:eastAsia="MS Mincho" w:cs="Times New Roman"/>
                <w:bCs/>
                <w:lang w:eastAsia="ja-JP"/>
              </w:rPr>
              <w:t>①</w:t>
            </w:r>
          </w:p>
        </w:tc>
        <w:tc>
          <w:tcPr>
            <w:tcW w:w="794" w:type="dxa"/>
            <w:tcBorders>
              <w:bottom w:val="single" w:color="auto" w:sz="12" w:space="0"/>
              <w:right w:val="double" w:color="auto" w:sz="4" w:space="0"/>
            </w:tcBorders>
            <w:shd w:val="clear" w:color="auto" w:fill="auto"/>
            <w:vAlign w:val="center"/>
          </w:tcPr>
          <w:p w14:paraId="40A01B9E">
            <w:pPr>
              <w:pStyle w:val="14"/>
              <w:rPr>
                <w:rFonts w:ascii="宋体" w:hAnsi="宋体"/>
              </w:rPr>
            </w:pPr>
            <w:r>
              <w:rPr>
                <w:rFonts w:hint="eastAsia" w:ascii="宋体" w:hAnsi="宋体"/>
              </w:rPr>
              <w:t>H</w:t>
            </w:r>
          </w:p>
        </w:tc>
        <w:tc>
          <w:tcPr>
            <w:tcW w:w="4763" w:type="dxa"/>
            <w:tcBorders>
              <w:bottom w:val="single" w:color="auto" w:sz="12" w:space="0"/>
            </w:tcBorders>
            <w:vAlign w:val="center"/>
          </w:tcPr>
          <w:p w14:paraId="59D2AABF">
            <w:pPr>
              <w:pStyle w:val="14"/>
              <w:rPr>
                <w:rFonts w:ascii="宋体" w:hAnsi="宋体"/>
                <w:bCs/>
              </w:rPr>
            </w:pPr>
            <w:r>
              <w:rPr>
                <w:rFonts w:hint="eastAsia" w:ascii="宋体" w:hAnsi="宋体"/>
                <w:bCs/>
              </w:rPr>
              <w:t>培养思辨能力，通过与中国企业有关丰富的案例来了解跨文化交际过程中的文化冲突，不要从单一面去思考国际问题，要学会理性分析。</w:t>
            </w:r>
          </w:p>
        </w:tc>
        <w:tc>
          <w:tcPr>
            <w:tcW w:w="1348" w:type="dxa"/>
            <w:tcBorders>
              <w:bottom w:val="single" w:color="auto" w:sz="12" w:space="0"/>
              <w:right w:val="single" w:color="auto" w:sz="12" w:space="0"/>
            </w:tcBorders>
            <w:vAlign w:val="center"/>
          </w:tcPr>
          <w:p w14:paraId="5066863C">
            <w:pPr>
              <w:pStyle w:val="14"/>
              <w:rPr>
                <w:rFonts w:ascii="宋体" w:hAnsi="宋体"/>
                <w:bCs/>
              </w:rPr>
            </w:pPr>
            <w:r>
              <w:rPr>
                <w:rFonts w:hint="eastAsia" w:ascii="宋体" w:hAnsi="宋体"/>
                <w:bCs/>
              </w:rPr>
              <w:t>100%</w:t>
            </w:r>
          </w:p>
        </w:tc>
      </w:tr>
    </w:tbl>
    <w:p w14:paraId="26C7989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2CCB6B7">
      <w:pPr>
        <w:pStyle w:val="17"/>
        <w:spacing w:before="81" w:after="163"/>
        <w:outlineLvl w:val="2"/>
      </w:pPr>
      <w:bookmarkStart w:id="0" w:name="_Toc163583778"/>
      <w:r>
        <w:rPr>
          <w:rFonts w:hint="eastAsia"/>
        </w:rPr>
        <w:t>（一）各教学单元预期学习成果与教学内容</w:t>
      </w:r>
      <w:bookmarkEnd w:id="0"/>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870"/>
        <w:gridCol w:w="1797"/>
        <w:gridCol w:w="2342"/>
      </w:tblGrid>
      <w:tr w14:paraId="286FA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tcPr>
          <w:p w14:paraId="6620CE7B">
            <w:pPr>
              <w:pStyle w:val="13"/>
              <w:widowControl w:val="0"/>
              <w:rPr>
                <w:rFonts w:ascii="黑体" w:hAnsi="黑体"/>
                <w:szCs w:val="18"/>
              </w:rPr>
            </w:pPr>
            <w:r>
              <w:rPr>
                <w:rFonts w:hint="eastAsia" w:ascii="黑体" w:hAnsi="黑体"/>
                <w:szCs w:val="18"/>
              </w:rPr>
              <w:t>教学单元</w:t>
            </w:r>
          </w:p>
        </w:tc>
        <w:tc>
          <w:tcPr>
            <w:tcW w:w="2870" w:type="dxa"/>
          </w:tcPr>
          <w:p w14:paraId="4DB348C8">
            <w:pPr>
              <w:pStyle w:val="13"/>
              <w:widowControl w:val="0"/>
              <w:rPr>
                <w:rFonts w:ascii="黑体" w:hAnsi="黑体"/>
                <w:szCs w:val="18"/>
              </w:rPr>
            </w:pPr>
            <w:r>
              <w:rPr>
                <w:rFonts w:hint="eastAsia" w:ascii="黑体" w:hAnsi="黑体"/>
                <w:szCs w:val="18"/>
              </w:rPr>
              <w:t>预期学习成果</w:t>
            </w:r>
          </w:p>
        </w:tc>
        <w:tc>
          <w:tcPr>
            <w:tcW w:w="1797" w:type="dxa"/>
          </w:tcPr>
          <w:p w14:paraId="03DBA0DD">
            <w:pPr>
              <w:pStyle w:val="13"/>
              <w:widowControl w:val="0"/>
              <w:rPr>
                <w:rFonts w:ascii="黑体" w:hAnsi="黑体"/>
                <w:szCs w:val="18"/>
              </w:rPr>
            </w:pPr>
            <w:r>
              <w:rPr>
                <w:rFonts w:hint="eastAsia" w:ascii="黑体" w:hAnsi="黑体"/>
                <w:szCs w:val="18"/>
              </w:rPr>
              <w:t>核心知识点</w:t>
            </w:r>
          </w:p>
        </w:tc>
        <w:tc>
          <w:tcPr>
            <w:tcW w:w="2342" w:type="dxa"/>
          </w:tcPr>
          <w:p w14:paraId="3C9343D0">
            <w:pPr>
              <w:pStyle w:val="13"/>
              <w:widowControl w:val="0"/>
              <w:rPr>
                <w:rFonts w:ascii="黑体" w:hAnsi="黑体"/>
                <w:szCs w:val="18"/>
              </w:rPr>
            </w:pPr>
            <w:r>
              <w:rPr>
                <w:rFonts w:hint="eastAsia" w:ascii="黑体" w:hAnsi="黑体"/>
                <w:szCs w:val="18"/>
              </w:rPr>
              <w:t>能力要求</w:t>
            </w:r>
          </w:p>
        </w:tc>
      </w:tr>
      <w:tr w14:paraId="22882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2F2CE8A">
            <w:pPr>
              <w:pStyle w:val="14"/>
              <w:widowControl w:val="0"/>
              <w:jc w:val="both"/>
              <w:rPr>
                <w:rFonts w:ascii="宋体" w:hAnsi="宋体"/>
                <w:bCs/>
                <w:lang w:eastAsia="ja-JP"/>
              </w:rPr>
            </w:pPr>
            <w:r>
              <w:rPr>
                <w:rFonts w:hint="eastAsia" w:ascii="Helvetica Neue" w:hAnsi="Helvetica Neue"/>
                <w:color w:val="333333"/>
                <w:shd w:val="clear" w:color="auto" w:fill="FFFFFF"/>
                <w:lang w:eastAsia="ja-JP"/>
              </w:rPr>
              <w:t xml:space="preserve">第一单元 </w:t>
            </w:r>
            <w:r>
              <w:rPr>
                <w:rFonts w:ascii="Helvetica Neue" w:hAnsi="Helvetica Neue"/>
                <w:color w:val="333333"/>
                <w:shd w:val="clear" w:color="auto" w:fill="FFFFFF"/>
                <w:lang w:eastAsia="ja-JP"/>
              </w:rPr>
              <w:t>異文化コミュニケーションとは</w:t>
            </w:r>
            <w:r>
              <w:rPr>
                <w:rFonts w:hint="eastAsia" w:asciiTheme="majorEastAsia" w:hAnsiTheme="majorEastAsia" w:eastAsiaTheme="minorEastAsia"/>
                <w:lang w:eastAsia="ja-JP"/>
              </w:rPr>
              <w:t>1-</w:t>
            </w:r>
            <w:r>
              <w:rPr>
                <w:rFonts w:asciiTheme="majorEastAsia" w:hAnsiTheme="majorEastAsia" w:eastAsiaTheme="minorEastAsia"/>
                <w:lang w:eastAsia="ja-JP"/>
              </w:rPr>
              <w:t>2</w:t>
            </w:r>
          </w:p>
        </w:tc>
        <w:tc>
          <w:tcPr>
            <w:tcW w:w="2870" w:type="dxa"/>
            <w:vAlign w:val="center"/>
          </w:tcPr>
          <w:p w14:paraId="06EC2518">
            <w:pPr>
              <w:pStyle w:val="14"/>
              <w:widowControl w:val="0"/>
              <w:jc w:val="both"/>
              <w:rPr>
                <w:rFonts w:ascii="宋体" w:hAnsi="宋体"/>
                <w:bCs/>
              </w:rPr>
            </w:pPr>
            <w:r>
              <w:rPr>
                <w:rFonts w:hint="eastAsia" w:ascii="宋体" w:hAnsi="宋体"/>
                <w:bCs/>
              </w:rPr>
              <w:t>了解在全球一体化的社会中，不同文化间的接触形态多种多样。并且，在不同社会和文化的的熏陶下，会形成不同的习惯和规则。跨文化包含语言交流与非语言交流。</w:t>
            </w:r>
          </w:p>
        </w:tc>
        <w:tc>
          <w:tcPr>
            <w:tcW w:w="1797" w:type="dxa"/>
            <w:vAlign w:val="center"/>
          </w:tcPr>
          <w:p w14:paraId="45410EE5">
            <w:pPr>
              <w:pStyle w:val="14"/>
              <w:widowControl w:val="0"/>
              <w:jc w:val="both"/>
              <w:rPr>
                <w:rFonts w:ascii="宋体" w:hAnsi="宋体"/>
                <w:bCs/>
              </w:rPr>
            </w:pPr>
            <w:r>
              <w:rPr>
                <w:rFonts w:hint="eastAsia" w:ascii="宋体" w:hAnsi="宋体"/>
                <w:bCs/>
              </w:rPr>
              <w:t>学习重点语法和单词，促进阅读和会话能力。思考跨文化交际的含义和本质。</w:t>
            </w:r>
          </w:p>
        </w:tc>
        <w:tc>
          <w:tcPr>
            <w:tcW w:w="2342" w:type="dxa"/>
            <w:vAlign w:val="center"/>
          </w:tcPr>
          <w:p w14:paraId="6BA4DC64">
            <w:pPr>
              <w:pStyle w:val="14"/>
              <w:widowControl w:val="0"/>
              <w:jc w:val="both"/>
              <w:rPr>
                <w:rFonts w:ascii="宋体" w:hAnsi="宋体"/>
                <w:bCs/>
              </w:rPr>
            </w:pPr>
            <w:r>
              <w:rPr>
                <w:rFonts w:ascii="宋体" w:hAnsi="宋体"/>
                <w:bCs/>
              </w:rPr>
              <w:t>掌握</w:t>
            </w:r>
            <w:r>
              <w:rPr>
                <w:rFonts w:hint="eastAsia" w:ascii="宋体" w:hAnsi="宋体"/>
                <w:bCs/>
              </w:rPr>
              <w:t>：</w:t>
            </w:r>
          </w:p>
          <w:p w14:paraId="6267688F">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（2）通过情景演绎掌握基本应对方法</w:t>
            </w:r>
          </w:p>
          <w:p w14:paraId="4EA4D9CA">
            <w:pPr>
              <w:pStyle w:val="14"/>
              <w:widowControl w:val="0"/>
              <w:jc w:val="both"/>
              <w:rPr>
                <w:rFonts w:ascii="宋体" w:hAnsi="宋体"/>
                <w:bCs/>
              </w:rPr>
            </w:pPr>
            <w:r>
              <w:rPr>
                <w:rFonts w:hint="eastAsia" w:ascii="宋体" w:hAnsi="宋体"/>
                <w:bCs/>
              </w:rPr>
              <w:t>（3）正向思辨案例，分析案例。</w:t>
            </w:r>
          </w:p>
        </w:tc>
      </w:tr>
      <w:tr w14:paraId="79C3C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AC30E0B">
            <w:pPr>
              <w:pStyle w:val="14"/>
              <w:widowControl w:val="0"/>
              <w:jc w:val="left"/>
              <w:rPr>
                <w:rFonts w:ascii="宋体" w:hAnsi="宋体"/>
                <w:bCs/>
                <w:lang w:eastAsia="ja-JP"/>
              </w:rPr>
            </w:pPr>
            <w:r>
              <w:rPr>
                <w:rFonts w:hint="eastAsia" w:ascii="宋体" w:hAnsi="宋体"/>
                <w:bCs/>
                <w:lang w:eastAsia="ja-JP"/>
              </w:rPr>
              <w:t>第二单元</w:t>
            </w:r>
            <w:r>
              <w:rPr>
                <w:rFonts w:hint="eastAsia" w:eastAsia="MS Mincho" w:asciiTheme="majorEastAsia" w:hAnsiTheme="majorEastAsia"/>
                <w:lang w:eastAsia="ja-JP"/>
              </w:rPr>
              <w:t>中日間のコミュニケーション</w:t>
            </w:r>
            <w:r>
              <w:rPr>
                <w:rFonts w:hint="eastAsia" w:eastAsia="MS Mincho" w:asciiTheme="minorEastAsia" w:hAnsiTheme="minorEastAsia"/>
                <w:lang w:eastAsia="ja-JP"/>
              </w:rPr>
              <w:t>・</w:t>
            </w:r>
            <w:r>
              <w:rPr>
                <w:rFonts w:eastAsia="MS Mincho" w:asciiTheme="majorEastAsia" w:hAnsiTheme="majorEastAsia"/>
                <w:lang w:eastAsia="ja-JP"/>
              </w:rPr>
              <w:t>ギャップ</w:t>
            </w:r>
            <w:r>
              <w:rPr>
                <w:rFonts w:hint="eastAsia" w:eastAsia="MS Mincho" w:asciiTheme="majorEastAsia" w:hAnsiTheme="majorEastAsia"/>
                <w:lang w:eastAsia="ja-JP"/>
              </w:rPr>
              <w:t>異文化コミュニケーション・</w:t>
            </w:r>
            <w:r>
              <w:rPr>
                <w:rFonts w:eastAsia="MS Mincho" w:asciiTheme="majorEastAsia" w:hAnsiTheme="majorEastAsia"/>
                <w:lang w:eastAsia="ja-JP"/>
              </w:rPr>
              <w:t>ギャップとは</w:t>
            </w:r>
            <w:r>
              <w:rPr>
                <w:rFonts w:hint="eastAsia" w:eastAsia="MS Mincho" w:asciiTheme="majorEastAsia" w:hAnsiTheme="majorEastAsia"/>
                <w:lang w:eastAsia="ja-JP"/>
              </w:rPr>
              <w:t>３－４</w:t>
            </w:r>
          </w:p>
        </w:tc>
        <w:tc>
          <w:tcPr>
            <w:tcW w:w="2870" w:type="dxa"/>
            <w:vAlign w:val="center"/>
          </w:tcPr>
          <w:p w14:paraId="0B38CAFD">
            <w:pPr>
              <w:pStyle w:val="14"/>
              <w:widowControl w:val="0"/>
              <w:jc w:val="both"/>
              <w:rPr>
                <w:rFonts w:ascii="宋体" w:hAnsi="宋体"/>
                <w:bCs/>
              </w:rPr>
            </w:pPr>
            <w:r>
              <w:rPr>
                <w:rFonts w:hint="eastAsia" w:ascii="宋体" w:hAnsi="宋体"/>
                <w:bCs/>
              </w:rPr>
              <w:t>通过案例分辨出中日文化差异所在，理解并尊重他国文化。掌握“刻板印象”这一知识点，开始学会改善自己对他人他物的刻板印象。</w:t>
            </w:r>
          </w:p>
        </w:tc>
        <w:tc>
          <w:tcPr>
            <w:tcW w:w="1797" w:type="dxa"/>
            <w:vAlign w:val="center"/>
          </w:tcPr>
          <w:p w14:paraId="79E50016">
            <w:pPr>
              <w:pStyle w:val="14"/>
              <w:widowControl w:val="0"/>
              <w:jc w:val="both"/>
              <w:rPr>
                <w:rFonts w:ascii="宋体" w:hAnsi="宋体"/>
                <w:bCs/>
              </w:rPr>
            </w:pPr>
            <w:r>
              <w:rPr>
                <w:rFonts w:hint="eastAsia" w:ascii="宋体" w:hAnsi="宋体"/>
                <w:bCs/>
              </w:rPr>
              <w:t>学习重点语法和单词，促进阅读和会话能力。掌握不同场景下的交流方法，了解禁忌。</w:t>
            </w:r>
          </w:p>
        </w:tc>
        <w:tc>
          <w:tcPr>
            <w:tcW w:w="2342" w:type="dxa"/>
            <w:vAlign w:val="center"/>
          </w:tcPr>
          <w:p w14:paraId="582D3C45">
            <w:pPr>
              <w:pStyle w:val="14"/>
              <w:widowControl w:val="0"/>
              <w:jc w:val="both"/>
              <w:rPr>
                <w:rFonts w:ascii="宋体" w:hAnsi="宋体"/>
                <w:bCs/>
              </w:rPr>
            </w:pPr>
            <w:r>
              <w:rPr>
                <w:rFonts w:ascii="宋体" w:hAnsi="宋体"/>
                <w:bCs/>
              </w:rPr>
              <w:t>掌握</w:t>
            </w:r>
            <w:r>
              <w:rPr>
                <w:rFonts w:hint="eastAsia" w:ascii="宋体" w:hAnsi="宋体"/>
                <w:bCs/>
              </w:rPr>
              <w:t>：</w:t>
            </w:r>
          </w:p>
          <w:p w14:paraId="44108A2C">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（2）能够用日语举例自己对人或事物的刻板印象</w:t>
            </w:r>
          </w:p>
        </w:tc>
      </w:tr>
      <w:tr w14:paraId="1677F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3F01A000">
            <w:pPr>
              <w:pStyle w:val="14"/>
              <w:widowControl w:val="0"/>
              <w:jc w:val="both"/>
              <w:rPr>
                <w:rFonts w:ascii="宋体" w:hAnsi="宋体"/>
                <w:bCs/>
                <w:lang w:eastAsia="ja-JP"/>
              </w:rPr>
            </w:pPr>
            <w:r>
              <w:rPr>
                <w:rFonts w:hint="eastAsia" w:ascii="宋体" w:hAnsi="宋体"/>
                <w:bCs/>
                <w:lang w:eastAsia="ja-JP"/>
              </w:rPr>
              <w:t>第三单元</w:t>
            </w:r>
            <w:r>
              <w:rPr>
                <w:rFonts w:hint="eastAsia"/>
                <w:lang w:eastAsia="ja-JP"/>
              </w:rPr>
              <w:t>異文化コミュニケーションのポライトネスポライトネスとは</w:t>
            </w:r>
            <w:r>
              <w:rPr>
                <w:rFonts w:hint="eastAsia" w:ascii="MS Mincho" w:hAnsi="MS Mincho" w:eastAsia="MS Mincho"/>
                <w:lang w:eastAsia="ja-JP"/>
              </w:rPr>
              <w:t>５</w:t>
            </w:r>
          </w:p>
        </w:tc>
        <w:tc>
          <w:tcPr>
            <w:tcW w:w="2870" w:type="dxa"/>
            <w:vAlign w:val="center"/>
          </w:tcPr>
          <w:p w14:paraId="7A1E0D95">
            <w:pPr>
              <w:pStyle w:val="14"/>
              <w:widowControl w:val="0"/>
              <w:jc w:val="both"/>
              <w:rPr>
                <w:rFonts w:ascii="宋体" w:hAnsi="宋体"/>
                <w:bCs/>
              </w:rPr>
            </w:pPr>
            <w:r>
              <w:rPr>
                <w:rFonts w:hint="eastAsia" w:ascii="宋体" w:hAnsi="宋体"/>
                <w:bCs/>
              </w:rPr>
              <w:t>掌握“礼貌策略</w:t>
            </w:r>
            <w:r>
              <w:rPr>
                <w:rFonts w:ascii="宋体" w:hAnsi="宋体"/>
                <w:bCs/>
              </w:rPr>
              <w:t>”</w:t>
            </w:r>
            <w:r>
              <w:rPr>
                <w:rFonts w:hint="eastAsia" w:ascii="宋体" w:hAnsi="宋体"/>
                <w:bCs/>
              </w:rPr>
              <w:t>，明白中日之间在礼貌原则方面认识存在一定差异，并且能够察觉出造成差异的原因。同时自主思考除了中日，其他国家和中国，以及自己与与他人的一些礼貌原则差异。</w:t>
            </w:r>
          </w:p>
        </w:tc>
        <w:tc>
          <w:tcPr>
            <w:tcW w:w="1797" w:type="dxa"/>
            <w:vAlign w:val="center"/>
          </w:tcPr>
          <w:p w14:paraId="659A08F4">
            <w:pPr>
              <w:pStyle w:val="14"/>
              <w:widowControl w:val="0"/>
              <w:jc w:val="both"/>
              <w:rPr>
                <w:rFonts w:ascii="宋体" w:hAnsi="宋体"/>
                <w:bCs/>
              </w:rPr>
            </w:pPr>
            <w:r>
              <w:rPr>
                <w:rFonts w:hint="eastAsia" w:ascii="宋体" w:hAnsi="宋体"/>
                <w:bCs/>
              </w:rPr>
              <w:t>学习礼貌策略中的惯用词语和句子，注意遣词造句。</w:t>
            </w:r>
          </w:p>
        </w:tc>
        <w:tc>
          <w:tcPr>
            <w:tcW w:w="2342" w:type="dxa"/>
            <w:vAlign w:val="center"/>
          </w:tcPr>
          <w:p w14:paraId="4F556214">
            <w:pPr>
              <w:pStyle w:val="14"/>
              <w:widowControl w:val="0"/>
              <w:jc w:val="both"/>
              <w:rPr>
                <w:rFonts w:ascii="宋体" w:hAnsi="宋体"/>
                <w:bCs/>
              </w:rPr>
            </w:pPr>
            <w:r>
              <w:rPr>
                <w:rFonts w:ascii="宋体" w:hAnsi="宋体"/>
                <w:bCs/>
              </w:rPr>
              <w:t>掌握</w:t>
            </w:r>
            <w:r>
              <w:rPr>
                <w:rFonts w:hint="eastAsia" w:ascii="宋体" w:hAnsi="宋体"/>
                <w:bCs/>
              </w:rPr>
              <w:t>：</w:t>
            </w:r>
          </w:p>
          <w:p w14:paraId="25740A8C">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（2）通过情景演绎掌握案例内容。</w:t>
            </w:r>
          </w:p>
        </w:tc>
      </w:tr>
      <w:tr w14:paraId="4589E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41E235D1">
            <w:pPr>
              <w:pStyle w:val="14"/>
              <w:widowControl w:val="0"/>
              <w:jc w:val="left"/>
              <w:rPr>
                <w:rFonts w:ascii="宋体" w:hAnsi="宋体"/>
                <w:bCs/>
                <w:lang w:eastAsia="ja-JP"/>
              </w:rPr>
            </w:pPr>
            <w:r>
              <w:rPr>
                <w:rFonts w:hint="eastAsia" w:ascii="宋体" w:hAnsi="宋体"/>
                <w:bCs/>
                <w:lang w:eastAsia="ja-JP"/>
              </w:rPr>
              <w:t>第四单元</w:t>
            </w:r>
            <w:r>
              <w:rPr>
                <w:rStyle w:val="23"/>
                <w:rFonts w:ascii="Helvetica Neue" w:hAnsi="Helvetica Neue"/>
                <w:color w:val="333333"/>
                <w:lang w:eastAsia="ja-JP"/>
              </w:rPr>
              <w:t>異文化コミュニケーションにおける聞き手の役割いかに人の話を聞くのか</w:t>
            </w:r>
            <w:r>
              <w:rPr>
                <w:rStyle w:val="23"/>
                <w:rFonts w:hint="eastAsia" w:ascii="MS Mincho" w:hAnsi="MS Mincho" w:eastAsia="MS Mincho"/>
                <w:color w:val="333333"/>
                <w:lang w:eastAsia="ja-JP"/>
              </w:rPr>
              <w:t>６</w:t>
            </w:r>
          </w:p>
        </w:tc>
        <w:tc>
          <w:tcPr>
            <w:tcW w:w="2870" w:type="dxa"/>
            <w:vAlign w:val="center"/>
          </w:tcPr>
          <w:p w14:paraId="798AA3D8">
            <w:pPr>
              <w:pStyle w:val="14"/>
              <w:widowControl w:val="0"/>
              <w:jc w:val="both"/>
              <w:rPr>
                <w:bCs/>
              </w:rPr>
            </w:pPr>
            <w:r>
              <w:rPr>
                <w:rFonts w:hint="eastAsia"/>
                <w:bCs/>
              </w:rPr>
              <w:t>学习并掌握以下2组核心概念的表述</w:t>
            </w:r>
          </w:p>
          <w:p w14:paraId="5F4C7EFB">
            <w:pPr>
              <w:pStyle w:val="14"/>
              <w:widowControl w:val="0"/>
              <w:jc w:val="both"/>
              <w:rPr>
                <w:bCs/>
              </w:rPr>
            </w:pPr>
            <w:r>
              <w:rPr>
                <w:rFonts w:hint="eastAsia"/>
                <w:bCs/>
              </w:rPr>
              <w:t>（1）附和</w:t>
            </w:r>
          </w:p>
          <w:p w14:paraId="2075B9A5">
            <w:pPr>
              <w:pStyle w:val="14"/>
              <w:widowControl w:val="0"/>
              <w:jc w:val="both"/>
              <w:rPr>
                <w:bCs/>
              </w:rPr>
            </w:pPr>
            <w:r>
              <w:rPr>
                <w:rFonts w:hint="eastAsia"/>
                <w:bCs/>
              </w:rPr>
              <w:t>（2）承接上言</w:t>
            </w:r>
          </w:p>
        </w:tc>
        <w:tc>
          <w:tcPr>
            <w:tcW w:w="1797" w:type="dxa"/>
            <w:vAlign w:val="center"/>
          </w:tcPr>
          <w:p w14:paraId="2BF90BA5">
            <w:pPr>
              <w:pStyle w:val="14"/>
              <w:widowControl w:val="0"/>
              <w:jc w:val="both"/>
              <w:rPr>
                <w:rFonts w:ascii="宋体" w:hAnsi="宋体"/>
                <w:bCs/>
              </w:rPr>
            </w:pPr>
            <w:r>
              <w:rPr>
                <w:rFonts w:hint="eastAsia" w:ascii="宋体" w:hAnsi="宋体"/>
                <w:bCs/>
              </w:rPr>
              <w:t>学习日语特色惯用表达与中国文化中的“附和”和“承接上言”，分析区别。</w:t>
            </w:r>
          </w:p>
        </w:tc>
        <w:tc>
          <w:tcPr>
            <w:tcW w:w="2342" w:type="dxa"/>
            <w:vAlign w:val="center"/>
          </w:tcPr>
          <w:p w14:paraId="46552263">
            <w:pPr>
              <w:pStyle w:val="14"/>
              <w:widowControl w:val="0"/>
              <w:jc w:val="both"/>
              <w:rPr>
                <w:rFonts w:ascii="宋体" w:hAnsi="宋体"/>
                <w:bCs/>
              </w:rPr>
            </w:pPr>
            <w:r>
              <w:rPr>
                <w:rFonts w:ascii="宋体" w:hAnsi="宋体"/>
                <w:bCs/>
              </w:rPr>
              <w:t>掌握</w:t>
            </w:r>
            <w:r>
              <w:rPr>
                <w:rFonts w:hint="eastAsia" w:ascii="宋体" w:hAnsi="宋体"/>
                <w:bCs/>
              </w:rPr>
              <w:t>：</w:t>
            </w:r>
          </w:p>
          <w:p w14:paraId="4ADF1E34">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（2）通过情景演绎掌握基本应对方法</w:t>
            </w:r>
          </w:p>
          <w:p w14:paraId="263FEBC3">
            <w:pPr>
              <w:pStyle w:val="14"/>
              <w:widowControl w:val="0"/>
              <w:jc w:val="both"/>
              <w:rPr>
                <w:bCs/>
              </w:rPr>
            </w:pPr>
            <w:r>
              <w:rPr>
                <w:rFonts w:hint="eastAsia" w:ascii="宋体" w:hAnsi="宋体"/>
                <w:bCs/>
              </w:rPr>
              <w:t>（3）正向思辨案例，分析案例。</w:t>
            </w:r>
          </w:p>
        </w:tc>
      </w:tr>
      <w:tr w14:paraId="653BD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6D8724B1">
            <w:pPr>
              <w:pStyle w:val="14"/>
              <w:widowControl w:val="0"/>
              <w:jc w:val="both"/>
              <w:rPr>
                <w:rFonts w:ascii="宋体" w:hAnsi="宋体"/>
                <w:bCs/>
                <w:lang w:eastAsia="ja-JP"/>
              </w:rPr>
            </w:pPr>
            <w:r>
              <w:rPr>
                <w:rFonts w:hint="eastAsia" w:ascii="宋体" w:hAnsi="宋体"/>
                <w:bCs/>
                <w:lang w:eastAsia="ja-JP"/>
              </w:rPr>
              <w:t>第五单元</w:t>
            </w:r>
            <w:r>
              <w:rPr>
                <w:rStyle w:val="23"/>
                <w:rFonts w:hint="eastAsia" w:ascii="MS Mincho" w:hAnsi="MS Mincho" w:eastAsia="MS Mincho"/>
                <w:color w:val="333333"/>
                <w:lang w:eastAsia="ja-JP"/>
              </w:rPr>
              <w:t>異文化コミュニケーションの言語行動とは７－８</w:t>
            </w:r>
          </w:p>
        </w:tc>
        <w:tc>
          <w:tcPr>
            <w:tcW w:w="2870" w:type="dxa"/>
            <w:vAlign w:val="center"/>
          </w:tcPr>
          <w:p w14:paraId="2D48A793">
            <w:pPr>
              <w:pStyle w:val="14"/>
              <w:widowControl w:val="0"/>
              <w:jc w:val="both"/>
              <w:rPr>
                <w:bCs/>
              </w:rPr>
            </w:pPr>
            <w:r>
              <w:rPr>
                <w:rFonts w:hint="eastAsia"/>
                <w:bCs/>
              </w:rPr>
              <w:t>学习并掌握以下2组核心概念的表述</w:t>
            </w:r>
          </w:p>
          <w:p w14:paraId="746DC359">
            <w:pPr>
              <w:pStyle w:val="14"/>
              <w:widowControl w:val="0"/>
              <w:jc w:val="both"/>
              <w:rPr>
                <w:bCs/>
              </w:rPr>
            </w:pPr>
            <w:r>
              <w:rPr>
                <w:rFonts w:hint="eastAsia"/>
                <w:bCs/>
              </w:rPr>
              <w:t>（1）寒暄</w:t>
            </w:r>
          </w:p>
          <w:p w14:paraId="550566E4">
            <w:pPr>
              <w:pStyle w:val="14"/>
              <w:widowControl w:val="0"/>
              <w:jc w:val="both"/>
              <w:rPr>
                <w:rFonts w:ascii="宋体" w:hAnsi="宋体"/>
                <w:bCs/>
              </w:rPr>
            </w:pPr>
            <w:r>
              <w:rPr>
                <w:rFonts w:hint="eastAsia"/>
                <w:bCs/>
              </w:rPr>
              <w:t>（2）谢罪道歉</w:t>
            </w:r>
          </w:p>
        </w:tc>
        <w:tc>
          <w:tcPr>
            <w:tcW w:w="1797" w:type="dxa"/>
            <w:vAlign w:val="center"/>
          </w:tcPr>
          <w:p w14:paraId="700FB210">
            <w:pPr>
              <w:pStyle w:val="14"/>
              <w:widowControl w:val="0"/>
              <w:jc w:val="both"/>
              <w:rPr>
                <w:rFonts w:ascii="宋体" w:hAnsi="宋体"/>
                <w:bCs/>
              </w:rPr>
            </w:pPr>
            <w:r>
              <w:rPr>
                <w:rFonts w:hint="eastAsia" w:ascii="宋体" w:hAnsi="宋体"/>
                <w:bCs/>
              </w:rPr>
              <w:t>学习日语特色惯用表达与中国文化中的“寒暄”和“谢罪道歉”，分析区别。</w:t>
            </w:r>
          </w:p>
        </w:tc>
        <w:tc>
          <w:tcPr>
            <w:tcW w:w="2342" w:type="dxa"/>
            <w:vAlign w:val="center"/>
          </w:tcPr>
          <w:p w14:paraId="3AA989AA">
            <w:pPr>
              <w:pStyle w:val="14"/>
              <w:widowControl w:val="0"/>
              <w:jc w:val="both"/>
              <w:rPr>
                <w:rFonts w:ascii="宋体" w:hAnsi="宋体"/>
                <w:bCs/>
              </w:rPr>
            </w:pPr>
            <w:r>
              <w:rPr>
                <w:rFonts w:ascii="宋体" w:hAnsi="宋体"/>
                <w:bCs/>
              </w:rPr>
              <w:t>掌握</w:t>
            </w:r>
            <w:r>
              <w:rPr>
                <w:rFonts w:hint="eastAsia" w:ascii="宋体" w:hAnsi="宋体"/>
                <w:bCs/>
              </w:rPr>
              <w:t>：</w:t>
            </w:r>
          </w:p>
          <w:p w14:paraId="477166E4">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（2）通过情景演绎掌握基本应对方法</w:t>
            </w:r>
          </w:p>
          <w:p w14:paraId="29589B50">
            <w:pPr>
              <w:pStyle w:val="14"/>
              <w:widowControl w:val="0"/>
              <w:jc w:val="both"/>
              <w:rPr>
                <w:rFonts w:ascii="宋体" w:hAnsi="宋体"/>
                <w:bCs/>
              </w:rPr>
            </w:pPr>
            <w:r>
              <w:rPr>
                <w:rFonts w:hint="eastAsia" w:ascii="宋体" w:hAnsi="宋体"/>
                <w:bCs/>
              </w:rPr>
              <w:t>（3）正向思辨案例，分析案例。</w:t>
            </w:r>
          </w:p>
        </w:tc>
      </w:tr>
      <w:tr w14:paraId="7C811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6543E9E1">
            <w:pPr>
              <w:pStyle w:val="14"/>
              <w:widowControl w:val="0"/>
              <w:jc w:val="both"/>
              <w:rPr>
                <w:rFonts w:ascii="宋体" w:hAnsi="宋体"/>
                <w:bCs/>
                <w:lang w:eastAsia="ja-JP"/>
              </w:rPr>
            </w:pPr>
            <w:r>
              <w:rPr>
                <w:rFonts w:hint="eastAsia" w:ascii="宋体" w:hAnsi="宋体"/>
                <w:bCs/>
                <w:lang w:eastAsia="ja-JP"/>
              </w:rPr>
              <w:t>第五单元</w:t>
            </w:r>
            <w:r>
              <w:rPr>
                <w:rStyle w:val="23"/>
                <w:rFonts w:hint="eastAsia" w:ascii="MS Mincho" w:hAnsi="MS Mincho" w:eastAsia="MS Mincho"/>
                <w:color w:val="333333"/>
                <w:lang w:eastAsia="ja-JP"/>
              </w:rPr>
              <w:t>異文化コミュニケーションの言語行動とは9－11</w:t>
            </w:r>
          </w:p>
        </w:tc>
        <w:tc>
          <w:tcPr>
            <w:tcW w:w="2870" w:type="dxa"/>
            <w:vAlign w:val="center"/>
          </w:tcPr>
          <w:p w14:paraId="21612887">
            <w:pPr>
              <w:pStyle w:val="14"/>
              <w:widowControl w:val="0"/>
              <w:jc w:val="both"/>
              <w:rPr>
                <w:bCs/>
              </w:rPr>
            </w:pPr>
            <w:r>
              <w:rPr>
                <w:rFonts w:hint="eastAsia"/>
                <w:bCs/>
              </w:rPr>
              <w:t>学习并掌握以下</w:t>
            </w:r>
            <w:r>
              <w:rPr>
                <w:bCs/>
              </w:rPr>
              <w:t>3</w:t>
            </w:r>
            <w:r>
              <w:rPr>
                <w:rFonts w:hint="eastAsia"/>
                <w:bCs/>
              </w:rPr>
              <w:t>组核心概念的表述</w:t>
            </w:r>
          </w:p>
          <w:p w14:paraId="1033C206">
            <w:pPr>
              <w:pStyle w:val="14"/>
              <w:widowControl w:val="0"/>
              <w:jc w:val="both"/>
              <w:rPr>
                <w:bCs/>
              </w:rPr>
            </w:pPr>
            <w:r>
              <w:rPr>
                <w:rFonts w:hint="eastAsia"/>
                <w:bCs/>
              </w:rPr>
              <w:t>（1）安慰</w:t>
            </w:r>
          </w:p>
          <w:p w14:paraId="232CBEA2">
            <w:pPr>
              <w:pStyle w:val="14"/>
              <w:widowControl w:val="0"/>
              <w:jc w:val="both"/>
              <w:rPr>
                <w:bCs/>
              </w:rPr>
            </w:pPr>
            <w:r>
              <w:rPr>
                <w:rFonts w:hint="eastAsia"/>
                <w:bCs/>
              </w:rPr>
              <w:t>（2）说服</w:t>
            </w:r>
          </w:p>
          <w:p w14:paraId="3E7C83C7">
            <w:pPr>
              <w:pStyle w:val="14"/>
              <w:widowControl w:val="0"/>
              <w:jc w:val="both"/>
              <w:rPr>
                <w:rFonts w:ascii="宋体" w:hAnsi="宋体"/>
                <w:bCs/>
              </w:rPr>
            </w:pPr>
            <w:r>
              <w:rPr>
                <w:rFonts w:hint="eastAsia"/>
                <w:bCs/>
              </w:rPr>
              <w:t>（3）表扬</w:t>
            </w:r>
          </w:p>
        </w:tc>
        <w:tc>
          <w:tcPr>
            <w:tcW w:w="1797" w:type="dxa"/>
            <w:vAlign w:val="center"/>
          </w:tcPr>
          <w:p w14:paraId="164D5F26">
            <w:pPr>
              <w:pStyle w:val="14"/>
              <w:widowControl w:val="0"/>
              <w:jc w:val="both"/>
              <w:rPr>
                <w:rFonts w:ascii="宋体" w:hAnsi="宋体"/>
                <w:bCs/>
              </w:rPr>
            </w:pPr>
            <w:r>
              <w:rPr>
                <w:rFonts w:hint="eastAsia" w:ascii="宋体" w:hAnsi="宋体"/>
                <w:bCs/>
              </w:rPr>
              <w:t>学习日语特色惯用表达与中国文化中的“安慰”、“说服”和“表扬，分析区别。</w:t>
            </w:r>
          </w:p>
        </w:tc>
        <w:tc>
          <w:tcPr>
            <w:tcW w:w="2342" w:type="dxa"/>
            <w:vAlign w:val="center"/>
          </w:tcPr>
          <w:p w14:paraId="2A8E225D">
            <w:pPr>
              <w:pStyle w:val="14"/>
              <w:widowControl w:val="0"/>
              <w:jc w:val="both"/>
              <w:rPr>
                <w:rFonts w:ascii="宋体" w:hAnsi="宋体"/>
                <w:bCs/>
              </w:rPr>
            </w:pPr>
            <w:r>
              <w:rPr>
                <w:rFonts w:ascii="宋体" w:hAnsi="宋体"/>
                <w:bCs/>
              </w:rPr>
              <w:t>掌握</w:t>
            </w:r>
            <w:r>
              <w:rPr>
                <w:rFonts w:hint="eastAsia" w:ascii="宋体" w:hAnsi="宋体"/>
                <w:bCs/>
              </w:rPr>
              <w:t>：</w:t>
            </w:r>
          </w:p>
          <w:p w14:paraId="68EC9012">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（2）通过情景演绎掌握基本应对方法</w:t>
            </w:r>
          </w:p>
          <w:p w14:paraId="768AB8C9">
            <w:pPr>
              <w:pStyle w:val="14"/>
              <w:widowControl w:val="0"/>
              <w:jc w:val="left"/>
              <w:rPr>
                <w:rFonts w:ascii="宋体" w:hAnsi="宋体"/>
                <w:bCs/>
              </w:rPr>
            </w:pPr>
            <w:r>
              <w:rPr>
                <w:rFonts w:hint="eastAsia" w:ascii="宋体" w:hAnsi="宋体"/>
                <w:bCs/>
              </w:rPr>
              <w:t>（3）正向思辨案例，分析案例。</w:t>
            </w:r>
          </w:p>
        </w:tc>
      </w:tr>
      <w:tr w14:paraId="502F9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781FD86">
            <w:pPr>
              <w:pStyle w:val="14"/>
              <w:widowControl w:val="0"/>
              <w:jc w:val="both"/>
              <w:rPr>
                <w:rFonts w:ascii="宋体" w:hAnsi="宋体"/>
                <w:bCs/>
                <w:lang w:eastAsia="ja-JP"/>
              </w:rPr>
            </w:pPr>
            <w:r>
              <w:rPr>
                <w:rFonts w:hint="eastAsia" w:ascii="宋体" w:hAnsi="宋体"/>
                <w:bCs/>
                <w:lang w:eastAsia="ja-JP"/>
              </w:rPr>
              <w:t>第五单元</w:t>
            </w:r>
            <w:r>
              <w:rPr>
                <w:rStyle w:val="23"/>
                <w:rFonts w:hint="eastAsia" w:ascii="MS Mincho" w:hAnsi="MS Mincho" w:eastAsia="MS Mincho"/>
                <w:color w:val="333333"/>
                <w:lang w:eastAsia="ja-JP"/>
              </w:rPr>
              <w:t>異文化コミュニケーションの言語行動とは12－14</w:t>
            </w:r>
          </w:p>
        </w:tc>
        <w:tc>
          <w:tcPr>
            <w:tcW w:w="2870" w:type="dxa"/>
            <w:vAlign w:val="center"/>
          </w:tcPr>
          <w:p w14:paraId="40BE378D">
            <w:pPr>
              <w:pStyle w:val="14"/>
              <w:widowControl w:val="0"/>
              <w:jc w:val="both"/>
              <w:rPr>
                <w:bCs/>
              </w:rPr>
            </w:pPr>
            <w:r>
              <w:rPr>
                <w:rFonts w:hint="eastAsia"/>
                <w:bCs/>
              </w:rPr>
              <w:t>学习并掌握以下</w:t>
            </w:r>
            <w:r>
              <w:rPr>
                <w:bCs/>
              </w:rPr>
              <w:t>3</w:t>
            </w:r>
            <w:r>
              <w:rPr>
                <w:rFonts w:hint="eastAsia"/>
                <w:bCs/>
              </w:rPr>
              <w:t>组核心概念的表述</w:t>
            </w:r>
          </w:p>
          <w:p w14:paraId="04CFFAA6">
            <w:pPr>
              <w:pStyle w:val="14"/>
              <w:widowControl w:val="0"/>
              <w:jc w:val="both"/>
              <w:rPr>
                <w:bCs/>
              </w:rPr>
            </w:pPr>
            <w:r>
              <w:rPr>
                <w:rFonts w:hint="eastAsia"/>
                <w:bCs/>
              </w:rPr>
              <w:t>（1）提出反对意见</w:t>
            </w:r>
          </w:p>
          <w:p w14:paraId="5B6A37B0">
            <w:pPr>
              <w:pStyle w:val="14"/>
              <w:widowControl w:val="0"/>
              <w:jc w:val="both"/>
              <w:rPr>
                <w:bCs/>
              </w:rPr>
            </w:pPr>
            <w:r>
              <w:rPr>
                <w:rFonts w:hint="eastAsia"/>
                <w:bCs/>
              </w:rPr>
              <w:t>（2）讨价还价</w:t>
            </w:r>
          </w:p>
          <w:p w14:paraId="7C24FABB">
            <w:pPr>
              <w:pStyle w:val="14"/>
              <w:widowControl w:val="0"/>
              <w:jc w:val="both"/>
              <w:rPr>
                <w:rFonts w:ascii="宋体" w:hAnsi="宋体"/>
                <w:bCs/>
                <w:lang w:eastAsia="ja-JP"/>
              </w:rPr>
            </w:pPr>
            <w:r>
              <w:rPr>
                <w:rFonts w:hint="eastAsia"/>
                <w:bCs/>
              </w:rPr>
              <w:t>（3）前置语</w:t>
            </w:r>
          </w:p>
        </w:tc>
        <w:tc>
          <w:tcPr>
            <w:tcW w:w="1797" w:type="dxa"/>
            <w:vAlign w:val="center"/>
          </w:tcPr>
          <w:p w14:paraId="13766A6A">
            <w:pPr>
              <w:pStyle w:val="14"/>
              <w:widowControl w:val="0"/>
              <w:jc w:val="both"/>
              <w:rPr>
                <w:rFonts w:ascii="宋体" w:hAnsi="宋体"/>
                <w:bCs/>
              </w:rPr>
            </w:pPr>
            <w:r>
              <w:rPr>
                <w:rFonts w:hint="eastAsia" w:ascii="宋体" w:hAnsi="宋体"/>
                <w:bCs/>
              </w:rPr>
              <w:t>学习日语特色惯用表达，分析具体案例。</w:t>
            </w:r>
          </w:p>
        </w:tc>
        <w:tc>
          <w:tcPr>
            <w:tcW w:w="2342" w:type="dxa"/>
            <w:vAlign w:val="center"/>
          </w:tcPr>
          <w:p w14:paraId="31D61E60">
            <w:pPr>
              <w:pStyle w:val="14"/>
              <w:widowControl w:val="0"/>
              <w:jc w:val="both"/>
              <w:rPr>
                <w:rFonts w:ascii="宋体" w:hAnsi="宋体"/>
                <w:bCs/>
              </w:rPr>
            </w:pPr>
            <w:r>
              <w:rPr>
                <w:rFonts w:ascii="宋体" w:hAnsi="宋体"/>
                <w:bCs/>
              </w:rPr>
              <w:t>掌握</w:t>
            </w:r>
            <w:r>
              <w:rPr>
                <w:rFonts w:hint="eastAsia" w:ascii="宋体" w:hAnsi="宋体"/>
                <w:bCs/>
              </w:rPr>
              <w:t>：</w:t>
            </w:r>
          </w:p>
          <w:p w14:paraId="143B7BC7">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（2）通过情景演绎掌握基本应对方法</w:t>
            </w:r>
          </w:p>
          <w:p w14:paraId="791D1286">
            <w:pPr>
              <w:pStyle w:val="14"/>
              <w:widowControl w:val="0"/>
              <w:jc w:val="both"/>
              <w:rPr>
                <w:rFonts w:ascii="宋体" w:hAnsi="宋体"/>
                <w:bCs/>
              </w:rPr>
            </w:pPr>
            <w:r>
              <w:rPr>
                <w:rFonts w:hint="eastAsia" w:ascii="宋体" w:hAnsi="宋体"/>
                <w:bCs/>
              </w:rPr>
              <w:t>（3）正向思辨案例，分析案例。</w:t>
            </w:r>
          </w:p>
        </w:tc>
      </w:tr>
      <w:tr w14:paraId="75447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F9077FC">
            <w:pPr>
              <w:pStyle w:val="13"/>
              <w:widowControl w:val="0"/>
              <w:jc w:val="both"/>
              <w:rPr>
                <w:rFonts w:ascii="宋体" w:hAnsi="宋体" w:eastAsia="宋体"/>
                <w:szCs w:val="21"/>
                <w:lang w:eastAsia="ja-JP"/>
              </w:rPr>
            </w:pPr>
            <w:r>
              <w:rPr>
                <w:rFonts w:hint="eastAsia" w:ascii="宋体" w:hAnsi="宋体" w:eastAsia="宋体"/>
                <w:szCs w:val="21"/>
                <w:lang w:eastAsia="ja-JP"/>
              </w:rPr>
              <w:t>第六单元</w:t>
            </w:r>
            <w:r>
              <w:rPr>
                <w:rFonts w:hint="eastAsia" w:ascii="MS Mincho" w:hAnsi="MS Mincho" w:eastAsia="MS Mincho"/>
                <w:szCs w:val="21"/>
                <w:lang w:eastAsia="ja-JP"/>
              </w:rPr>
              <w:t>　異文化コミュニケーションの非言語行動非言語コミュニケーションとは15－16</w:t>
            </w:r>
          </w:p>
        </w:tc>
        <w:tc>
          <w:tcPr>
            <w:tcW w:w="2870" w:type="dxa"/>
            <w:vAlign w:val="center"/>
          </w:tcPr>
          <w:p w14:paraId="790B392D">
            <w:pPr>
              <w:pStyle w:val="14"/>
              <w:widowControl w:val="0"/>
              <w:jc w:val="both"/>
              <w:rPr>
                <w:bCs/>
              </w:rPr>
            </w:pPr>
            <w:r>
              <w:rPr>
                <w:rFonts w:hint="eastAsia"/>
                <w:bCs/>
              </w:rPr>
              <w:t>学习并掌握以下</w:t>
            </w:r>
            <w:r>
              <w:rPr>
                <w:bCs/>
              </w:rPr>
              <w:t>2</w:t>
            </w:r>
            <w:r>
              <w:rPr>
                <w:rFonts w:hint="eastAsia"/>
                <w:bCs/>
              </w:rPr>
              <w:t>组表达方式并尝试创造一个专属于自己的表达方法</w:t>
            </w:r>
          </w:p>
          <w:p w14:paraId="0B0B427E">
            <w:pPr>
              <w:pStyle w:val="14"/>
              <w:widowControl w:val="0"/>
              <w:jc w:val="both"/>
              <w:rPr>
                <w:bCs/>
              </w:rPr>
            </w:pPr>
            <w:r>
              <w:rPr>
                <w:rFonts w:hint="eastAsia"/>
                <w:bCs/>
              </w:rPr>
              <w:t>（1）手势</w:t>
            </w:r>
          </w:p>
          <w:p w14:paraId="737FFCD0">
            <w:pPr>
              <w:pStyle w:val="14"/>
              <w:widowControl w:val="0"/>
              <w:jc w:val="both"/>
              <w:rPr>
                <w:bCs/>
              </w:rPr>
            </w:pPr>
            <w:r>
              <w:rPr>
                <w:rFonts w:hint="eastAsia"/>
                <w:bCs/>
              </w:rPr>
              <w:t>（2）身体的信俗和肢体语言交流</w:t>
            </w:r>
          </w:p>
          <w:p w14:paraId="57457D68">
            <w:pPr>
              <w:pStyle w:val="14"/>
              <w:widowControl w:val="0"/>
              <w:jc w:val="both"/>
              <w:rPr>
                <w:bCs/>
              </w:rPr>
            </w:pPr>
          </w:p>
        </w:tc>
        <w:tc>
          <w:tcPr>
            <w:tcW w:w="1797" w:type="dxa"/>
            <w:vAlign w:val="center"/>
          </w:tcPr>
          <w:p w14:paraId="6C0053E0">
            <w:pPr>
              <w:pStyle w:val="13"/>
              <w:widowControl w:val="0"/>
              <w:jc w:val="both"/>
              <w:rPr>
                <w:rFonts w:ascii="Times New Roman" w:hAnsi="Times New Roman" w:eastAsia="宋体"/>
                <w:szCs w:val="21"/>
              </w:rPr>
            </w:pPr>
            <w:r>
              <w:rPr>
                <w:rFonts w:hint="eastAsia" w:ascii="Times New Roman" w:hAnsi="Times New Roman" w:eastAsia="宋体"/>
                <w:szCs w:val="21"/>
              </w:rPr>
              <w:t>掌握语言之外的交流方式</w:t>
            </w:r>
          </w:p>
        </w:tc>
        <w:tc>
          <w:tcPr>
            <w:tcW w:w="2342" w:type="dxa"/>
            <w:vAlign w:val="center"/>
          </w:tcPr>
          <w:p w14:paraId="454D6890">
            <w:pPr>
              <w:pStyle w:val="14"/>
              <w:widowControl w:val="0"/>
              <w:jc w:val="both"/>
              <w:rPr>
                <w:rFonts w:ascii="宋体" w:hAnsi="宋体"/>
                <w:bCs/>
              </w:rPr>
            </w:pPr>
            <w:r>
              <w:rPr>
                <w:rFonts w:ascii="宋体" w:hAnsi="宋体"/>
                <w:bCs/>
              </w:rPr>
              <w:t>掌握</w:t>
            </w:r>
            <w:r>
              <w:rPr>
                <w:rFonts w:hint="eastAsia" w:ascii="宋体" w:hAnsi="宋体"/>
                <w:bCs/>
              </w:rPr>
              <w:t>：</w:t>
            </w:r>
          </w:p>
          <w:p w14:paraId="08133AF6">
            <w:pPr>
              <w:pStyle w:val="14"/>
              <w:widowControl w:val="0"/>
              <w:jc w:val="both"/>
              <w:rPr>
                <w:rFonts w:ascii="宋体" w:hAnsi="宋体"/>
                <w:bCs/>
              </w:rPr>
            </w:pPr>
            <w:r>
              <w:rPr>
                <w:rFonts w:hint="eastAsia" w:ascii="宋体" w:hAnsi="宋体"/>
                <w:bCs/>
              </w:rPr>
              <w:t>（1）了解语言之外仍然存在交流方法，交流不限于语言</w:t>
            </w:r>
          </w:p>
          <w:p w14:paraId="7731D568">
            <w:pPr>
              <w:pStyle w:val="14"/>
              <w:widowControl w:val="0"/>
              <w:jc w:val="both"/>
              <w:rPr>
                <w:rFonts w:ascii="宋体" w:hAnsi="宋体"/>
                <w:bCs/>
              </w:rPr>
            </w:pPr>
            <w:r>
              <w:rPr>
                <w:rFonts w:hint="eastAsia" w:ascii="宋体" w:hAnsi="宋体"/>
                <w:bCs/>
              </w:rPr>
              <w:t>（2）学会如何用非语言方式与人交流。</w:t>
            </w:r>
          </w:p>
        </w:tc>
      </w:tr>
    </w:tbl>
    <w:p w14:paraId="2D905B7F">
      <w:pPr>
        <w:pStyle w:val="17"/>
        <w:spacing w:before="81" w:after="163"/>
        <w:outlineLvl w:val="2"/>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319"/>
        <w:gridCol w:w="1319"/>
        <w:gridCol w:w="1320"/>
        <w:gridCol w:w="1319"/>
        <w:gridCol w:w="1320"/>
      </w:tblGrid>
      <w:tr w14:paraId="1317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2FA8623F">
            <w:pPr>
              <w:pStyle w:val="13"/>
              <w:ind w:firstLine="489"/>
              <w:jc w:val="right"/>
              <w:rPr>
                <w:szCs w:val="16"/>
              </w:rPr>
            </w:pPr>
            <w:r>
              <w:rPr>
                <w:rFonts w:hint="eastAsia"/>
                <w:szCs w:val="16"/>
              </w:rPr>
              <w:t>课程目标</w:t>
            </w:r>
          </w:p>
          <w:p w14:paraId="6BE0E602">
            <w:pPr>
              <w:pStyle w:val="13"/>
              <w:ind w:right="210"/>
              <w:jc w:val="left"/>
              <w:rPr>
                <w:szCs w:val="16"/>
              </w:rPr>
            </w:pPr>
          </w:p>
          <w:p w14:paraId="45995144">
            <w:pPr>
              <w:pStyle w:val="13"/>
              <w:ind w:right="210"/>
              <w:jc w:val="left"/>
              <w:rPr>
                <w:szCs w:val="16"/>
              </w:rPr>
            </w:pPr>
            <w:r>
              <w:rPr>
                <w:rFonts w:hint="eastAsia"/>
                <w:szCs w:val="16"/>
              </w:rPr>
              <w:t>教学单元</w:t>
            </w:r>
          </w:p>
        </w:tc>
        <w:tc>
          <w:tcPr>
            <w:tcW w:w="1288" w:type="dxa"/>
            <w:tcBorders>
              <w:top w:val="single" w:color="auto" w:sz="12" w:space="0"/>
            </w:tcBorders>
            <w:vAlign w:val="center"/>
          </w:tcPr>
          <w:p w14:paraId="6CDE81E4">
            <w:pPr>
              <w:pStyle w:val="13"/>
              <w:rPr>
                <w:szCs w:val="16"/>
              </w:rPr>
            </w:pPr>
            <w:r>
              <w:rPr>
                <w:rFonts w:hint="eastAsia"/>
                <w:szCs w:val="16"/>
              </w:rPr>
              <w:t>1</w:t>
            </w:r>
          </w:p>
        </w:tc>
        <w:tc>
          <w:tcPr>
            <w:tcW w:w="1288" w:type="dxa"/>
            <w:tcBorders>
              <w:top w:val="single" w:color="auto" w:sz="12" w:space="0"/>
            </w:tcBorders>
            <w:vAlign w:val="center"/>
          </w:tcPr>
          <w:p w14:paraId="13A7CA19">
            <w:pPr>
              <w:pStyle w:val="13"/>
              <w:rPr>
                <w:szCs w:val="16"/>
              </w:rPr>
            </w:pPr>
            <w:r>
              <w:rPr>
                <w:rFonts w:hint="eastAsia"/>
                <w:szCs w:val="16"/>
              </w:rPr>
              <w:t>2</w:t>
            </w:r>
          </w:p>
        </w:tc>
        <w:tc>
          <w:tcPr>
            <w:tcW w:w="1289" w:type="dxa"/>
            <w:tcBorders>
              <w:top w:val="single" w:color="auto" w:sz="12" w:space="0"/>
            </w:tcBorders>
            <w:vAlign w:val="center"/>
          </w:tcPr>
          <w:p w14:paraId="1B36741D">
            <w:pPr>
              <w:pStyle w:val="13"/>
              <w:rPr>
                <w:szCs w:val="16"/>
              </w:rPr>
            </w:pPr>
            <w:r>
              <w:rPr>
                <w:rFonts w:hint="eastAsia"/>
                <w:szCs w:val="16"/>
              </w:rPr>
              <w:t>3</w:t>
            </w:r>
          </w:p>
        </w:tc>
        <w:tc>
          <w:tcPr>
            <w:tcW w:w="1288" w:type="dxa"/>
            <w:tcBorders>
              <w:top w:val="single" w:color="auto" w:sz="12" w:space="0"/>
            </w:tcBorders>
            <w:vAlign w:val="center"/>
          </w:tcPr>
          <w:p w14:paraId="1EE872DD">
            <w:pPr>
              <w:pStyle w:val="13"/>
              <w:rPr>
                <w:szCs w:val="16"/>
              </w:rPr>
            </w:pPr>
            <w:r>
              <w:rPr>
                <w:rFonts w:hint="eastAsia"/>
                <w:szCs w:val="16"/>
              </w:rPr>
              <w:t>4</w:t>
            </w:r>
          </w:p>
        </w:tc>
        <w:tc>
          <w:tcPr>
            <w:tcW w:w="1289" w:type="dxa"/>
            <w:tcBorders>
              <w:top w:val="single" w:color="auto" w:sz="12" w:space="0"/>
              <w:right w:val="single" w:color="auto" w:sz="12" w:space="0"/>
            </w:tcBorders>
            <w:vAlign w:val="center"/>
          </w:tcPr>
          <w:p w14:paraId="02D95766">
            <w:pPr>
              <w:pStyle w:val="13"/>
              <w:rPr>
                <w:szCs w:val="16"/>
              </w:rPr>
            </w:pPr>
            <w:r>
              <w:rPr>
                <w:rFonts w:hint="eastAsia"/>
                <w:szCs w:val="16"/>
              </w:rPr>
              <w:t>5</w:t>
            </w:r>
          </w:p>
        </w:tc>
      </w:tr>
      <w:tr w14:paraId="708D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BC0B8C0">
            <w:pPr>
              <w:pStyle w:val="14"/>
            </w:pPr>
            <w:r>
              <w:t>第一单元</w:t>
            </w:r>
          </w:p>
        </w:tc>
        <w:tc>
          <w:tcPr>
            <w:tcW w:w="1288" w:type="dxa"/>
            <w:vAlign w:val="center"/>
          </w:tcPr>
          <w:p w14:paraId="26EFE2D1">
            <w:pPr>
              <w:pStyle w:val="14"/>
            </w:pPr>
            <w:r>
              <w:rPr>
                <w:rFonts w:hint="eastAsia"/>
              </w:rPr>
              <w:t>√</w:t>
            </w:r>
          </w:p>
        </w:tc>
        <w:tc>
          <w:tcPr>
            <w:tcW w:w="1288" w:type="dxa"/>
            <w:vAlign w:val="center"/>
          </w:tcPr>
          <w:p w14:paraId="5BDDA0C7">
            <w:pPr>
              <w:pStyle w:val="14"/>
            </w:pPr>
            <w:r>
              <w:rPr>
                <w:rFonts w:hint="eastAsia"/>
              </w:rPr>
              <w:t>√</w:t>
            </w:r>
          </w:p>
        </w:tc>
        <w:tc>
          <w:tcPr>
            <w:tcW w:w="1289" w:type="dxa"/>
            <w:vAlign w:val="center"/>
          </w:tcPr>
          <w:p w14:paraId="3B35B398">
            <w:pPr>
              <w:pStyle w:val="14"/>
            </w:pPr>
          </w:p>
        </w:tc>
        <w:tc>
          <w:tcPr>
            <w:tcW w:w="1288" w:type="dxa"/>
            <w:vAlign w:val="center"/>
          </w:tcPr>
          <w:p w14:paraId="3ED6904A">
            <w:pPr>
              <w:pStyle w:val="14"/>
            </w:pPr>
          </w:p>
        </w:tc>
        <w:tc>
          <w:tcPr>
            <w:tcW w:w="1289" w:type="dxa"/>
            <w:tcBorders>
              <w:right w:val="single" w:color="auto" w:sz="12" w:space="0"/>
            </w:tcBorders>
          </w:tcPr>
          <w:p w14:paraId="14B99C68">
            <w:pPr>
              <w:pStyle w:val="14"/>
            </w:pPr>
            <w:r>
              <w:rPr>
                <w:rFonts w:hint="eastAsia"/>
              </w:rPr>
              <w:t>√</w:t>
            </w:r>
          </w:p>
        </w:tc>
      </w:tr>
      <w:tr w14:paraId="2905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36FEFA3">
            <w:pPr>
              <w:pStyle w:val="14"/>
            </w:pPr>
            <w:r>
              <w:t>第二单元</w:t>
            </w:r>
          </w:p>
        </w:tc>
        <w:tc>
          <w:tcPr>
            <w:tcW w:w="1288" w:type="dxa"/>
            <w:vAlign w:val="center"/>
          </w:tcPr>
          <w:p w14:paraId="23026BC6">
            <w:pPr>
              <w:pStyle w:val="14"/>
            </w:pPr>
            <w:r>
              <w:rPr>
                <w:rFonts w:hint="eastAsia"/>
              </w:rPr>
              <w:t>√</w:t>
            </w:r>
          </w:p>
        </w:tc>
        <w:tc>
          <w:tcPr>
            <w:tcW w:w="1288" w:type="dxa"/>
            <w:vAlign w:val="center"/>
          </w:tcPr>
          <w:p w14:paraId="2DF1B4A8">
            <w:pPr>
              <w:pStyle w:val="14"/>
            </w:pPr>
            <w:r>
              <w:rPr>
                <w:rFonts w:hint="eastAsia"/>
              </w:rPr>
              <w:t>√</w:t>
            </w:r>
          </w:p>
        </w:tc>
        <w:tc>
          <w:tcPr>
            <w:tcW w:w="1289" w:type="dxa"/>
            <w:vAlign w:val="center"/>
          </w:tcPr>
          <w:p w14:paraId="46D69056">
            <w:pPr>
              <w:pStyle w:val="14"/>
            </w:pPr>
          </w:p>
        </w:tc>
        <w:tc>
          <w:tcPr>
            <w:tcW w:w="1288" w:type="dxa"/>
            <w:vAlign w:val="center"/>
          </w:tcPr>
          <w:p w14:paraId="54F8EC65">
            <w:pPr>
              <w:pStyle w:val="14"/>
            </w:pPr>
          </w:p>
        </w:tc>
        <w:tc>
          <w:tcPr>
            <w:tcW w:w="1289" w:type="dxa"/>
            <w:tcBorders>
              <w:right w:val="single" w:color="auto" w:sz="12" w:space="0"/>
            </w:tcBorders>
          </w:tcPr>
          <w:p w14:paraId="278A0EF3">
            <w:pPr>
              <w:pStyle w:val="14"/>
            </w:pPr>
            <w:r>
              <w:rPr>
                <w:rFonts w:hint="eastAsia"/>
              </w:rPr>
              <w:t>√</w:t>
            </w:r>
          </w:p>
        </w:tc>
      </w:tr>
      <w:tr w14:paraId="76C5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1FA5D03">
            <w:pPr>
              <w:pStyle w:val="14"/>
            </w:pPr>
            <w:r>
              <w:t>第</w:t>
            </w:r>
            <w:r>
              <w:rPr>
                <w:rFonts w:hint="eastAsia"/>
              </w:rPr>
              <w:t>三</w:t>
            </w:r>
            <w:r>
              <w:t>单元</w:t>
            </w:r>
          </w:p>
        </w:tc>
        <w:tc>
          <w:tcPr>
            <w:tcW w:w="1288" w:type="dxa"/>
            <w:vAlign w:val="center"/>
          </w:tcPr>
          <w:p w14:paraId="34503EB7">
            <w:pPr>
              <w:pStyle w:val="14"/>
            </w:pPr>
            <w:r>
              <w:rPr>
                <w:rFonts w:hint="eastAsia"/>
              </w:rPr>
              <w:t>√</w:t>
            </w:r>
          </w:p>
        </w:tc>
        <w:tc>
          <w:tcPr>
            <w:tcW w:w="1288" w:type="dxa"/>
            <w:vAlign w:val="center"/>
          </w:tcPr>
          <w:p w14:paraId="79BC72E7">
            <w:pPr>
              <w:pStyle w:val="14"/>
            </w:pPr>
            <w:r>
              <w:rPr>
                <w:rFonts w:hint="eastAsia"/>
              </w:rPr>
              <w:t>√</w:t>
            </w:r>
          </w:p>
        </w:tc>
        <w:tc>
          <w:tcPr>
            <w:tcW w:w="1289" w:type="dxa"/>
            <w:vAlign w:val="center"/>
          </w:tcPr>
          <w:p w14:paraId="08688FC7">
            <w:pPr>
              <w:pStyle w:val="14"/>
            </w:pPr>
          </w:p>
        </w:tc>
        <w:tc>
          <w:tcPr>
            <w:tcW w:w="1288" w:type="dxa"/>
            <w:vAlign w:val="center"/>
          </w:tcPr>
          <w:p w14:paraId="4952F57A">
            <w:pPr>
              <w:pStyle w:val="14"/>
            </w:pPr>
          </w:p>
        </w:tc>
        <w:tc>
          <w:tcPr>
            <w:tcW w:w="1289" w:type="dxa"/>
            <w:tcBorders>
              <w:right w:val="single" w:color="auto" w:sz="12" w:space="0"/>
            </w:tcBorders>
          </w:tcPr>
          <w:p w14:paraId="323717C2">
            <w:pPr>
              <w:pStyle w:val="14"/>
            </w:pPr>
            <w:r>
              <w:rPr>
                <w:rFonts w:hint="eastAsia"/>
              </w:rPr>
              <w:t>√</w:t>
            </w:r>
          </w:p>
        </w:tc>
      </w:tr>
      <w:tr w14:paraId="6797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7767C7A">
            <w:pPr>
              <w:pStyle w:val="14"/>
            </w:pPr>
            <w:r>
              <w:t>第</w:t>
            </w:r>
            <w:r>
              <w:rPr>
                <w:rFonts w:hint="eastAsia"/>
              </w:rPr>
              <w:t>四</w:t>
            </w:r>
            <w:r>
              <w:t>单元</w:t>
            </w:r>
          </w:p>
        </w:tc>
        <w:tc>
          <w:tcPr>
            <w:tcW w:w="1288" w:type="dxa"/>
            <w:vAlign w:val="center"/>
          </w:tcPr>
          <w:p w14:paraId="7F172CD5">
            <w:pPr>
              <w:pStyle w:val="14"/>
            </w:pPr>
            <w:r>
              <w:rPr>
                <w:rFonts w:hint="eastAsia"/>
              </w:rPr>
              <w:t>√</w:t>
            </w:r>
          </w:p>
        </w:tc>
        <w:tc>
          <w:tcPr>
            <w:tcW w:w="1288" w:type="dxa"/>
            <w:vAlign w:val="center"/>
          </w:tcPr>
          <w:p w14:paraId="50B793AB">
            <w:pPr>
              <w:pStyle w:val="14"/>
            </w:pPr>
            <w:r>
              <w:rPr>
                <w:rFonts w:hint="eastAsia"/>
              </w:rPr>
              <w:t>√</w:t>
            </w:r>
          </w:p>
        </w:tc>
        <w:tc>
          <w:tcPr>
            <w:tcW w:w="1289" w:type="dxa"/>
            <w:vAlign w:val="center"/>
          </w:tcPr>
          <w:p w14:paraId="27F304D1">
            <w:pPr>
              <w:pStyle w:val="14"/>
            </w:pPr>
          </w:p>
        </w:tc>
        <w:tc>
          <w:tcPr>
            <w:tcW w:w="1288" w:type="dxa"/>
            <w:vAlign w:val="center"/>
          </w:tcPr>
          <w:p w14:paraId="23D9E97D">
            <w:pPr>
              <w:pStyle w:val="14"/>
            </w:pPr>
          </w:p>
        </w:tc>
        <w:tc>
          <w:tcPr>
            <w:tcW w:w="1289" w:type="dxa"/>
            <w:tcBorders>
              <w:right w:val="single" w:color="auto" w:sz="12" w:space="0"/>
            </w:tcBorders>
          </w:tcPr>
          <w:p w14:paraId="48993F45">
            <w:pPr>
              <w:pStyle w:val="14"/>
            </w:pPr>
            <w:r>
              <w:rPr>
                <w:rFonts w:hint="eastAsia"/>
              </w:rPr>
              <w:t>√</w:t>
            </w:r>
          </w:p>
        </w:tc>
      </w:tr>
      <w:tr w14:paraId="15E3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92B3FEC">
            <w:pPr>
              <w:pStyle w:val="14"/>
            </w:pPr>
            <w:r>
              <w:t>第</w:t>
            </w:r>
            <w:r>
              <w:rPr>
                <w:rFonts w:hint="eastAsia"/>
              </w:rPr>
              <w:t>五</w:t>
            </w:r>
            <w:r>
              <w:t>单元</w:t>
            </w:r>
          </w:p>
        </w:tc>
        <w:tc>
          <w:tcPr>
            <w:tcW w:w="1288" w:type="dxa"/>
            <w:vAlign w:val="center"/>
          </w:tcPr>
          <w:p w14:paraId="3191788C">
            <w:pPr>
              <w:pStyle w:val="14"/>
            </w:pPr>
            <w:r>
              <w:rPr>
                <w:rFonts w:hint="eastAsia"/>
              </w:rPr>
              <w:t>√</w:t>
            </w:r>
          </w:p>
        </w:tc>
        <w:tc>
          <w:tcPr>
            <w:tcW w:w="1288" w:type="dxa"/>
            <w:vAlign w:val="center"/>
          </w:tcPr>
          <w:p w14:paraId="55A79A58">
            <w:pPr>
              <w:pStyle w:val="14"/>
            </w:pPr>
          </w:p>
        </w:tc>
        <w:tc>
          <w:tcPr>
            <w:tcW w:w="1289" w:type="dxa"/>
            <w:vAlign w:val="center"/>
          </w:tcPr>
          <w:p w14:paraId="76DAA0A0">
            <w:pPr>
              <w:pStyle w:val="14"/>
            </w:pPr>
            <w:r>
              <w:rPr>
                <w:rFonts w:hint="eastAsia"/>
              </w:rPr>
              <w:t>√</w:t>
            </w:r>
          </w:p>
        </w:tc>
        <w:tc>
          <w:tcPr>
            <w:tcW w:w="1288" w:type="dxa"/>
            <w:vAlign w:val="center"/>
          </w:tcPr>
          <w:p w14:paraId="30DD9248">
            <w:pPr>
              <w:pStyle w:val="14"/>
            </w:pPr>
            <w:r>
              <w:rPr>
                <w:rFonts w:hint="eastAsia"/>
              </w:rPr>
              <w:t>√</w:t>
            </w:r>
          </w:p>
        </w:tc>
        <w:tc>
          <w:tcPr>
            <w:tcW w:w="1289" w:type="dxa"/>
            <w:tcBorders>
              <w:right w:val="single" w:color="auto" w:sz="12" w:space="0"/>
            </w:tcBorders>
          </w:tcPr>
          <w:p w14:paraId="0F66451B">
            <w:pPr>
              <w:pStyle w:val="14"/>
            </w:pPr>
            <w:r>
              <w:rPr>
                <w:rFonts w:hint="eastAsia"/>
              </w:rPr>
              <w:t>√</w:t>
            </w:r>
          </w:p>
        </w:tc>
      </w:tr>
      <w:tr w14:paraId="3AE1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FDE214A">
            <w:pPr>
              <w:pStyle w:val="14"/>
            </w:pPr>
            <w:r>
              <w:t>第</w:t>
            </w:r>
            <w:r>
              <w:rPr>
                <w:rFonts w:hint="eastAsia"/>
              </w:rPr>
              <w:t>六</w:t>
            </w:r>
            <w:r>
              <w:t>单元</w:t>
            </w:r>
          </w:p>
        </w:tc>
        <w:tc>
          <w:tcPr>
            <w:tcW w:w="1288" w:type="dxa"/>
            <w:vAlign w:val="center"/>
          </w:tcPr>
          <w:p w14:paraId="51592FD3">
            <w:pPr>
              <w:pStyle w:val="14"/>
            </w:pPr>
            <w:r>
              <w:rPr>
                <w:rFonts w:hint="eastAsia"/>
              </w:rPr>
              <w:t>√</w:t>
            </w:r>
          </w:p>
        </w:tc>
        <w:tc>
          <w:tcPr>
            <w:tcW w:w="1288" w:type="dxa"/>
            <w:vAlign w:val="center"/>
          </w:tcPr>
          <w:p w14:paraId="3085ECF7">
            <w:pPr>
              <w:pStyle w:val="14"/>
            </w:pPr>
            <w:r>
              <w:rPr>
                <w:rFonts w:hint="eastAsia"/>
              </w:rPr>
              <w:t>√</w:t>
            </w:r>
          </w:p>
        </w:tc>
        <w:tc>
          <w:tcPr>
            <w:tcW w:w="1289" w:type="dxa"/>
            <w:vAlign w:val="center"/>
          </w:tcPr>
          <w:p w14:paraId="3F083C66">
            <w:pPr>
              <w:pStyle w:val="14"/>
            </w:pPr>
          </w:p>
        </w:tc>
        <w:tc>
          <w:tcPr>
            <w:tcW w:w="1288" w:type="dxa"/>
            <w:vAlign w:val="center"/>
          </w:tcPr>
          <w:p w14:paraId="1B9EDC72">
            <w:pPr>
              <w:pStyle w:val="14"/>
            </w:pPr>
          </w:p>
        </w:tc>
        <w:tc>
          <w:tcPr>
            <w:tcW w:w="1289" w:type="dxa"/>
            <w:tcBorders>
              <w:right w:val="single" w:color="auto" w:sz="12" w:space="0"/>
            </w:tcBorders>
          </w:tcPr>
          <w:p w14:paraId="0B514B28">
            <w:pPr>
              <w:pStyle w:val="14"/>
            </w:pPr>
            <w:r>
              <w:rPr>
                <w:rFonts w:hint="eastAsia"/>
              </w:rPr>
              <w:t>√</w:t>
            </w:r>
          </w:p>
        </w:tc>
      </w:tr>
    </w:tbl>
    <w:p w14:paraId="69835069">
      <w:pPr>
        <w:pStyle w:val="17"/>
        <w:spacing w:before="326" w:beforeLines="100" w:after="163"/>
        <w:outlineLvl w:val="2"/>
      </w:pPr>
      <w:r>
        <w:rPr>
          <w:rFonts w:hint="eastAsia"/>
        </w:rPr>
        <w:t>（三）课程教学方法与学时分配</w:t>
      </w:r>
      <w:bookmarkStart w:id="1" w:name="OLE_LINK2"/>
      <w:bookmarkStart w:id="2" w:name="OLE_LINK1"/>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726"/>
        <w:gridCol w:w="2323"/>
        <w:gridCol w:w="2316"/>
        <w:gridCol w:w="725"/>
        <w:gridCol w:w="669"/>
        <w:gridCol w:w="717"/>
      </w:tblGrid>
      <w:tr w14:paraId="049F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86" w:type="dxa"/>
            <w:vMerge w:val="restart"/>
            <w:tcBorders>
              <w:top w:val="single" w:color="auto" w:sz="12" w:space="0"/>
              <w:left w:val="single" w:color="auto" w:sz="12" w:space="0"/>
            </w:tcBorders>
            <w:vAlign w:val="center"/>
          </w:tcPr>
          <w:p w14:paraId="77FDFD7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268" w:type="dxa"/>
            <w:vMerge w:val="restart"/>
            <w:tcBorders>
              <w:top w:val="single" w:color="auto" w:sz="12" w:space="0"/>
            </w:tcBorders>
            <w:vAlign w:val="center"/>
          </w:tcPr>
          <w:p w14:paraId="2D547C8C">
            <w:pPr>
              <w:pStyle w:val="13"/>
              <w:widowControl w:val="0"/>
              <w:rPr>
                <w:szCs w:val="21"/>
              </w:rPr>
            </w:pPr>
            <w:r>
              <w:rPr>
                <w:rFonts w:hint="eastAsia" w:ascii="黑体" w:hAnsi="黑体"/>
                <w:szCs w:val="21"/>
              </w:rPr>
              <w:t>教与学方式</w:t>
            </w:r>
          </w:p>
        </w:tc>
        <w:tc>
          <w:tcPr>
            <w:tcW w:w="2261" w:type="dxa"/>
            <w:vMerge w:val="restart"/>
            <w:tcBorders>
              <w:top w:val="single" w:color="auto" w:sz="12" w:space="0"/>
            </w:tcBorders>
            <w:vAlign w:val="center"/>
          </w:tcPr>
          <w:p w14:paraId="0123FDE9">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6E5AED18">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911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86" w:type="dxa"/>
            <w:vMerge w:val="continue"/>
            <w:tcBorders>
              <w:left w:val="single" w:color="auto" w:sz="12" w:space="0"/>
            </w:tcBorders>
          </w:tcPr>
          <w:p w14:paraId="04F54A6A">
            <w:pPr>
              <w:widowControl w:val="0"/>
              <w:snapToGrid w:val="0"/>
              <w:jc w:val="center"/>
              <w:rPr>
                <w:rFonts w:ascii="黑体" w:hAnsi="黑体" w:eastAsia="黑体"/>
                <w:bCs/>
                <w:sz w:val="21"/>
                <w:szCs w:val="21"/>
              </w:rPr>
            </w:pPr>
          </w:p>
        </w:tc>
        <w:tc>
          <w:tcPr>
            <w:tcW w:w="2268" w:type="dxa"/>
            <w:vMerge w:val="continue"/>
          </w:tcPr>
          <w:p w14:paraId="7B1F36F8">
            <w:pPr>
              <w:widowControl w:val="0"/>
              <w:snapToGrid w:val="0"/>
              <w:jc w:val="center"/>
              <w:rPr>
                <w:rFonts w:ascii="黑体" w:hAnsi="黑体" w:eastAsia="黑体"/>
                <w:bCs/>
                <w:sz w:val="21"/>
                <w:szCs w:val="21"/>
              </w:rPr>
            </w:pPr>
          </w:p>
        </w:tc>
        <w:tc>
          <w:tcPr>
            <w:tcW w:w="2261" w:type="dxa"/>
            <w:vMerge w:val="continue"/>
          </w:tcPr>
          <w:p w14:paraId="137D89D3">
            <w:pPr>
              <w:widowControl w:val="0"/>
              <w:snapToGrid w:val="0"/>
              <w:jc w:val="center"/>
              <w:rPr>
                <w:rFonts w:ascii="黑体" w:hAnsi="黑体" w:eastAsia="黑体"/>
                <w:bCs/>
                <w:sz w:val="21"/>
                <w:szCs w:val="21"/>
              </w:rPr>
            </w:pPr>
          </w:p>
        </w:tc>
        <w:tc>
          <w:tcPr>
            <w:tcW w:w="708" w:type="dxa"/>
            <w:vAlign w:val="center"/>
          </w:tcPr>
          <w:p w14:paraId="2847865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4D591468">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71DD694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4C4A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vAlign w:val="center"/>
          </w:tcPr>
          <w:p w14:paraId="6DFF7C37">
            <w:pPr>
              <w:widowControl w:val="0"/>
              <w:snapToGrid w:val="0"/>
              <w:jc w:val="center"/>
              <w:rPr>
                <w:rFonts w:ascii="Times New Roman" w:hAnsi="Times New Roman"/>
                <w:bCs/>
                <w:sz w:val="21"/>
                <w:szCs w:val="21"/>
              </w:rPr>
            </w:pPr>
            <w:r>
              <w:t>第一单元</w:t>
            </w:r>
          </w:p>
        </w:tc>
        <w:tc>
          <w:tcPr>
            <w:tcW w:w="2268" w:type="dxa"/>
            <w:vAlign w:val="center"/>
          </w:tcPr>
          <w:p w14:paraId="1BC6C5DC">
            <w:pPr>
              <w:widowControl w:val="0"/>
              <w:snapToGrid w:val="0"/>
              <w:jc w:val="center"/>
              <w:rPr>
                <w:rFonts w:ascii="Times New Roman" w:hAnsi="Times New Roman"/>
                <w:bCs/>
                <w:sz w:val="21"/>
                <w:szCs w:val="21"/>
              </w:rPr>
            </w:pPr>
            <w:r>
              <w:rPr>
                <w:rFonts w:hint="eastAsia" w:ascii="Times New Roman" w:hAnsi="Times New Roman"/>
                <w:bCs/>
                <w:sz w:val="21"/>
                <w:szCs w:val="21"/>
              </w:rPr>
              <w:t>任务驱动法、比较法</w:t>
            </w:r>
          </w:p>
        </w:tc>
        <w:tc>
          <w:tcPr>
            <w:tcW w:w="2261" w:type="dxa"/>
            <w:vAlign w:val="center"/>
          </w:tcPr>
          <w:p w14:paraId="39219894">
            <w:pPr>
              <w:widowControl w:val="0"/>
              <w:snapToGrid w:val="0"/>
              <w:jc w:val="center"/>
              <w:rPr>
                <w:rFonts w:ascii="Times New Roman" w:hAnsi="Times New Roman"/>
                <w:bCs/>
                <w:sz w:val="21"/>
                <w:szCs w:val="21"/>
              </w:rPr>
            </w:pPr>
            <w:r>
              <w:rPr>
                <w:rFonts w:hint="eastAsia" w:ascii="Times New Roman" w:hAnsi="Times New Roman"/>
                <w:bCs/>
                <w:sz w:val="21"/>
                <w:szCs w:val="21"/>
              </w:rPr>
              <w:t>笔试+课堂表现</w:t>
            </w:r>
          </w:p>
        </w:tc>
        <w:tc>
          <w:tcPr>
            <w:tcW w:w="708" w:type="dxa"/>
            <w:vAlign w:val="center"/>
          </w:tcPr>
          <w:p w14:paraId="2420F12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0AA3CD9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E34163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DE2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vAlign w:val="center"/>
          </w:tcPr>
          <w:p w14:paraId="0E03F3C5">
            <w:pPr>
              <w:widowControl w:val="0"/>
              <w:snapToGrid w:val="0"/>
              <w:jc w:val="center"/>
              <w:rPr>
                <w:rFonts w:ascii="Times New Roman" w:hAnsi="Times New Roman"/>
                <w:bCs/>
                <w:sz w:val="21"/>
                <w:szCs w:val="21"/>
              </w:rPr>
            </w:pPr>
            <w:r>
              <w:t>第二单元</w:t>
            </w:r>
          </w:p>
        </w:tc>
        <w:tc>
          <w:tcPr>
            <w:tcW w:w="2268" w:type="dxa"/>
            <w:vAlign w:val="center"/>
          </w:tcPr>
          <w:p w14:paraId="1AB399C1">
            <w:pPr>
              <w:widowControl w:val="0"/>
              <w:snapToGrid w:val="0"/>
              <w:jc w:val="center"/>
              <w:rPr>
                <w:rFonts w:ascii="Times New Roman" w:hAnsi="Times New Roman"/>
                <w:bCs/>
                <w:sz w:val="21"/>
                <w:szCs w:val="21"/>
              </w:rPr>
            </w:pPr>
            <w:r>
              <w:rPr>
                <w:rFonts w:hint="eastAsia" w:ascii="Times New Roman" w:hAnsi="Times New Roman"/>
                <w:bCs/>
                <w:sz w:val="21"/>
                <w:szCs w:val="21"/>
              </w:rPr>
              <w:t>任务驱动法、比较法</w:t>
            </w:r>
          </w:p>
        </w:tc>
        <w:tc>
          <w:tcPr>
            <w:tcW w:w="2261" w:type="dxa"/>
            <w:vAlign w:val="center"/>
          </w:tcPr>
          <w:p w14:paraId="35502521">
            <w:pPr>
              <w:widowControl w:val="0"/>
              <w:snapToGrid w:val="0"/>
              <w:jc w:val="center"/>
              <w:rPr>
                <w:rFonts w:ascii="Times New Roman" w:hAnsi="Times New Roman"/>
                <w:bCs/>
                <w:sz w:val="21"/>
                <w:szCs w:val="21"/>
              </w:rPr>
            </w:pPr>
            <w:r>
              <w:rPr>
                <w:rFonts w:hint="eastAsia" w:ascii="Times New Roman" w:hAnsi="Times New Roman"/>
                <w:bCs/>
                <w:sz w:val="21"/>
                <w:szCs w:val="21"/>
              </w:rPr>
              <w:t>笔试+课堂表现</w:t>
            </w:r>
          </w:p>
        </w:tc>
        <w:tc>
          <w:tcPr>
            <w:tcW w:w="708" w:type="dxa"/>
            <w:vAlign w:val="center"/>
          </w:tcPr>
          <w:p w14:paraId="0BEF1D3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5C359F5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66F03E1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4C8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vAlign w:val="center"/>
          </w:tcPr>
          <w:p w14:paraId="63A020F6">
            <w:pPr>
              <w:widowControl w:val="0"/>
              <w:snapToGrid w:val="0"/>
              <w:jc w:val="center"/>
              <w:rPr>
                <w:rFonts w:ascii="Times New Roman" w:hAnsi="Times New Roman"/>
                <w:bCs/>
                <w:sz w:val="21"/>
                <w:szCs w:val="21"/>
              </w:rPr>
            </w:pPr>
            <w:r>
              <w:t>第</w:t>
            </w:r>
            <w:r>
              <w:rPr>
                <w:rFonts w:hint="eastAsia"/>
              </w:rPr>
              <w:t>三</w:t>
            </w:r>
            <w:r>
              <w:t>单元</w:t>
            </w:r>
          </w:p>
        </w:tc>
        <w:tc>
          <w:tcPr>
            <w:tcW w:w="2268" w:type="dxa"/>
            <w:vAlign w:val="center"/>
          </w:tcPr>
          <w:p w14:paraId="03C37A22">
            <w:pPr>
              <w:widowControl w:val="0"/>
              <w:snapToGrid w:val="0"/>
              <w:jc w:val="center"/>
              <w:rPr>
                <w:rFonts w:ascii="Times New Roman" w:hAnsi="Times New Roman"/>
                <w:bCs/>
                <w:sz w:val="21"/>
                <w:szCs w:val="21"/>
              </w:rPr>
            </w:pPr>
            <w:r>
              <w:rPr>
                <w:rFonts w:hint="eastAsia" w:ascii="Times New Roman" w:hAnsi="Times New Roman"/>
                <w:bCs/>
                <w:sz w:val="21"/>
                <w:szCs w:val="21"/>
              </w:rPr>
              <w:t>任务驱动法、比较法</w:t>
            </w:r>
          </w:p>
        </w:tc>
        <w:tc>
          <w:tcPr>
            <w:tcW w:w="2261" w:type="dxa"/>
            <w:vAlign w:val="center"/>
          </w:tcPr>
          <w:p w14:paraId="4365846A">
            <w:pPr>
              <w:widowControl w:val="0"/>
              <w:snapToGrid w:val="0"/>
              <w:jc w:val="center"/>
              <w:rPr>
                <w:rFonts w:ascii="Times New Roman" w:hAnsi="Times New Roman"/>
                <w:bCs/>
                <w:sz w:val="21"/>
                <w:szCs w:val="21"/>
              </w:rPr>
            </w:pPr>
            <w:r>
              <w:rPr>
                <w:rFonts w:hint="eastAsia" w:ascii="Times New Roman" w:hAnsi="Times New Roman"/>
                <w:bCs/>
                <w:sz w:val="21"/>
                <w:szCs w:val="21"/>
              </w:rPr>
              <w:t>笔试+课堂表现</w:t>
            </w:r>
          </w:p>
        </w:tc>
        <w:tc>
          <w:tcPr>
            <w:tcW w:w="708" w:type="dxa"/>
            <w:vAlign w:val="center"/>
          </w:tcPr>
          <w:p w14:paraId="480CF6F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71F4346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5CBF02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5EA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vAlign w:val="center"/>
          </w:tcPr>
          <w:p w14:paraId="024AF7BA">
            <w:pPr>
              <w:widowControl w:val="0"/>
              <w:snapToGrid w:val="0"/>
              <w:jc w:val="center"/>
              <w:rPr>
                <w:rFonts w:ascii="Times New Roman" w:hAnsi="Times New Roman"/>
                <w:bCs/>
                <w:sz w:val="21"/>
                <w:szCs w:val="21"/>
              </w:rPr>
            </w:pPr>
            <w:r>
              <w:t>第</w:t>
            </w:r>
            <w:r>
              <w:rPr>
                <w:rFonts w:hint="eastAsia"/>
              </w:rPr>
              <w:t>四</w:t>
            </w:r>
            <w:r>
              <w:t>单元</w:t>
            </w:r>
          </w:p>
        </w:tc>
        <w:tc>
          <w:tcPr>
            <w:tcW w:w="2268" w:type="dxa"/>
            <w:vAlign w:val="center"/>
          </w:tcPr>
          <w:p w14:paraId="6B2AAB2E">
            <w:pPr>
              <w:widowControl w:val="0"/>
              <w:snapToGrid w:val="0"/>
              <w:jc w:val="center"/>
              <w:rPr>
                <w:rFonts w:ascii="Times New Roman" w:hAnsi="Times New Roman"/>
                <w:bCs/>
                <w:sz w:val="21"/>
                <w:szCs w:val="21"/>
              </w:rPr>
            </w:pPr>
            <w:r>
              <w:rPr>
                <w:rFonts w:hint="eastAsia" w:ascii="Times New Roman" w:hAnsi="Times New Roman"/>
                <w:bCs/>
                <w:sz w:val="21"/>
                <w:szCs w:val="21"/>
              </w:rPr>
              <w:t>任务驱动法、比较法</w:t>
            </w:r>
          </w:p>
        </w:tc>
        <w:tc>
          <w:tcPr>
            <w:tcW w:w="2261" w:type="dxa"/>
            <w:vAlign w:val="center"/>
          </w:tcPr>
          <w:p w14:paraId="28B2DC9F">
            <w:pPr>
              <w:widowControl w:val="0"/>
              <w:snapToGrid w:val="0"/>
              <w:jc w:val="center"/>
              <w:rPr>
                <w:rFonts w:ascii="Times New Roman" w:hAnsi="Times New Roman"/>
                <w:bCs/>
                <w:sz w:val="21"/>
                <w:szCs w:val="21"/>
              </w:rPr>
            </w:pPr>
            <w:r>
              <w:rPr>
                <w:rFonts w:hint="eastAsia" w:ascii="Times New Roman" w:hAnsi="Times New Roman"/>
                <w:bCs/>
                <w:sz w:val="21"/>
                <w:szCs w:val="21"/>
              </w:rPr>
              <w:t>笔试+课堂表现</w:t>
            </w:r>
          </w:p>
        </w:tc>
        <w:tc>
          <w:tcPr>
            <w:tcW w:w="708" w:type="dxa"/>
            <w:vAlign w:val="center"/>
          </w:tcPr>
          <w:p w14:paraId="00D5BFE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6AC7FCD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03034E9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330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vAlign w:val="center"/>
          </w:tcPr>
          <w:p w14:paraId="6AC5921F">
            <w:pPr>
              <w:widowControl w:val="0"/>
              <w:snapToGrid w:val="0"/>
              <w:jc w:val="center"/>
              <w:rPr>
                <w:rFonts w:ascii="Times New Roman" w:hAnsi="Times New Roman"/>
                <w:bCs/>
                <w:sz w:val="21"/>
                <w:szCs w:val="21"/>
              </w:rPr>
            </w:pPr>
            <w:r>
              <w:t>第</w:t>
            </w:r>
            <w:r>
              <w:rPr>
                <w:rFonts w:hint="eastAsia"/>
              </w:rPr>
              <w:t>五</w:t>
            </w:r>
            <w:r>
              <w:t>单元</w:t>
            </w:r>
          </w:p>
        </w:tc>
        <w:tc>
          <w:tcPr>
            <w:tcW w:w="2268" w:type="dxa"/>
            <w:vAlign w:val="center"/>
          </w:tcPr>
          <w:p w14:paraId="6A9A9DA1">
            <w:pPr>
              <w:widowControl w:val="0"/>
              <w:snapToGrid w:val="0"/>
              <w:jc w:val="center"/>
              <w:rPr>
                <w:rFonts w:ascii="Times New Roman" w:hAnsi="Times New Roman"/>
                <w:bCs/>
                <w:sz w:val="21"/>
                <w:szCs w:val="21"/>
              </w:rPr>
            </w:pPr>
            <w:r>
              <w:rPr>
                <w:rFonts w:hint="eastAsia" w:ascii="Times New Roman" w:hAnsi="Times New Roman"/>
                <w:bCs/>
                <w:sz w:val="21"/>
                <w:szCs w:val="21"/>
              </w:rPr>
              <w:t>任务驱动法、比较法</w:t>
            </w:r>
          </w:p>
        </w:tc>
        <w:tc>
          <w:tcPr>
            <w:tcW w:w="2261" w:type="dxa"/>
            <w:vAlign w:val="center"/>
          </w:tcPr>
          <w:p w14:paraId="2185A6C1">
            <w:pPr>
              <w:widowControl w:val="0"/>
              <w:snapToGrid w:val="0"/>
              <w:jc w:val="center"/>
              <w:rPr>
                <w:rFonts w:ascii="Times New Roman" w:hAnsi="Times New Roman"/>
                <w:bCs/>
                <w:sz w:val="21"/>
                <w:szCs w:val="21"/>
              </w:rPr>
            </w:pPr>
            <w:r>
              <w:rPr>
                <w:rFonts w:hint="eastAsia" w:ascii="Times New Roman" w:hAnsi="Times New Roman"/>
                <w:bCs/>
                <w:sz w:val="21"/>
                <w:szCs w:val="21"/>
              </w:rPr>
              <w:t>翻译大作业+课堂表现</w:t>
            </w:r>
          </w:p>
        </w:tc>
        <w:tc>
          <w:tcPr>
            <w:tcW w:w="708" w:type="dxa"/>
            <w:vAlign w:val="center"/>
          </w:tcPr>
          <w:p w14:paraId="528EA34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53" w:type="dxa"/>
            <w:vAlign w:val="center"/>
          </w:tcPr>
          <w:p w14:paraId="54C538C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0BAA26F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50BD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vAlign w:val="center"/>
          </w:tcPr>
          <w:p w14:paraId="530B522B">
            <w:pPr>
              <w:widowControl w:val="0"/>
              <w:snapToGrid w:val="0"/>
              <w:jc w:val="center"/>
              <w:rPr>
                <w:rFonts w:ascii="Times New Roman" w:hAnsi="Times New Roman"/>
                <w:bCs/>
                <w:sz w:val="21"/>
                <w:szCs w:val="21"/>
              </w:rPr>
            </w:pPr>
            <w:r>
              <w:t>第</w:t>
            </w:r>
            <w:r>
              <w:rPr>
                <w:rFonts w:hint="eastAsia"/>
              </w:rPr>
              <w:t>六</w:t>
            </w:r>
            <w:r>
              <w:t>单元</w:t>
            </w:r>
          </w:p>
        </w:tc>
        <w:tc>
          <w:tcPr>
            <w:tcW w:w="2268" w:type="dxa"/>
            <w:vAlign w:val="center"/>
          </w:tcPr>
          <w:p w14:paraId="53DA0377">
            <w:pPr>
              <w:widowControl w:val="0"/>
              <w:snapToGrid w:val="0"/>
              <w:jc w:val="center"/>
              <w:rPr>
                <w:rFonts w:ascii="Times New Roman" w:hAnsi="Times New Roman"/>
                <w:bCs/>
                <w:sz w:val="21"/>
                <w:szCs w:val="21"/>
              </w:rPr>
            </w:pPr>
            <w:r>
              <w:rPr>
                <w:rFonts w:hint="eastAsia" w:ascii="Times New Roman" w:hAnsi="Times New Roman"/>
                <w:bCs/>
                <w:sz w:val="21"/>
                <w:szCs w:val="21"/>
              </w:rPr>
              <w:t>任务驱动法、比较法</w:t>
            </w:r>
          </w:p>
        </w:tc>
        <w:tc>
          <w:tcPr>
            <w:tcW w:w="2261" w:type="dxa"/>
            <w:vAlign w:val="center"/>
          </w:tcPr>
          <w:p w14:paraId="3D42B501">
            <w:pPr>
              <w:widowControl w:val="0"/>
              <w:snapToGrid w:val="0"/>
              <w:jc w:val="center"/>
              <w:rPr>
                <w:rFonts w:ascii="Times New Roman" w:hAnsi="Times New Roman"/>
                <w:bCs/>
                <w:sz w:val="21"/>
                <w:szCs w:val="21"/>
              </w:rPr>
            </w:pPr>
            <w:r>
              <w:rPr>
                <w:rFonts w:hint="eastAsia" w:ascii="Times New Roman" w:hAnsi="Times New Roman"/>
                <w:bCs/>
                <w:sz w:val="21"/>
                <w:szCs w:val="21"/>
              </w:rPr>
              <w:t>翻译大作业+课堂表现</w:t>
            </w:r>
          </w:p>
        </w:tc>
        <w:tc>
          <w:tcPr>
            <w:tcW w:w="708" w:type="dxa"/>
            <w:vAlign w:val="center"/>
          </w:tcPr>
          <w:p w14:paraId="2D14365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525D84A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0A43A08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BB7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5247A175">
            <w:pPr>
              <w:pStyle w:val="13"/>
              <w:widowControl w:val="0"/>
            </w:pPr>
            <w:r>
              <w:rPr>
                <w:rFonts w:hint="eastAsia"/>
              </w:rPr>
              <w:t>合计</w:t>
            </w:r>
          </w:p>
        </w:tc>
        <w:tc>
          <w:tcPr>
            <w:tcW w:w="708" w:type="dxa"/>
            <w:tcBorders>
              <w:bottom w:val="single" w:color="auto" w:sz="12" w:space="0"/>
            </w:tcBorders>
            <w:vAlign w:val="center"/>
          </w:tcPr>
          <w:p w14:paraId="406E83B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653" w:type="dxa"/>
            <w:tcBorders>
              <w:bottom w:val="single" w:color="auto" w:sz="12" w:space="0"/>
            </w:tcBorders>
            <w:vAlign w:val="center"/>
          </w:tcPr>
          <w:p w14:paraId="026C490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bottom w:val="single" w:color="auto" w:sz="12" w:space="0"/>
              <w:right w:val="single" w:color="auto" w:sz="12" w:space="0"/>
            </w:tcBorders>
            <w:vAlign w:val="center"/>
          </w:tcPr>
          <w:p w14:paraId="30DE410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4A6079A1">
      <w:pPr>
        <w:pStyle w:val="16"/>
        <w:spacing w:before="326" w:beforeLines="100" w:line="360" w:lineRule="auto"/>
        <w:rPr>
          <w:rFonts w:ascii="黑体" w:hAnsi="宋体"/>
        </w:rPr>
      </w:pPr>
      <w:bookmarkStart w:id="5" w:name="_GoBack"/>
      <w:bookmarkEnd w:id="5"/>
      <w:r>
        <w:rPr>
          <w:rFonts w:hint="eastAsia" w:ascii="黑体" w:hAnsi="宋体"/>
        </w:rPr>
        <w:t>四、课程思政教学设计</w:t>
      </w:r>
    </w:p>
    <w:bookmarkEnd w:id="1"/>
    <w:bookmarkEnd w:id="2"/>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D4C73FA">
            <w:pPr>
              <w:pStyle w:val="14"/>
              <w:widowControl w:val="0"/>
              <w:ind w:firstLine="420" w:firstLineChars="200"/>
              <w:jc w:val="left"/>
              <w:rPr>
                <w:rFonts w:hint="eastAsia" w:ascii="宋体" w:hAnsi="宋体" w:eastAsia="宋体" w:cs="宋体"/>
                <w:bCs/>
                <w:lang w:eastAsia="ja-JP"/>
              </w:rPr>
            </w:pPr>
            <w:r>
              <w:rPr>
                <w:rFonts w:hint="eastAsia" w:ascii="宋体" w:hAnsi="宋体" w:eastAsia="宋体" w:cs="宋体"/>
                <w:bCs/>
                <w:lang w:eastAsia="ja-JP"/>
              </w:rPr>
              <w:t>面向二年级学生，根据课堂实际教学情况，来自然导入课程思政内容。教育学生校规校纪是为了维护正常的教学秩序、督促学生良好学习生活而提出的行为准则，我们理应主动了解学校制定的纪律与基本要求，并以此规范自身行为，以遵守校规校纪的良好行为来维护学习纪律的严肃性。例如要求学生上课准时达到教室，课堂严禁使用手机，遵守课堂纪律等。</w:t>
            </w:r>
          </w:p>
          <w:p w14:paraId="0E222DF1">
            <w:pPr>
              <w:pStyle w:val="14"/>
              <w:widowControl w:val="0"/>
              <w:jc w:val="left"/>
              <w:rPr>
                <w:rFonts w:eastAsia="MS Mincho"/>
                <w:bCs/>
                <w:lang w:eastAsia="ja-JP"/>
              </w:rPr>
            </w:pPr>
            <w:r>
              <w:rPr>
                <w:rFonts w:hint="eastAsia" w:ascii="宋体" w:hAnsi="宋体" w:eastAsia="宋体" w:cs="宋体"/>
                <w:bCs/>
                <w:lang w:eastAsia="ja-JP"/>
              </w:rPr>
              <w:t>另外，鼓励学生勤奋努力，以科学的学习态度对待学习，客观分析中外文化差异。以第一单元“文化偏见专题”为例，了解文化偏见中常见的刻板印象、偏见、歧视、种族主义等的概念解释、特征、分类，并掌握各种成因及之间关系。能够理解及辨别跨文化交际过程中常见的文化偏见现象，思考并剖析出现此类现象的原因，及可能产生的影响。增强文化自信。通过对文化偏见的理解，调节自身文化身份及思维定势，帮助分析解读社会主义核心价值观，深化在全球化世界中树立自身民族文化自信的认知，培养中国情怀；培养辩证思维能力，从理论视角辩证看待国内及世界范围内时事，进一步深化培养跨文化交际意识与跨文化交际能力。</w:t>
            </w:r>
          </w:p>
        </w:tc>
      </w:tr>
    </w:tbl>
    <w:p w14:paraId="13F3A459">
      <w:pPr>
        <w:pStyle w:val="16"/>
        <w:spacing w:before="326" w:beforeLines="100" w:line="360" w:lineRule="auto"/>
        <w:rPr>
          <w:rFonts w:ascii="黑体" w:hAnsi="宋体"/>
        </w:rPr>
      </w:pPr>
      <w:r>
        <w:rPr>
          <w:rFonts w:hint="eastAsia" w:ascii="黑体" w:hAnsi="宋体"/>
        </w:rPr>
        <w:t>五、课程考核</w:t>
      </w:r>
      <w:bookmarkStart w:id="3" w:name="OLE_LINK4"/>
      <w:bookmarkStart w:id="4" w:name="OLE_LINK3"/>
    </w:p>
    <w:bookmarkEnd w:id="3"/>
    <w:bookmarkEnd w:id="4"/>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14:paraId="4D29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307AA7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240BA6">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DFC742A">
            <w:pPr>
              <w:pStyle w:val="16"/>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7ED5884A">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082F72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AA2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CEA6531">
            <w:pPr>
              <w:widowControl w:val="0"/>
              <w:snapToGrid w:val="0"/>
              <w:jc w:val="center"/>
              <w:rPr>
                <w:rFonts w:ascii="黑体" w:hAnsi="黑体" w:eastAsia="黑体"/>
                <w:bCs/>
                <w:sz w:val="21"/>
                <w:szCs w:val="21"/>
              </w:rPr>
            </w:pPr>
          </w:p>
        </w:tc>
        <w:tc>
          <w:tcPr>
            <w:tcW w:w="709" w:type="dxa"/>
            <w:vMerge w:val="continue"/>
          </w:tcPr>
          <w:p w14:paraId="3738C857">
            <w:pPr>
              <w:pStyle w:val="16"/>
              <w:widowControl w:val="0"/>
              <w:jc w:val="both"/>
              <w:rPr>
                <w:rFonts w:ascii="黑体" w:hAnsi="黑体"/>
                <w:bCs/>
                <w:sz w:val="21"/>
                <w:szCs w:val="21"/>
              </w:rPr>
            </w:pPr>
          </w:p>
        </w:tc>
        <w:tc>
          <w:tcPr>
            <w:tcW w:w="2353" w:type="dxa"/>
            <w:vMerge w:val="continue"/>
            <w:tcBorders>
              <w:right w:val="double" w:color="auto" w:sz="4" w:space="0"/>
            </w:tcBorders>
          </w:tcPr>
          <w:p w14:paraId="72218CF5">
            <w:pPr>
              <w:pStyle w:val="16"/>
              <w:widowControl w:val="0"/>
              <w:jc w:val="both"/>
              <w:rPr>
                <w:rFonts w:ascii="黑体" w:hAnsi="黑体"/>
                <w:bCs/>
                <w:sz w:val="21"/>
                <w:szCs w:val="21"/>
              </w:rPr>
            </w:pPr>
          </w:p>
        </w:tc>
        <w:tc>
          <w:tcPr>
            <w:tcW w:w="612" w:type="dxa"/>
            <w:tcBorders>
              <w:left w:val="double" w:color="auto" w:sz="4" w:space="0"/>
            </w:tcBorders>
            <w:vAlign w:val="center"/>
          </w:tcPr>
          <w:p w14:paraId="5B0A7718">
            <w:pPr>
              <w:pStyle w:val="16"/>
              <w:widowControl w:val="0"/>
              <w:spacing w:line="240" w:lineRule="auto"/>
              <w:jc w:val="center"/>
              <w:rPr>
                <w:rFonts w:ascii="黑体" w:hAnsi="黑体" w:eastAsia="MS Mincho"/>
                <w:bCs/>
                <w:sz w:val="21"/>
                <w:szCs w:val="21"/>
                <w:lang w:eastAsia="ja-JP"/>
              </w:rPr>
            </w:pPr>
            <w:r>
              <w:rPr>
                <w:rFonts w:hint="eastAsia" w:ascii="黑体" w:hAnsi="黑体" w:eastAsia="MS Mincho"/>
                <w:bCs/>
                <w:sz w:val="21"/>
                <w:szCs w:val="21"/>
                <w:lang w:eastAsia="ja-JP"/>
              </w:rPr>
              <w:t>1</w:t>
            </w:r>
          </w:p>
        </w:tc>
        <w:tc>
          <w:tcPr>
            <w:tcW w:w="612" w:type="dxa"/>
            <w:vAlign w:val="center"/>
          </w:tcPr>
          <w:p w14:paraId="3B87B02E">
            <w:pPr>
              <w:pStyle w:val="16"/>
              <w:widowControl w:val="0"/>
              <w:spacing w:line="240" w:lineRule="auto"/>
              <w:jc w:val="center"/>
              <w:rPr>
                <w:rFonts w:ascii="黑体" w:hAnsi="黑体" w:eastAsia="MS Mincho"/>
                <w:bCs/>
                <w:sz w:val="21"/>
                <w:szCs w:val="21"/>
                <w:lang w:eastAsia="ja-JP"/>
              </w:rPr>
            </w:pPr>
            <w:r>
              <w:rPr>
                <w:rFonts w:hint="eastAsia" w:ascii="黑体" w:hAnsi="黑体" w:eastAsia="MS Mincho"/>
                <w:bCs/>
                <w:sz w:val="21"/>
                <w:szCs w:val="21"/>
                <w:lang w:eastAsia="ja-JP"/>
              </w:rPr>
              <w:t>2</w:t>
            </w:r>
          </w:p>
        </w:tc>
        <w:tc>
          <w:tcPr>
            <w:tcW w:w="612" w:type="dxa"/>
            <w:vAlign w:val="center"/>
          </w:tcPr>
          <w:p w14:paraId="5F7EB418">
            <w:pPr>
              <w:pStyle w:val="16"/>
              <w:widowControl w:val="0"/>
              <w:spacing w:line="240" w:lineRule="auto"/>
              <w:jc w:val="center"/>
              <w:rPr>
                <w:rFonts w:ascii="黑体" w:hAnsi="黑体" w:eastAsia="MS Mincho"/>
                <w:bCs/>
                <w:sz w:val="21"/>
                <w:szCs w:val="21"/>
                <w:lang w:eastAsia="ja-JP"/>
              </w:rPr>
            </w:pPr>
            <w:r>
              <w:rPr>
                <w:rFonts w:hint="eastAsia" w:ascii="黑体" w:hAnsi="黑体" w:eastAsia="MS Mincho"/>
                <w:bCs/>
                <w:sz w:val="21"/>
                <w:szCs w:val="21"/>
                <w:lang w:eastAsia="ja-JP"/>
              </w:rPr>
              <w:t>3</w:t>
            </w:r>
          </w:p>
        </w:tc>
        <w:tc>
          <w:tcPr>
            <w:tcW w:w="612" w:type="dxa"/>
            <w:vAlign w:val="center"/>
          </w:tcPr>
          <w:p w14:paraId="1ACFDF54">
            <w:pPr>
              <w:pStyle w:val="16"/>
              <w:widowControl w:val="0"/>
              <w:spacing w:line="240" w:lineRule="auto"/>
              <w:jc w:val="center"/>
              <w:rPr>
                <w:rFonts w:ascii="黑体" w:hAnsi="黑体" w:eastAsia="MS Mincho"/>
                <w:bCs/>
                <w:sz w:val="21"/>
                <w:szCs w:val="21"/>
                <w:lang w:eastAsia="ja-JP"/>
              </w:rPr>
            </w:pPr>
            <w:r>
              <w:rPr>
                <w:rFonts w:hint="eastAsia" w:ascii="黑体" w:hAnsi="黑体" w:eastAsia="MS Mincho"/>
                <w:bCs/>
                <w:sz w:val="21"/>
                <w:szCs w:val="21"/>
                <w:lang w:eastAsia="ja-JP"/>
              </w:rPr>
              <w:t>4</w:t>
            </w:r>
          </w:p>
        </w:tc>
        <w:tc>
          <w:tcPr>
            <w:tcW w:w="706" w:type="dxa"/>
            <w:vMerge w:val="continue"/>
            <w:tcBorders>
              <w:right w:val="single" w:color="auto" w:sz="12" w:space="0"/>
            </w:tcBorders>
          </w:tcPr>
          <w:p w14:paraId="62E91C4C">
            <w:pPr>
              <w:pStyle w:val="16"/>
              <w:widowControl w:val="0"/>
              <w:spacing w:line="240" w:lineRule="auto"/>
              <w:jc w:val="center"/>
              <w:rPr>
                <w:rFonts w:ascii="黑体" w:hAnsi="黑体"/>
                <w:bCs/>
                <w:sz w:val="21"/>
                <w:szCs w:val="21"/>
              </w:rPr>
            </w:pPr>
          </w:p>
        </w:tc>
      </w:tr>
      <w:tr w14:paraId="5DFA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EF76E7A">
            <w:pPr>
              <w:widowControl w:val="0"/>
              <w:snapToGrid w:val="0"/>
              <w:jc w:val="center"/>
              <w:rPr>
                <w:rFonts w:ascii="Arial" w:hAnsi="Arial" w:eastAsia="MS Mincho" w:cs="Arial"/>
                <w:bCs/>
                <w:sz w:val="21"/>
                <w:szCs w:val="21"/>
                <w:lang w:eastAsia="ja-JP"/>
              </w:rPr>
            </w:pPr>
            <w:r>
              <w:rPr>
                <w:rFonts w:hint="eastAsia" w:ascii="Arial" w:hAnsi="Arial" w:cs="Arial"/>
                <w:bCs/>
                <w:sz w:val="21"/>
                <w:szCs w:val="21"/>
                <w:lang w:val="en-US" w:eastAsia="zh-CN"/>
              </w:rPr>
              <w:t>1</w:t>
            </w:r>
          </w:p>
        </w:tc>
        <w:tc>
          <w:tcPr>
            <w:tcW w:w="709" w:type="dxa"/>
            <w:vAlign w:val="center"/>
          </w:tcPr>
          <w:p w14:paraId="35561B62">
            <w:pPr>
              <w:pStyle w:val="14"/>
              <w:widowControl w:val="0"/>
            </w:pPr>
            <w:r>
              <w:rPr>
                <w:rFonts w:eastAsia="MS Mincho" w:cs="Times New Roman"/>
                <w:lang w:eastAsia="ja-JP"/>
              </w:rPr>
              <w:t>60％</w:t>
            </w:r>
          </w:p>
        </w:tc>
        <w:tc>
          <w:tcPr>
            <w:tcW w:w="2353" w:type="dxa"/>
            <w:tcBorders>
              <w:right w:val="double" w:color="auto" w:sz="4" w:space="0"/>
            </w:tcBorders>
            <w:vAlign w:val="center"/>
          </w:tcPr>
          <w:p w14:paraId="36A92CAE">
            <w:pPr>
              <w:pStyle w:val="14"/>
              <w:widowControl w:val="0"/>
            </w:pPr>
            <w:r>
              <w:rPr>
                <w:rFonts w:hint="eastAsia" w:ascii="宋体" w:hAnsi="宋体"/>
                <w:bCs/>
                <w:szCs w:val="20"/>
              </w:rPr>
              <w:t>期末</w:t>
            </w:r>
            <w:r>
              <w:rPr>
                <w:rFonts w:hint="eastAsia" w:ascii="宋体" w:hAnsi="宋体"/>
                <w:bCs/>
                <w:szCs w:val="20"/>
                <w:lang w:val="en-US" w:eastAsia="zh-CN"/>
              </w:rPr>
              <w:t>考试</w:t>
            </w:r>
          </w:p>
        </w:tc>
        <w:tc>
          <w:tcPr>
            <w:tcW w:w="612" w:type="dxa"/>
            <w:tcBorders>
              <w:left w:val="double" w:color="auto" w:sz="4" w:space="0"/>
            </w:tcBorders>
            <w:vAlign w:val="center"/>
          </w:tcPr>
          <w:p w14:paraId="3E63E94F">
            <w:pPr>
              <w:pStyle w:val="14"/>
              <w:widowControl w:val="0"/>
              <w:rPr>
                <w:rFonts w:eastAsia="MS Mincho"/>
                <w:lang w:eastAsia="ja-JP"/>
              </w:rPr>
            </w:pPr>
            <w:r>
              <w:rPr>
                <w:rFonts w:hint="eastAsia" w:eastAsia="MS Mincho"/>
                <w:lang w:eastAsia="ja-JP"/>
              </w:rPr>
              <w:t>4</w:t>
            </w:r>
            <w:r>
              <w:rPr>
                <w:rFonts w:eastAsia="MS Mincho"/>
                <w:lang w:eastAsia="ja-JP"/>
              </w:rPr>
              <w:t>0</w:t>
            </w:r>
          </w:p>
        </w:tc>
        <w:tc>
          <w:tcPr>
            <w:tcW w:w="612" w:type="dxa"/>
            <w:vAlign w:val="center"/>
          </w:tcPr>
          <w:p w14:paraId="2833F605">
            <w:pPr>
              <w:pStyle w:val="14"/>
              <w:widowControl w:val="0"/>
              <w:rPr>
                <w:rFonts w:eastAsia="MS Mincho"/>
                <w:lang w:eastAsia="ja-JP"/>
              </w:rPr>
            </w:pPr>
            <w:r>
              <w:rPr>
                <w:rFonts w:hint="eastAsia" w:eastAsia="MS Mincho"/>
                <w:lang w:eastAsia="ja-JP"/>
              </w:rPr>
              <w:t>20</w:t>
            </w:r>
          </w:p>
        </w:tc>
        <w:tc>
          <w:tcPr>
            <w:tcW w:w="612" w:type="dxa"/>
            <w:vAlign w:val="center"/>
          </w:tcPr>
          <w:p w14:paraId="3C7BBD66">
            <w:pPr>
              <w:pStyle w:val="14"/>
              <w:widowControl w:val="0"/>
              <w:rPr>
                <w:rFonts w:eastAsia="MS Mincho"/>
                <w:lang w:eastAsia="ja-JP"/>
              </w:rPr>
            </w:pPr>
            <w:r>
              <w:rPr>
                <w:rFonts w:hint="eastAsia" w:eastAsia="MS Mincho"/>
                <w:lang w:eastAsia="ja-JP"/>
              </w:rPr>
              <w:t>40</w:t>
            </w:r>
          </w:p>
        </w:tc>
        <w:tc>
          <w:tcPr>
            <w:tcW w:w="612" w:type="dxa"/>
            <w:vAlign w:val="center"/>
          </w:tcPr>
          <w:p w14:paraId="43654901">
            <w:pPr>
              <w:pStyle w:val="14"/>
              <w:widowControl w:val="0"/>
              <w:rPr>
                <w:rFonts w:eastAsia="MS Mincho"/>
                <w:lang w:eastAsia="ja-JP"/>
              </w:rPr>
            </w:pPr>
            <w:r>
              <w:rPr>
                <w:rFonts w:hint="eastAsia" w:eastAsia="MS Mincho"/>
                <w:lang w:eastAsia="ja-JP"/>
              </w:rPr>
              <w:t>0</w:t>
            </w:r>
          </w:p>
        </w:tc>
        <w:tc>
          <w:tcPr>
            <w:tcW w:w="706" w:type="dxa"/>
            <w:tcBorders>
              <w:right w:val="single" w:color="auto" w:sz="12" w:space="0"/>
            </w:tcBorders>
            <w:vAlign w:val="center"/>
          </w:tcPr>
          <w:p w14:paraId="26510DDF">
            <w:pPr>
              <w:pStyle w:val="14"/>
              <w:widowControl w:val="0"/>
            </w:pPr>
            <w:r>
              <w:rPr>
                <w:rFonts w:hint="eastAsia"/>
              </w:rPr>
              <w:t>1</w:t>
            </w:r>
            <w:r>
              <w:t>00</w:t>
            </w:r>
          </w:p>
        </w:tc>
      </w:tr>
      <w:tr w14:paraId="4912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3731F7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ED463E4">
            <w:pPr>
              <w:pStyle w:val="14"/>
              <w:widowControl w:val="0"/>
              <w:rPr>
                <w:rFonts w:hint="eastAsia" w:cs="Times New Roman"/>
                <w:lang w:val="en-US" w:eastAsia="zh-CN"/>
              </w:rPr>
            </w:pPr>
            <w:r>
              <w:rPr>
                <w:rFonts w:hint="eastAsia" w:cs="Times New Roman"/>
                <w:lang w:val="en-US" w:eastAsia="zh-CN"/>
              </w:rPr>
              <w:t>20</w:t>
            </w:r>
            <w:r>
              <w:rPr>
                <w:rFonts w:eastAsia="MS Mincho" w:cs="Times New Roman"/>
                <w:lang w:eastAsia="ja-JP"/>
              </w:rPr>
              <w:t>％</w:t>
            </w:r>
          </w:p>
        </w:tc>
        <w:tc>
          <w:tcPr>
            <w:tcW w:w="2353" w:type="dxa"/>
            <w:tcBorders>
              <w:right w:val="double" w:color="auto" w:sz="4" w:space="0"/>
            </w:tcBorders>
            <w:vAlign w:val="center"/>
          </w:tcPr>
          <w:p w14:paraId="15D3BA5B">
            <w:pPr>
              <w:pStyle w:val="14"/>
              <w:widowControl w:val="0"/>
              <w:rPr>
                <w:rFonts w:hint="eastAsia" w:ascii="宋体" w:hAnsi="宋体"/>
                <w:bCs/>
                <w:szCs w:val="20"/>
              </w:rPr>
            </w:pPr>
            <w:r>
              <w:rPr>
                <w:rFonts w:hint="eastAsia" w:ascii="宋体" w:hAnsi="宋体"/>
                <w:bCs/>
                <w:szCs w:val="20"/>
              </w:rPr>
              <w:t>随堂测试</w:t>
            </w:r>
            <w:r>
              <w:rPr>
                <w:rFonts w:hint="eastAsia" w:asciiTheme="minorEastAsia" w:hAnsiTheme="minorEastAsia" w:eastAsiaTheme="minorEastAsia"/>
                <w:bCs/>
                <w:szCs w:val="20"/>
              </w:rPr>
              <w:t>＋平时成绩</w:t>
            </w:r>
          </w:p>
        </w:tc>
        <w:tc>
          <w:tcPr>
            <w:tcW w:w="612" w:type="dxa"/>
            <w:tcBorders>
              <w:left w:val="double" w:color="auto" w:sz="4" w:space="0"/>
            </w:tcBorders>
            <w:vAlign w:val="center"/>
          </w:tcPr>
          <w:p w14:paraId="4B2EDE3D">
            <w:pPr>
              <w:pStyle w:val="14"/>
              <w:widowControl w:val="0"/>
              <w:rPr>
                <w:rFonts w:hint="eastAsia" w:eastAsia="MS Mincho"/>
                <w:lang w:eastAsia="ja-JP"/>
              </w:rPr>
            </w:pPr>
            <w:r>
              <w:rPr>
                <w:rFonts w:hint="eastAsia"/>
                <w:lang w:val="en-US" w:eastAsia="zh-CN"/>
              </w:rPr>
              <w:t>20</w:t>
            </w:r>
          </w:p>
        </w:tc>
        <w:tc>
          <w:tcPr>
            <w:tcW w:w="612" w:type="dxa"/>
            <w:vAlign w:val="center"/>
          </w:tcPr>
          <w:p w14:paraId="3ACFA043">
            <w:pPr>
              <w:pStyle w:val="14"/>
              <w:widowControl w:val="0"/>
              <w:rPr>
                <w:rFonts w:hint="eastAsia" w:eastAsia="MS Mincho"/>
                <w:lang w:eastAsia="ja-JP"/>
              </w:rPr>
            </w:pPr>
            <w:r>
              <w:rPr>
                <w:rFonts w:hint="eastAsia" w:eastAsia="MS Mincho"/>
                <w:lang w:eastAsia="ja-JP"/>
              </w:rPr>
              <w:t>20</w:t>
            </w:r>
          </w:p>
        </w:tc>
        <w:tc>
          <w:tcPr>
            <w:tcW w:w="612" w:type="dxa"/>
            <w:vAlign w:val="center"/>
          </w:tcPr>
          <w:p w14:paraId="21B6ACBF">
            <w:pPr>
              <w:pStyle w:val="14"/>
              <w:widowControl w:val="0"/>
              <w:rPr>
                <w:rFonts w:hint="eastAsia" w:eastAsia="MS Mincho"/>
                <w:lang w:eastAsia="ja-JP"/>
              </w:rPr>
            </w:pPr>
            <w:r>
              <w:rPr>
                <w:rFonts w:hint="eastAsia" w:eastAsia="MS Mincho"/>
                <w:lang w:eastAsia="ja-JP"/>
              </w:rPr>
              <w:t>4</w:t>
            </w:r>
            <w:r>
              <w:rPr>
                <w:rFonts w:eastAsia="MS Mincho"/>
                <w:lang w:eastAsia="ja-JP"/>
              </w:rPr>
              <w:t>0</w:t>
            </w:r>
          </w:p>
        </w:tc>
        <w:tc>
          <w:tcPr>
            <w:tcW w:w="612" w:type="dxa"/>
            <w:vAlign w:val="center"/>
          </w:tcPr>
          <w:p w14:paraId="24E8CB3F">
            <w:pPr>
              <w:pStyle w:val="14"/>
              <w:widowControl w:val="0"/>
              <w:rPr>
                <w:rFonts w:hint="eastAsia" w:eastAsia="MS Mincho"/>
                <w:lang w:eastAsia="ja-JP"/>
              </w:rPr>
            </w:pPr>
            <w:r>
              <w:rPr>
                <w:rFonts w:hint="eastAsia"/>
                <w:lang w:val="en-US" w:eastAsia="zh-CN"/>
              </w:rPr>
              <w:t>20</w:t>
            </w:r>
          </w:p>
        </w:tc>
        <w:tc>
          <w:tcPr>
            <w:tcW w:w="706" w:type="dxa"/>
            <w:tcBorders>
              <w:right w:val="single" w:color="auto" w:sz="12" w:space="0"/>
            </w:tcBorders>
            <w:vAlign w:val="center"/>
          </w:tcPr>
          <w:p w14:paraId="59574ADE">
            <w:pPr>
              <w:pStyle w:val="14"/>
              <w:widowControl w:val="0"/>
              <w:rPr>
                <w:rFonts w:hint="eastAsia"/>
              </w:rPr>
            </w:pPr>
            <w:r>
              <w:rPr>
                <w:rFonts w:hint="eastAsia"/>
              </w:rPr>
              <w:t>1</w:t>
            </w:r>
            <w:r>
              <w:t>00</w:t>
            </w:r>
          </w:p>
        </w:tc>
      </w:tr>
      <w:tr w14:paraId="26C6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72EE34EB">
            <w:pPr>
              <w:widowControl w:val="0"/>
              <w:snapToGrid w:val="0"/>
              <w:jc w:val="center"/>
              <w:rPr>
                <w:rFonts w:hint="eastAsia" w:ascii="Arial" w:hAnsi="Arial" w:eastAsia="宋体" w:cs="Arial"/>
                <w:bCs/>
                <w:sz w:val="21"/>
                <w:szCs w:val="21"/>
                <w:lang w:val="en-US" w:eastAsia="zh-CN"/>
              </w:rPr>
            </w:pPr>
            <w:r>
              <w:rPr>
                <w:rFonts w:ascii="Arial" w:hAnsi="Arial" w:eastAsia="黑体" w:cs="Arial"/>
                <w:bCs/>
                <w:sz w:val="21"/>
                <w:szCs w:val="21"/>
              </w:rPr>
              <w:t>X</w:t>
            </w:r>
            <w:r>
              <w:rPr>
                <w:rFonts w:hint="eastAsia" w:ascii="Arial" w:hAnsi="Arial" w:eastAsia="MS Mincho" w:cs="Arial"/>
                <w:bCs/>
                <w:sz w:val="21"/>
                <w:szCs w:val="21"/>
                <w:lang w:eastAsia="ja-JP"/>
              </w:rPr>
              <w:t>2</w:t>
            </w:r>
          </w:p>
        </w:tc>
        <w:tc>
          <w:tcPr>
            <w:tcW w:w="709" w:type="dxa"/>
            <w:tcBorders>
              <w:bottom w:val="single" w:color="auto" w:sz="12" w:space="0"/>
            </w:tcBorders>
            <w:vAlign w:val="center"/>
          </w:tcPr>
          <w:p w14:paraId="3770FF54">
            <w:pPr>
              <w:pStyle w:val="14"/>
              <w:widowControl w:val="0"/>
            </w:pPr>
            <w:r>
              <w:rPr>
                <w:rFonts w:hint="eastAsia" w:cs="Times New Roman"/>
                <w:lang w:val="en-US" w:eastAsia="zh-CN"/>
              </w:rPr>
              <w:t>20</w:t>
            </w:r>
            <w:r>
              <w:rPr>
                <w:rFonts w:eastAsia="MS Mincho" w:cs="Times New Roman"/>
                <w:lang w:eastAsia="ja-JP"/>
              </w:rPr>
              <w:t>％</w:t>
            </w:r>
          </w:p>
        </w:tc>
        <w:tc>
          <w:tcPr>
            <w:tcW w:w="2353" w:type="dxa"/>
            <w:tcBorders>
              <w:bottom w:val="single" w:color="auto" w:sz="12" w:space="0"/>
              <w:right w:val="double" w:color="auto" w:sz="4" w:space="0"/>
            </w:tcBorders>
            <w:vAlign w:val="center"/>
          </w:tcPr>
          <w:p w14:paraId="406FEE5E">
            <w:pPr>
              <w:pStyle w:val="14"/>
              <w:widowControl w:val="0"/>
              <w:rPr>
                <w:rFonts w:hint="eastAsia" w:eastAsia="宋体"/>
                <w:lang w:val="en-US" w:eastAsia="zh-CN"/>
              </w:rPr>
            </w:pPr>
            <w:r>
              <w:rPr>
                <w:rFonts w:hint="eastAsia" w:ascii="宋体" w:hAnsi="宋体"/>
                <w:bCs/>
                <w:szCs w:val="20"/>
              </w:rPr>
              <w:t>随堂测试</w:t>
            </w:r>
            <w:r>
              <w:rPr>
                <w:rFonts w:hint="eastAsia" w:asciiTheme="minorEastAsia" w:hAnsiTheme="minorEastAsia" w:eastAsiaTheme="minorEastAsia"/>
                <w:bCs/>
                <w:szCs w:val="20"/>
              </w:rPr>
              <w:t>＋平时成绩</w:t>
            </w:r>
          </w:p>
        </w:tc>
        <w:tc>
          <w:tcPr>
            <w:tcW w:w="612" w:type="dxa"/>
            <w:tcBorders>
              <w:left w:val="double" w:color="auto" w:sz="4" w:space="0"/>
              <w:bottom w:val="single" w:color="auto" w:sz="12" w:space="0"/>
            </w:tcBorders>
            <w:vAlign w:val="center"/>
          </w:tcPr>
          <w:p w14:paraId="7600F008">
            <w:pPr>
              <w:pStyle w:val="14"/>
              <w:widowControl w:val="0"/>
              <w:rPr>
                <w:rFonts w:eastAsia="MS Mincho"/>
                <w:lang w:eastAsia="ja-JP"/>
              </w:rPr>
            </w:pPr>
            <w:r>
              <w:rPr>
                <w:rFonts w:hint="eastAsia" w:eastAsia="MS Mincho"/>
                <w:lang w:eastAsia="ja-JP"/>
              </w:rPr>
              <w:t>20</w:t>
            </w:r>
          </w:p>
        </w:tc>
        <w:tc>
          <w:tcPr>
            <w:tcW w:w="612" w:type="dxa"/>
            <w:tcBorders>
              <w:bottom w:val="single" w:color="auto" w:sz="12" w:space="0"/>
            </w:tcBorders>
            <w:vAlign w:val="center"/>
          </w:tcPr>
          <w:p w14:paraId="0EA35378">
            <w:pPr>
              <w:pStyle w:val="14"/>
              <w:widowControl w:val="0"/>
              <w:rPr>
                <w:rFonts w:eastAsia="MS Mincho"/>
                <w:lang w:eastAsia="ja-JP"/>
              </w:rPr>
            </w:pPr>
            <w:r>
              <w:rPr>
                <w:rFonts w:hint="eastAsia" w:eastAsia="MS Mincho"/>
                <w:lang w:eastAsia="ja-JP"/>
              </w:rPr>
              <w:t>20</w:t>
            </w:r>
          </w:p>
        </w:tc>
        <w:tc>
          <w:tcPr>
            <w:tcW w:w="612" w:type="dxa"/>
            <w:tcBorders>
              <w:bottom w:val="single" w:color="auto" w:sz="12" w:space="0"/>
            </w:tcBorders>
            <w:vAlign w:val="center"/>
          </w:tcPr>
          <w:p w14:paraId="103C36DB">
            <w:pPr>
              <w:pStyle w:val="14"/>
              <w:widowControl w:val="0"/>
              <w:rPr>
                <w:rFonts w:eastAsia="MS Mincho"/>
                <w:lang w:eastAsia="ja-JP"/>
              </w:rPr>
            </w:pPr>
            <w:r>
              <w:rPr>
                <w:rFonts w:hint="eastAsia" w:eastAsia="MS Mincho"/>
                <w:lang w:eastAsia="ja-JP"/>
              </w:rPr>
              <w:t>40</w:t>
            </w:r>
          </w:p>
        </w:tc>
        <w:tc>
          <w:tcPr>
            <w:tcW w:w="612" w:type="dxa"/>
            <w:tcBorders>
              <w:bottom w:val="single" w:color="auto" w:sz="12" w:space="0"/>
            </w:tcBorders>
            <w:vAlign w:val="center"/>
          </w:tcPr>
          <w:p w14:paraId="04FFF8D5">
            <w:pPr>
              <w:pStyle w:val="14"/>
              <w:widowControl w:val="0"/>
              <w:rPr>
                <w:rFonts w:eastAsia="MS Mincho"/>
                <w:lang w:eastAsia="ja-JP"/>
              </w:rPr>
            </w:pPr>
            <w:r>
              <w:rPr>
                <w:rFonts w:hint="eastAsia" w:eastAsia="MS Mincho"/>
                <w:lang w:eastAsia="ja-JP"/>
              </w:rPr>
              <w:t>20</w:t>
            </w:r>
          </w:p>
        </w:tc>
        <w:tc>
          <w:tcPr>
            <w:tcW w:w="706" w:type="dxa"/>
            <w:tcBorders>
              <w:bottom w:val="single" w:color="auto" w:sz="12" w:space="0"/>
              <w:right w:val="single" w:color="auto" w:sz="12" w:space="0"/>
            </w:tcBorders>
            <w:vAlign w:val="center"/>
          </w:tcPr>
          <w:p w14:paraId="4F463E76">
            <w:pPr>
              <w:pStyle w:val="14"/>
              <w:widowControl w:val="0"/>
            </w:pPr>
            <w:r>
              <w:rPr>
                <w:rFonts w:hint="eastAsia"/>
              </w:rPr>
              <w:t>1</w:t>
            </w:r>
            <w:r>
              <w:t>00</w:t>
            </w:r>
          </w:p>
        </w:tc>
      </w:tr>
    </w:tbl>
    <w:p w14:paraId="40C8A8B5">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2F2B1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1F59971">
            <w:pPr>
              <w:pStyle w:val="14"/>
              <w:widowControl w:val="0"/>
              <w:jc w:val="left"/>
              <w:rPr>
                <w:rFonts w:ascii="仿宋" w:hAnsi="仿宋" w:eastAsia="仿宋" w:cs="仿宋"/>
              </w:rPr>
            </w:pPr>
          </w:p>
          <w:p w14:paraId="59238465">
            <w:pPr>
              <w:pStyle w:val="14"/>
              <w:widowControl w:val="0"/>
              <w:jc w:val="left"/>
              <w:rPr>
                <w:rFonts w:hint="eastAsia" w:ascii="宋体" w:hAnsi="宋体" w:eastAsia="宋体"/>
                <w:bCs/>
                <w:lang w:val="en-US" w:eastAsia="zh-CN"/>
              </w:rPr>
            </w:pPr>
            <w:r>
              <w:rPr>
                <w:rFonts w:hint="eastAsia" w:ascii="宋体" w:hAnsi="宋体"/>
                <w:bCs/>
                <w:lang w:val="en-US" w:eastAsia="zh-CN"/>
              </w:rPr>
              <w:t>无</w:t>
            </w:r>
          </w:p>
          <w:p w14:paraId="73244EDF">
            <w:pPr>
              <w:pStyle w:val="14"/>
              <w:widowControl w:val="0"/>
              <w:jc w:val="left"/>
              <w:rPr>
                <w:rFonts w:ascii="黑体"/>
              </w:rPr>
            </w:pPr>
          </w:p>
        </w:tc>
      </w:tr>
    </w:tbl>
    <w:p w14:paraId="509743C7">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Helvetica Neue">
    <w:altName w:val="Segoe UI"/>
    <w:panose1 w:val="00000000000000000000"/>
    <w:charset w:val="00"/>
    <w:family w:val="auto"/>
    <w:pitch w:val="default"/>
    <w:sig w:usb0="00000000" w:usb1="00000000" w:usb2="00000010" w:usb3="00000000" w:csb0="0000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53590"/>
    <w:rsid w:val="0006001D"/>
    <w:rsid w:val="00066041"/>
    <w:rsid w:val="000733D5"/>
    <w:rsid w:val="00076794"/>
    <w:rsid w:val="0008122A"/>
    <w:rsid w:val="00082386"/>
    <w:rsid w:val="00087488"/>
    <w:rsid w:val="0009050A"/>
    <w:rsid w:val="0009721F"/>
    <w:rsid w:val="000A4E73"/>
    <w:rsid w:val="000B0271"/>
    <w:rsid w:val="000B1BD2"/>
    <w:rsid w:val="000C0F0D"/>
    <w:rsid w:val="000C13BC"/>
    <w:rsid w:val="000D28E5"/>
    <w:rsid w:val="000D34D7"/>
    <w:rsid w:val="00100633"/>
    <w:rsid w:val="001013EC"/>
    <w:rsid w:val="001055BA"/>
    <w:rsid w:val="001072BC"/>
    <w:rsid w:val="00114BD6"/>
    <w:rsid w:val="00114FAB"/>
    <w:rsid w:val="00130F6D"/>
    <w:rsid w:val="00133554"/>
    <w:rsid w:val="00144082"/>
    <w:rsid w:val="0016381F"/>
    <w:rsid w:val="00163A48"/>
    <w:rsid w:val="00164E36"/>
    <w:rsid w:val="001678A2"/>
    <w:rsid w:val="00175D6E"/>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4F02"/>
    <w:rsid w:val="00256B39"/>
    <w:rsid w:val="0026033C"/>
    <w:rsid w:val="0027339A"/>
    <w:rsid w:val="0027414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604E"/>
    <w:rsid w:val="002D7C47"/>
    <w:rsid w:val="002E33CE"/>
    <w:rsid w:val="002E3721"/>
    <w:rsid w:val="002E6F95"/>
    <w:rsid w:val="002E764D"/>
    <w:rsid w:val="002F1F5B"/>
    <w:rsid w:val="002F3157"/>
    <w:rsid w:val="002F5BAB"/>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79B9"/>
    <w:rsid w:val="00370184"/>
    <w:rsid w:val="00373C8A"/>
    <w:rsid w:val="00377C10"/>
    <w:rsid w:val="00384A1F"/>
    <w:rsid w:val="00384D60"/>
    <w:rsid w:val="00385D41"/>
    <w:rsid w:val="003861BA"/>
    <w:rsid w:val="0039239C"/>
    <w:rsid w:val="003938B4"/>
    <w:rsid w:val="003A1680"/>
    <w:rsid w:val="003A373C"/>
    <w:rsid w:val="003A5874"/>
    <w:rsid w:val="003A5B7D"/>
    <w:rsid w:val="003B1258"/>
    <w:rsid w:val="003B4A81"/>
    <w:rsid w:val="003C1F8D"/>
    <w:rsid w:val="003C61A5"/>
    <w:rsid w:val="003D1968"/>
    <w:rsid w:val="003D4994"/>
    <w:rsid w:val="003D6E0B"/>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27299"/>
    <w:rsid w:val="00431829"/>
    <w:rsid w:val="004343A2"/>
    <w:rsid w:val="00437B60"/>
    <w:rsid w:val="004405E6"/>
    <w:rsid w:val="00443C84"/>
    <w:rsid w:val="00443C89"/>
    <w:rsid w:val="004540AA"/>
    <w:rsid w:val="00456BD8"/>
    <w:rsid w:val="00456DC8"/>
    <w:rsid w:val="0046238A"/>
    <w:rsid w:val="0046549D"/>
    <w:rsid w:val="00471668"/>
    <w:rsid w:val="00481F98"/>
    <w:rsid w:val="004852BF"/>
    <w:rsid w:val="00487A46"/>
    <w:rsid w:val="00493504"/>
    <w:rsid w:val="00494579"/>
    <w:rsid w:val="00497334"/>
    <w:rsid w:val="004A4645"/>
    <w:rsid w:val="004A6F3A"/>
    <w:rsid w:val="004B2F94"/>
    <w:rsid w:val="004B408D"/>
    <w:rsid w:val="004B6F68"/>
    <w:rsid w:val="004B73F7"/>
    <w:rsid w:val="004D0C20"/>
    <w:rsid w:val="004D4FB3"/>
    <w:rsid w:val="004D75A6"/>
    <w:rsid w:val="004E3456"/>
    <w:rsid w:val="004F30F4"/>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E28"/>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3330"/>
    <w:rsid w:val="006E5CA9"/>
    <w:rsid w:val="006E5E98"/>
    <w:rsid w:val="006E7A37"/>
    <w:rsid w:val="006F3151"/>
    <w:rsid w:val="007011CA"/>
    <w:rsid w:val="007056DE"/>
    <w:rsid w:val="00706121"/>
    <w:rsid w:val="00710B6B"/>
    <w:rsid w:val="00712A2C"/>
    <w:rsid w:val="00712E84"/>
    <w:rsid w:val="00714914"/>
    <w:rsid w:val="00717999"/>
    <w:rsid w:val="007208D6"/>
    <w:rsid w:val="00726786"/>
    <w:rsid w:val="00732152"/>
    <w:rsid w:val="007428DF"/>
    <w:rsid w:val="00742BD1"/>
    <w:rsid w:val="00742E7A"/>
    <w:rsid w:val="0074424F"/>
    <w:rsid w:val="00764FD9"/>
    <w:rsid w:val="007740B2"/>
    <w:rsid w:val="00774C1F"/>
    <w:rsid w:val="007775FB"/>
    <w:rsid w:val="0078194F"/>
    <w:rsid w:val="0078755E"/>
    <w:rsid w:val="007934A4"/>
    <w:rsid w:val="007A0AC9"/>
    <w:rsid w:val="007A1B70"/>
    <w:rsid w:val="007A57F6"/>
    <w:rsid w:val="007B4FFB"/>
    <w:rsid w:val="007C0BCE"/>
    <w:rsid w:val="007C1D1B"/>
    <w:rsid w:val="007C3566"/>
    <w:rsid w:val="007C62A2"/>
    <w:rsid w:val="007C77D4"/>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47B69"/>
    <w:rsid w:val="00882E15"/>
    <w:rsid w:val="00883C73"/>
    <w:rsid w:val="008901A2"/>
    <w:rsid w:val="008A08B0"/>
    <w:rsid w:val="008B0385"/>
    <w:rsid w:val="008B1082"/>
    <w:rsid w:val="008B188E"/>
    <w:rsid w:val="008B397C"/>
    <w:rsid w:val="008B47F4"/>
    <w:rsid w:val="008B7448"/>
    <w:rsid w:val="008B7E1E"/>
    <w:rsid w:val="008C2AE6"/>
    <w:rsid w:val="008C2DE8"/>
    <w:rsid w:val="008C2F26"/>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454B6"/>
    <w:rsid w:val="009656CC"/>
    <w:rsid w:val="00970E8C"/>
    <w:rsid w:val="00971671"/>
    <w:rsid w:val="009726BA"/>
    <w:rsid w:val="00981A37"/>
    <w:rsid w:val="009830B2"/>
    <w:rsid w:val="0099063E"/>
    <w:rsid w:val="00992356"/>
    <w:rsid w:val="00992674"/>
    <w:rsid w:val="00994793"/>
    <w:rsid w:val="0099653B"/>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798D"/>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202"/>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786A"/>
    <w:rsid w:val="00C9080C"/>
    <w:rsid w:val="00C94429"/>
    <w:rsid w:val="00CA18FD"/>
    <w:rsid w:val="00CA27E5"/>
    <w:rsid w:val="00CA4897"/>
    <w:rsid w:val="00CA6928"/>
    <w:rsid w:val="00CB0660"/>
    <w:rsid w:val="00CB3D3F"/>
    <w:rsid w:val="00CB5A1A"/>
    <w:rsid w:val="00CC59E6"/>
    <w:rsid w:val="00CD5BDD"/>
    <w:rsid w:val="00CF096B"/>
    <w:rsid w:val="00CF10F7"/>
    <w:rsid w:val="00CF5EE3"/>
    <w:rsid w:val="00CF691F"/>
    <w:rsid w:val="00D00D99"/>
    <w:rsid w:val="00D013A4"/>
    <w:rsid w:val="00D026DC"/>
    <w:rsid w:val="00D15595"/>
    <w:rsid w:val="00D343A8"/>
    <w:rsid w:val="00D34FC1"/>
    <w:rsid w:val="00D37832"/>
    <w:rsid w:val="00D44860"/>
    <w:rsid w:val="00D47689"/>
    <w:rsid w:val="00D50C42"/>
    <w:rsid w:val="00D5689C"/>
    <w:rsid w:val="00D57CF5"/>
    <w:rsid w:val="00D612BC"/>
    <w:rsid w:val="00D62F98"/>
    <w:rsid w:val="00D66FD6"/>
    <w:rsid w:val="00D72574"/>
    <w:rsid w:val="00D8285B"/>
    <w:rsid w:val="00D862EB"/>
    <w:rsid w:val="00D86619"/>
    <w:rsid w:val="00D93E7C"/>
    <w:rsid w:val="00DB2BE6"/>
    <w:rsid w:val="00DB76B3"/>
    <w:rsid w:val="00DD1052"/>
    <w:rsid w:val="00DD3C7B"/>
    <w:rsid w:val="00DE2B21"/>
    <w:rsid w:val="00DE48DE"/>
    <w:rsid w:val="00DF25F2"/>
    <w:rsid w:val="00DF30DF"/>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677C2"/>
    <w:rsid w:val="00E7081D"/>
    <w:rsid w:val="00E70904"/>
    <w:rsid w:val="00E71319"/>
    <w:rsid w:val="00E75171"/>
    <w:rsid w:val="00E804B0"/>
    <w:rsid w:val="00E86772"/>
    <w:rsid w:val="00E90B8B"/>
    <w:rsid w:val="00E921B8"/>
    <w:rsid w:val="00E93ADD"/>
    <w:rsid w:val="00E952D8"/>
    <w:rsid w:val="00EB00E4"/>
    <w:rsid w:val="00EB28DA"/>
    <w:rsid w:val="00EB3812"/>
    <w:rsid w:val="00EB44EB"/>
    <w:rsid w:val="00EB66B8"/>
    <w:rsid w:val="00EB791E"/>
    <w:rsid w:val="00EC70A9"/>
    <w:rsid w:val="00ED4C3A"/>
    <w:rsid w:val="00EE1C85"/>
    <w:rsid w:val="00EF0CA4"/>
    <w:rsid w:val="00EF21D9"/>
    <w:rsid w:val="00EF2A94"/>
    <w:rsid w:val="00EF312E"/>
    <w:rsid w:val="00EF32FB"/>
    <w:rsid w:val="00EF44B1"/>
    <w:rsid w:val="00EF4865"/>
    <w:rsid w:val="00EF54D0"/>
    <w:rsid w:val="00EF5954"/>
    <w:rsid w:val="00F100D2"/>
    <w:rsid w:val="00F1045E"/>
    <w:rsid w:val="00F12942"/>
    <w:rsid w:val="00F13C41"/>
    <w:rsid w:val="00F14886"/>
    <w:rsid w:val="00F16421"/>
    <w:rsid w:val="00F201EE"/>
    <w:rsid w:val="00F21C6C"/>
    <w:rsid w:val="00F35AA0"/>
    <w:rsid w:val="00F43C49"/>
    <w:rsid w:val="00F45C12"/>
    <w:rsid w:val="00F544A2"/>
    <w:rsid w:val="00F73D03"/>
    <w:rsid w:val="00F76CB9"/>
    <w:rsid w:val="00F77A73"/>
    <w:rsid w:val="00F80E46"/>
    <w:rsid w:val="00F825E0"/>
    <w:rsid w:val="00F916A9"/>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406"/>
    <w:rsid w:val="00FF47F6"/>
    <w:rsid w:val="016E63C2"/>
    <w:rsid w:val="024B0C39"/>
    <w:rsid w:val="0312536E"/>
    <w:rsid w:val="0A8128A6"/>
    <w:rsid w:val="0BF32A1B"/>
    <w:rsid w:val="10BD2C22"/>
    <w:rsid w:val="199048F2"/>
    <w:rsid w:val="22987C80"/>
    <w:rsid w:val="24192CCC"/>
    <w:rsid w:val="24A730DB"/>
    <w:rsid w:val="376B55EB"/>
    <w:rsid w:val="39A66CD4"/>
    <w:rsid w:val="3CD52CE1"/>
    <w:rsid w:val="410F2E6A"/>
    <w:rsid w:val="4430136C"/>
    <w:rsid w:val="4AB0382B"/>
    <w:rsid w:val="569868B5"/>
    <w:rsid w:val="57AA51CB"/>
    <w:rsid w:val="611F6817"/>
    <w:rsid w:val="66CA1754"/>
    <w:rsid w:val="6F1E65D4"/>
    <w:rsid w:val="6F266C86"/>
    <w:rsid w:val="6F5042C2"/>
    <w:rsid w:val="74316312"/>
    <w:rsid w:val="74BF7D68"/>
    <w:rsid w:val="76A072C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34"/>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character" w:customStyle="1" w:styleId="23">
    <w:name w:val="text_g5a17"/>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6</Pages>
  <Words>1589</Words>
  <Characters>1665</Characters>
  <Lines>19</Lines>
  <Paragraphs>5</Paragraphs>
  <TotalTime>2</TotalTime>
  <ScaleCrop>false</ScaleCrop>
  <LinksUpToDate>false</LinksUpToDate>
  <CharactersWithSpaces>1671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2023-12-01T09:36:00Z</dcterms:created>
  <dc:creator>juvg</dc:creator>
  <cp:lastModifiedBy>今天天气真好.</cp:lastModifiedBy>
  <cp:lastPrinted>2023-11-21T00:52:00Z</cp:lastPrinted>
  <dcterms:modified xsi:type="dcterms:W3CDTF">2025-04-01T05:42:08Z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eyJoZGlkIjoiOWE3YzBmNTI5ZDlkNzdkNGQzMTc3Y2NhZjM2ZjBkMzciLCJ1c2VySWQiOiI2ODU0ODk4NDgifQ==</vt:lpwstr>
  </property>
  <property fmtid="{D5CDD505-2E9C-101B-9397-08002B2CF9AE}" pid="4" name="ICV">
    <vt:lpwstr>D2E75720DD694E899754282913BEBEB1_13</vt:lpwstr>
  </property>
</Properties>
</file>