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A77D7">
      <w:pPr>
        <w:jc w:val="center"/>
        <w:rPr>
          <w:rFonts w:ascii="黑体" w:hAnsi="黑体" w:eastAsia="黑体"/>
          <w:bCs/>
          <w:sz w:val="32"/>
          <w:szCs w:val="32"/>
        </w:rPr>
      </w:pPr>
      <w:r>
        <w:rPr>
          <w:rFonts w:hint="eastAsia" w:ascii="黑体" w:hAnsi="黑体" w:eastAsia="黑体"/>
          <w:bCs/>
          <w:sz w:val="32"/>
          <w:szCs w:val="32"/>
        </w:rPr>
        <w:t>《日本企业文化》本科课程教学大纲</w:t>
      </w:r>
    </w:p>
    <w:p w14:paraId="3B8F2975">
      <w:pPr>
        <w:pStyle w:val="16"/>
        <w:spacing w:before="326" w:beforeLines="100" w:line="360" w:lineRule="auto"/>
        <w:rPr>
          <w:rFonts w:ascii="黑体" w:hAnsi="宋体" w:eastAsia="MS Mincho"/>
          <w:lang w:eastAsia="ja-JP"/>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E2A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1F40CF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F80596A">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（中文）日本企业文化</w:t>
            </w:r>
          </w:p>
        </w:tc>
      </w:tr>
      <w:tr w14:paraId="34B7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3C6A33D">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12D038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MS Mincho" w:hAnsi="MS Mincho" w:eastAsia="MS Mincho"/>
                <w:color w:val="000000" w:themeColor="text1"/>
                <w:sz w:val="21"/>
                <w:szCs w:val="21"/>
                <w14:textFill>
                  <w14:solidFill>
                    <w14:schemeClr w14:val="tx1"/>
                  </w14:solidFill>
                </w14:textFill>
              </w:rPr>
              <w:t>Japanese corporate</w:t>
            </w:r>
            <w:r>
              <w:rPr>
                <w:rFonts w:ascii="MS Mincho" w:hAnsi="MS Mincho" w:eastAsia="MS Mincho"/>
                <w:color w:val="000000" w:themeColor="text1"/>
                <w:sz w:val="21"/>
                <w:szCs w:val="21"/>
                <w14:textFill>
                  <w14:solidFill>
                    <w14:schemeClr w14:val="tx1"/>
                  </w14:solidFill>
                </w14:textFill>
              </w:rPr>
              <w:t xml:space="preserve"> culture</w:t>
            </w:r>
          </w:p>
        </w:tc>
      </w:tr>
      <w:tr w14:paraId="54F7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98F04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7E32F6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1020037</w:t>
            </w:r>
          </w:p>
        </w:tc>
        <w:tc>
          <w:tcPr>
            <w:tcW w:w="2126" w:type="dxa"/>
            <w:gridSpan w:val="2"/>
            <w:vAlign w:val="center"/>
          </w:tcPr>
          <w:p w14:paraId="0FBC8D3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823050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64E4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8B37B1">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233BE22">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674A215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A0484B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08322B3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4F09D34">
            <w:pPr>
              <w:widowControl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64BB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C883D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CF5943B">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18"/>
                <w:szCs w:val="18"/>
                <w14:textFill>
                  <w14:solidFill>
                    <w14:schemeClr w14:val="tx1"/>
                  </w14:solidFill>
                </w14:textFill>
              </w:rPr>
              <w:t>外国语学院</w:t>
            </w:r>
          </w:p>
        </w:tc>
        <w:tc>
          <w:tcPr>
            <w:tcW w:w="2126" w:type="dxa"/>
            <w:gridSpan w:val="2"/>
            <w:vAlign w:val="center"/>
          </w:tcPr>
          <w:p w14:paraId="54D074E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C7652C9">
            <w:pPr>
              <w:widowControl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日语专业三年级以上</w:t>
            </w:r>
          </w:p>
        </w:tc>
      </w:tr>
      <w:tr w14:paraId="7B51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4756F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3F8410E">
            <w:pPr>
              <w:widowControl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专业基础课程</w:t>
            </w:r>
          </w:p>
        </w:tc>
        <w:tc>
          <w:tcPr>
            <w:tcW w:w="2126" w:type="dxa"/>
            <w:gridSpan w:val="2"/>
            <w:vAlign w:val="center"/>
          </w:tcPr>
          <w:p w14:paraId="16380E5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09F6177">
            <w:pPr>
              <w:widowControl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考查</w:t>
            </w:r>
          </w:p>
        </w:tc>
      </w:tr>
      <w:tr w14:paraId="3001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2C966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3AB3158">
            <w:pPr>
              <w:widowControl w:val="0"/>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《日本企业文化与实务》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江春华 主编 </w:t>
            </w:r>
          </w:p>
          <w:p w14:paraId="4EE812DE">
            <w:pPr>
              <w:widowControl w:val="0"/>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 xml:space="preserve">上海外语教育出版社 </w:t>
            </w:r>
            <w:r>
              <w:rPr>
                <w:rFonts w:asciiTheme="minorEastAsia" w:hAnsiTheme="minorEastAsia" w:eastAsiaTheme="minorEastAsia"/>
                <w:sz w:val="21"/>
                <w:szCs w:val="21"/>
              </w:rPr>
              <w:t>ISBN 978-7-5446-6880-4</w:t>
            </w:r>
          </w:p>
        </w:tc>
        <w:tc>
          <w:tcPr>
            <w:tcW w:w="1413" w:type="dxa"/>
            <w:gridSpan w:val="2"/>
            <w:vAlign w:val="center"/>
          </w:tcPr>
          <w:p w14:paraId="551112E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25DFE3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882A19C">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076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 w:hRule="atLeast"/>
        </w:trPr>
        <w:tc>
          <w:tcPr>
            <w:tcW w:w="1691" w:type="dxa"/>
            <w:tcBorders>
              <w:left w:val="single" w:color="auto" w:sz="12" w:space="0"/>
            </w:tcBorders>
            <w:shd w:val="clear" w:color="auto" w:fill="auto"/>
            <w:vAlign w:val="center"/>
          </w:tcPr>
          <w:p w14:paraId="67231BC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D730A9F">
            <w:pPr>
              <w:pStyle w:val="14"/>
              <w:widowControl w:val="0"/>
              <w:jc w:val="both"/>
              <w:rPr>
                <w:sz w:val="18"/>
                <w:szCs w:val="18"/>
              </w:rPr>
            </w:pPr>
            <w:r>
              <w:rPr>
                <w:bCs/>
              </w:rPr>
              <w:t>基础日语</w:t>
            </w:r>
            <w:r>
              <w:rPr>
                <w:rFonts w:hint="eastAsia"/>
                <w:bCs/>
              </w:rPr>
              <w:t>（1）2020052（10）、基础日语（2）2020053（10）</w:t>
            </w:r>
          </w:p>
        </w:tc>
      </w:tr>
      <w:tr w14:paraId="1011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DF2B50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F518A4C">
            <w:pPr>
              <w:pStyle w:val="14"/>
              <w:widowControl w:val="0"/>
              <w:ind w:firstLine="400" w:firstLineChars="200"/>
              <w:jc w:val="both"/>
              <w:rPr>
                <w:rFonts w:ascii="Calibri" w:hAnsi="Calibri" w:cs="Times New Roman"/>
                <w:kern w:val="2"/>
                <w:sz w:val="20"/>
                <w:szCs w:val="20"/>
              </w:rPr>
            </w:pPr>
            <w:r>
              <w:rPr>
                <w:rFonts w:hint="eastAsia" w:ascii="Calibri" w:hAnsi="Calibri" w:cs="Times New Roman"/>
                <w:kern w:val="2"/>
                <w:sz w:val="20"/>
                <w:szCs w:val="20"/>
              </w:rPr>
              <w:t>本课程主要以</w:t>
            </w:r>
            <w:bookmarkStart w:id="0" w:name="OLE_LINK8"/>
            <w:bookmarkStart w:id="1" w:name="OLE_LINK7"/>
            <w:r>
              <w:rPr>
                <w:rFonts w:hint="eastAsia" w:ascii="Calibri" w:hAnsi="Calibri" w:cs="Times New Roman"/>
                <w:kern w:val="2"/>
                <w:sz w:val="20"/>
                <w:szCs w:val="20"/>
              </w:rPr>
              <w:t>日语专业三年级第五学期学生为对象</w:t>
            </w:r>
            <w:bookmarkEnd w:id="0"/>
            <w:bookmarkEnd w:id="1"/>
            <w:r>
              <w:rPr>
                <w:rFonts w:hint="eastAsia" w:ascii="Calibri" w:hAnsi="Calibri" w:cs="Times New Roman"/>
                <w:kern w:val="2"/>
                <w:sz w:val="20"/>
                <w:szCs w:val="20"/>
              </w:rPr>
              <w:t>，系统地介绍日本企业文化、日本企业特征以及管理制度等相关方面的知识，旨在培养既精通日语、熟悉日本商务习惯又能够很好理解日本企业文化、具有解决实际问题能力的人才。</w:t>
            </w:r>
          </w:p>
          <w:p w14:paraId="551CF687">
            <w:pPr>
              <w:pStyle w:val="14"/>
              <w:widowControl w:val="0"/>
              <w:ind w:firstLine="400" w:firstLineChars="200"/>
              <w:jc w:val="both"/>
              <w:rPr>
                <w:rFonts w:ascii="Calibri" w:hAnsi="Calibri" w:cs="Times New Roman"/>
                <w:kern w:val="2"/>
                <w:sz w:val="20"/>
                <w:szCs w:val="20"/>
              </w:rPr>
            </w:pPr>
            <w:r>
              <w:rPr>
                <w:rFonts w:hint="eastAsia" w:ascii="Calibri" w:hAnsi="Calibri" w:cs="Times New Roman"/>
                <w:kern w:val="2"/>
                <w:sz w:val="20"/>
                <w:szCs w:val="20"/>
              </w:rPr>
              <w:t>本课程采用的教材-</w:t>
            </w:r>
            <w:r>
              <w:rPr>
                <w:rFonts w:ascii="Calibri" w:hAnsi="Calibri" w:cs="Times New Roman"/>
                <w:kern w:val="2"/>
                <w:sz w:val="20"/>
                <w:szCs w:val="20"/>
              </w:rPr>
              <w:t>---</w:t>
            </w:r>
            <w:r>
              <w:rPr>
                <w:rFonts w:hint="eastAsia" w:ascii="Calibri" w:hAnsi="Calibri" w:eastAsia="MS Mincho" w:cs="Times New Roman"/>
                <w:kern w:val="2"/>
                <w:sz w:val="20"/>
                <w:szCs w:val="20"/>
              </w:rPr>
              <w:t>《</w:t>
            </w:r>
            <w:r>
              <w:rPr>
                <w:rFonts w:hint="eastAsia" w:ascii="Calibri" w:hAnsi="Calibri" w:cs="Times New Roman" w:eastAsiaTheme="minorEastAsia"/>
                <w:kern w:val="2"/>
                <w:sz w:val="20"/>
                <w:szCs w:val="20"/>
              </w:rPr>
              <w:t>日本企业文化与实务</w:t>
            </w:r>
            <w:r>
              <w:rPr>
                <w:rFonts w:hint="eastAsia" w:ascii="Calibri" w:hAnsi="Calibri" w:eastAsia="MS Mincho" w:cs="Times New Roman"/>
                <w:kern w:val="2"/>
                <w:sz w:val="20"/>
                <w:szCs w:val="20"/>
              </w:rPr>
              <w:t>》</w:t>
            </w:r>
            <w:r>
              <w:rPr>
                <w:rFonts w:hint="eastAsia" w:ascii="Calibri" w:hAnsi="Calibri" w:cs="Times New Roman"/>
                <w:kern w:val="2"/>
                <w:sz w:val="20"/>
                <w:szCs w:val="20"/>
              </w:rPr>
              <w:t>由上海外语教育出版社出版、江春华主编。全书分为五个部分：1</w:t>
            </w:r>
            <w:r>
              <w:rPr>
                <w:rFonts w:ascii="Calibri" w:hAnsi="Calibri" w:cs="Times New Roman"/>
                <w:kern w:val="2"/>
                <w:sz w:val="20"/>
                <w:szCs w:val="20"/>
              </w:rPr>
              <w:t>.</w:t>
            </w:r>
            <w:r>
              <w:rPr>
                <w:rFonts w:hint="eastAsia" w:ascii="Calibri" w:hAnsi="Calibri" w:cs="Times New Roman"/>
                <w:kern w:val="2"/>
                <w:sz w:val="20"/>
                <w:szCs w:val="20"/>
              </w:rPr>
              <w:t>日本企业文化、2</w:t>
            </w:r>
            <w:r>
              <w:rPr>
                <w:rFonts w:ascii="Calibri" w:hAnsi="Calibri" w:cs="Times New Roman"/>
                <w:kern w:val="2"/>
                <w:sz w:val="20"/>
                <w:szCs w:val="20"/>
              </w:rPr>
              <w:t>.</w:t>
            </w:r>
            <w:r>
              <w:rPr>
                <w:rFonts w:hint="eastAsia" w:ascii="Calibri" w:hAnsi="Calibri" w:cs="Times New Roman"/>
                <w:kern w:val="2"/>
                <w:sz w:val="20"/>
                <w:szCs w:val="20"/>
              </w:rPr>
              <w:t>商务基本能力、3</w:t>
            </w:r>
            <w:r>
              <w:rPr>
                <w:rFonts w:ascii="Calibri" w:hAnsi="Calibri" w:cs="Times New Roman"/>
                <w:kern w:val="2"/>
                <w:sz w:val="20"/>
                <w:szCs w:val="20"/>
              </w:rPr>
              <w:t>.</w:t>
            </w:r>
            <w:r>
              <w:rPr>
                <w:rFonts w:hint="eastAsia" w:ascii="Calibri" w:hAnsi="Calibri" w:cs="Times New Roman"/>
                <w:kern w:val="2"/>
                <w:sz w:val="20"/>
                <w:szCs w:val="20"/>
              </w:rPr>
              <w:t>人际关系、4</w:t>
            </w:r>
            <w:r>
              <w:rPr>
                <w:rFonts w:ascii="Calibri" w:hAnsi="Calibri" w:cs="Times New Roman"/>
                <w:kern w:val="2"/>
                <w:sz w:val="20"/>
                <w:szCs w:val="20"/>
              </w:rPr>
              <w:t>.</w:t>
            </w:r>
            <w:r>
              <w:rPr>
                <w:rFonts w:hint="eastAsia" w:ascii="Calibri" w:hAnsi="Calibri" w:cs="Times New Roman"/>
                <w:kern w:val="2"/>
                <w:sz w:val="20"/>
                <w:szCs w:val="20"/>
              </w:rPr>
              <w:t>信息处理能力、5</w:t>
            </w:r>
            <w:r>
              <w:rPr>
                <w:rFonts w:ascii="Calibri" w:hAnsi="Calibri" w:cs="Times New Roman"/>
                <w:kern w:val="2"/>
                <w:sz w:val="20"/>
                <w:szCs w:val="20"/>
              </w:rPr>
              <w:t>.</w:t>
            </w:r>
            <w:r>
              <w:rPr>
                <w:rFonts w:hint="eastAsia" w:ascii="Calibri" w:hAnsi="Calibri" w:cs="Times New Roman"/>
                <w:kern w:val="2"/>
                <w:sz w:val="20"/>
                <w:szCs w:val="20"/>
              </w:rPr>
              <w:t>企划能力和执行能力，总共1</w:t>
            </w:r>
            <w:r>
              <w:rPr>
                <w:rFonts w:ascii="Calibri" w:hAnsi="Calibri" w:cs="Times New Roman"/>
                <w:kern w:val="2"/>
                <w:sz w:val="20"/>
                <w:szCs w:val="20"/>
              </w:rPr>
              <w:t>5</w:t>
            </w:r>
            <w:r>
              <w:rPr>
                <w:rFonts w:hint="eastAsia" w:ascii="Calibri" w:hAnsi="Calibri" w:cs="Times New Roman"/>
                <w:kern w:val="2"/>
                <w:sz w:val="20"/>
                <w:szCs w:val="20"/>
              </w:rPr>
              <w:t>课。本教材划在内容上可分成三个单元展开教学。</w:t>
            </w:r>
          </w:p>
          <w:p w14:paraId="20A2C945">
            <w:pPr>
              <w:pStyle w:val="14"/>
              <w:widowControl w:val="0"/>
              <w:ind w:firstLine="400" w:firstLineChars="200"/>
              <w:jc w:val="both"/>
              <w:rPr>
                <w:rFonts w:ascii="Calibri" w:hAnsi="Calibri" w:cs="Times New Roman"/>
                <w:kern w:val="2"/>
                <w:sz w:val="20"/>
                <w:szCs w:val="20"/>
              </w:rPr>
            </w:pPr>
            <w:r>
              <w:rPr>
                <w:rFonts w:hint="eastAsia" w:ascii="Calibri" w:hAnsi="Calibri" w:cs="Times New Roman"/>
                <w:kern w:val="2"/>
                <w:sz w:val="20"/>
                <w:szCs w:val="20"/>
              </w:rPr>
              <w:t>第一单元（1</w:t>
            </w:r>
            <w:r>
              <w:rPr>
                <w:rFonts w:hint="eastAsia" w:cs="Times New Roman"/>
                <w:kern w:val="2"/>
                <w:sz w:val="20"/>
                <w:szCs w:val="20"/>
              </w:rPr>
              <w:t>～</w:t>
            </w:r>
            <w:r>
              <w:rPr>
                <w:rFonts w:hint="eastAsia" w:ascii="Calibri" w:hAnsi="Calibri" w:cs="Times New Roman"/>
                <w:kern w:val="2"/>
                <w:sz w:val="20"/>
                <w:szCs w:val="20"/>
              </w:rPr>
              <w:t>3课）通过日本经营学中的“家”理论，系统阐述了日本企业文化起源、特点与作用。第二单元（4</w:t>
            </w:r>
            <w:r>
              <w:rPr>
                <w:rFonts w:hint="eastAsia" w:cs="Times New Roman"/>
                <w:kern w:val="2"/>
                <w:sz w:val="20"/>
                <w:szCs w:val="20"/>
              </w:rPr>
              <w:t>～</w:t>
            </w:r>
            <w:r>
              <w:rPr>
                <w:rFonts w:hint="eastAsia" w:ascii="Calibri" w:hAnsi="Calibri" w:cs="Times New Roman"/>
                <w:kern w:val="2"/>
                <w:sz w:val="20"/>
                <w:szCs w:val="20"/>
              </w:rPr>
              <w:t>9课）重点介绍并要求学生了解、掌握商务基本能力（商务礼仪、沟通能力、拓展人脉技能）。第三单元（1</w:t>
            </w:r>
            <w:r>
              <w:rPr>
                <w:rFonts w:ascii="Calibri" w:hAnsi="Calibri" w:cs="Times New Roman"/>
                <w:kern w:val="2"/>
                <w:sz w:val="20"/>
                <w:szCs w:val="20"/>
              </w:rPr>
              <w:t>0</w:t>
            </w:r>
            <w:r>
              <w:rPr>
                <w:rFonts w:hint="eastAsia" w:cs="Times New Roman"/>
                <w:kern w:val="2"/>
                <w:sz w:val="20"/>
                <w:szCs w:val="20"/>
              </w:rPr>
              <w:t>～</w:t>
            </w:r>
            <w:r>
              <w:rPr>
                <w:rFonts w:ascii="Calibri" w:hAnsi="Calibri" w:cs="Times New Roman"/>
                <w:kern w:val="2"/>
                <w:sz w:val="20"/>
                <w:szCs w:val="20"/>
              </w:rPr>
              <w:t>15</w:t>
            </w:r>
            <w:r>
              <w:rPr>
                <w:rFonts w:hint="eastAsia" w:ascii="Calibri" w:hAnsi="Calibri" w:cs="Times New Roman"/>
                <w:kern w:val="2"/>
                <w:sz w:val="20"/>
                <w:szCs w:val="20"/>
              </w:rPr>
              <w:t>课）从商务运作角度出发，着重阐述并要求学生逐步掌握信息收集&amp;处理能力（信息收集和整理、信息运用、公司报表解读）；企业能力和执行能力（规划方法、报告演示能力、企业内创业）等。</w:t>
            </w:r>
          </w:p>
          <w:p w14:paraId="210F1F55">
            <w:pPr>
              <w:pStyle w:val="14"/>
              <w:widowControl w:val="0"/>
              <w:ind w:firstLine="400" w:firstLineChars="200"/>
              <w:jc w:val="both"/>
              <w:rPr>
                <w:rFonts w:ascii="MS UI Gothic" w:hAnsi="MS UI Gothic" w:eastAsia="MS UI Gothic" w:cs="MS UI Gothic"/>
                <w:sz w:val="18"/>
                <w:szCs w:val="18"/>
              </w:rPr>
            </w:pPr>
            <w:r>
              <w:rPr>
                <w:rFonts w:hint="eastAsia" w:ascii="Calibri" w:hAnsi="Calibri" w:cs="Times New Roman"/>
                <w:kern w:val="2"/>
                <w:sz w:val="20"/>
                <w:szCs w:val="20"/>
              </w:rPr>
              <w:t>本课程为期1</w:t>
            </w:r>
            <w:r>
              <w:rPr>
                <w:rFonts w:ascii="Calibri" w:hAnsi="Calibri" w:cs="Times New Roman"/>
                <w:kern w:val="2"/>
                <w:sz w:val="20"/>
                <w:szCs w:val="20"/>
              </w:rPr>
              <w:t>6</w:t>
            </w:r>
            <w:r>
              <w:rPr>
                <w:rFonts w:hint="eastAsia" w:ascii="Calibri" w:hAnsi="Calibri" w:cs="Times New Roman"/>
                <w:kern w:val="2"/>
                <w:sz w:val="20"/>
                <w:szCs w:val="20"/>
              </w:rPr>
              <w:t>周，共3</w:t>
            </w:r>
            <w:r>
              <w:rPr>
                <w:rFonts w:ascii="Calibri" w:hAnsi="Calibri" w:cs="Times New Roman"/>
                <w:kern w:val="2"/>
                <w:sz w:val="20"/>
                <w:szCs w:val="20"/>
              </w:rPr>
              <w:t>2</w:t>
            </w:r>
            <w:r>
              <w:rPr>
                <w:rFonts w:hint="eastAsia" w:ascii="Calibri" w:hAnsi="Calibri" w:cs="Times New Roman"/>
                <w:kern w:val="2"/>
                <w:sz w:val="20"/>
                <w:szCs w:val="20"/>
              </w:rPr>
              <w:t>个理论学时。</w:t>
            </w:r>
          </w:p>
        </w:tc>
      </w:tr>
      <w:tr w14:paraId="220D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A4DD8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8D1BA6C">
            <w:pPr>
              <w:pStyle w:val="14"/>
              <w:widowControl w:val="0"/>
              <w:ind w:firstLine="360"/>
              <w:jc w:val="both"/>
              <w:rPr>
                <w:rFonts w:cs="Times New Roman" w:asciiTheme="minorEastAsia" w:hAnsiTheme="minorEastAsia" w:eastAsiaTheme="minorEastAsia"/>
                <w:sz w:val="20"/>
                <w:szCs w:val="20"/>
              </w:rPr>
            </w:pPr>
            <w:r>
              <w:rPr>
                <w:rFonts w:hint="eastAsia" w:cs="MS UI Gothic" w:asciiTheme="minorEastAsia" w:hAnsiTheme="minorEastAsia" w:eastAsiaTheme="minorEastAsia"/>
                <w:sz w:val="18"/>
                <w:szCs w:val="18"/>
              </w:rPr>
              <w:t>本</w:t>
            </w:r>
            <w:r>
              <w:rPr>
                <w:rFonts w:hint="eastAsia" w:cs="微软雅黑" w:asciiTheme="minorEastAsia" w:hAnsiTheme="minorEastAsia" w:eastAsiaTheme="minorEastAsia"/>
                <w:sz w:val="18"/>
                <w:szCs w:val="18"/>
              </w:rPr>
              <w:t>课</w:t>
            </w:r>
            <w:r>
              <w:rPr>
                <w:rFonts w:hint="eastAsia" w:cs="MS UI Gothic" w:asciiTheme="minorEastAsia" w:hAnsiTheme="minorEastAsia" w:eastAsiaTheme="minorEastAsia"/>
                <w:sz w:val="18"/>
                <w:szCs w:val="18"/>
              </w:rPr>
              <w:t>程</w:t>
            </w:r>
            <w:r>
              <w:rPr>
                <w:rFonts w:hint="eastAsia" w:cs="微软雅黑" w:asciiTheme="minorEastAsia" w:hAnsiTheme="minorEastAsia" w:eastAsiaTheme="minorEastAsia"/>
                <w:sz w:val="18"/>
                <w:szCs w:val="18"/>
              </w:rPr>
              <w:t>为</w:t>
            </w:r>
            <w:r>
              <w:rPr>
                <w:rFonts w:hint="eastAsia" w:cs="MS UI Gothic" w:asciiTheme="minorEastAsia" w:hAnsiTheme="minorEastAsia" w:eastAsiaTheme="minorEastAsia"/>
                <w:sz w:val="18"/>
                <w:szCs w:val="18"/>
              </w:rPr>
              <w:t>有意了解、熟悉日本企业文化，掌握相关实务方面各种能力的</w:t>
            </w:r>
            <w:r>
              <w:rPr>
                <w:rFonts w:hint="eastAsia" w:cs="Times New Roman" w:asciiTheme="minorEastAsia" w:hAnsiTheme="minorEastAsia" w:eastAsiaTheme="minorEastAsia"/>
                <w:kern w:val="2"/>
                <w:sz w:val="20"/>
                <w:szCs w:val="20"/>
              </w:rPr>
              <w:t>日语专业三年级第五学期学生为对象，</w:t>
            </w:r>
            <w:r>
              <w:rPr>
                <w:rFonts w:hint="eastAsia" w:cs="MS UI Gothic" w:asciiTheme="minorEastAsia" w:hAnsiTheme="minorEastAsia" w:eastAsiaTheme="minorEastAsia"/>
                <w:sz w:val="18"/>
                <w:szCs w:val="18"/>
              </w:rPr>
              <w:t>提供一个不可多得的学</w:t>
            </w:r>
            <w:r>
              <w:rPr>
                <w:rFonts w:hint="eastAsia" w:cs="微软雅黑" w:asciiTheme="minorEastAsia" w:hAnsiTheme="minorEastAsia" w:eastAsiaTheme="minorEastAsia"/>
                <w:sz w:val="18"/>
                <w:szCs w:val="18"/>
              </w:rPr>
              <w:t>习机会</w:t>
            </w:r>
            <w:r>
              <w:rPr>
                <w:rFonts w:hint="eastAsia" w:cs="MS UI Gothic" w:asciiTheme="minorEastAsia" w:hAnsiTheme="minorEastAsia" w:eastAsiaTheme="minorEastAsia"/>
                <w:sz w:val="18"/>
                <w:szCs w:val="18"/>
              </w:rPr>
              <w:t>。本课程以教科书</w:t>
            </w:r>
            <w:r>
              <w:rPr>
                <w:rFonts w:hint="eastAsia" w:cs="微软雅黑" w:asciiTheme="minorEastAsia" w:hAnsiTheme="minorEastAsia" w:eastAsiaTheme="minorEastAsia"/>
                <w:sz w:val="18"/>
                <w:szCs w:val="18"/>
              </w:rPr>
              <w:t>为</w:t>
            </w:r>
            <w:r>
              <w:rPr>
                <w:rFonts w:hint="eastAsia" w:cs="MS UI Gothic" w:asciiTheme="minorEastAsia" w:hAnsiTheme="minorEastAsia" w:eastAsiaTheme="minorEastAsia"/>
                <w:sz w:val="18"/>
                <w:szCs w:val="18"/>
              </w:rPr>
              <w:t>依托，以PPT为演示手段，采用任</w:t>
            </w:r>
            <w:r>
              <w:rPr>
                <w:rFonts w:hint="eastAsia" w:cs="微软雅黑" w:asciiTheme="minorEastAsia" w:hAnsiTheme="minorEastAsia" w:eastAsiaTheme="minorEastAsia"/>
                <w:sz w:val="18"/>
                <w:szCs w:val="18"/>
              </w:rPr>
              <w:t>课</w:t>
            </w:r>
            <w:r>
              <w:rPr>
                <w:rFonts w:hint="eastAsia" w:cs="MS UI Gothic" w:asciiTheme="minorEastAsia" w:hAnsiTheme="minorEastAsia" w:eastAsiaTheme="minorEastAsia"/>
                <w:sz w:val="18"/>
                <w:szCs w:val="18"/>
              </w:rPr>
              <w:t>教</w:t>
            </w:r>
            <w:r>
              <w:rPr>
                <w:rFonts w:hint="eastAsia" w:cs="微软雅黑" w:asciiTheme="minorEastAsia" w:hAnsiTheme="minorEastAsia" w:eastAsiaTheme="minorEastAsia"/>
                <w:sz w:val="18"/>
                <w:szCs w:val="18"/>
              </w:rPr>
              <w:t>师课</w:t>
            </w:r>
            <w:r>
              <w:rPr>
                <w:rFonts w:hint="eastAsia" w:cs="MS UI Gothic" w:asciiTheme="minorEastAsia" w:hAnsiTheme="minorEastAsia" w:eastAsiaTheme="minorEastAsia"/>
                <w:sz w:val="18"/>
                <w:szCs w:val="18"/>
              </w:rPr>
              <w:t>堂面授</w:t>
            </w:r>
            <w:r>
              <w:rPr>
                <w:rFonts w:cs="MS UI Gothic" w:asciiTheme="minorEastAsia" w:hAnsiTheme="minorEastAsia" w:eastAsiaTheme="minorEastAsia"/>
                <w:sz w:val="18"/>
                <w:szCs w:val="18"/>
              </w:rPr>
              <w:t>+学生</w:t>
            </w:r>
            <w:r>
              <w:rPr>
                <w:rFonts w:hint="eastAsia" w:cs="MS UI Gothic" w:asciiTheme="minorEastAsia" w:hAnsiTheme="minorEastAsia" w:eastAsiaTheme="minorEastAsia"/>
                <w:sz w:val="18"/>
                <w:szCs w:val="18"/>
              </w:rPr>
              <w:t>参与讨论等形式展开教学，引导学生全神</w:t>
            </w:r>
            <w:r>
              <w:rPr>
                <w:rFonts w:hint="eastAsia" w:cs="微软雅黑" w:asciiTheme="minorEastAsia" w:hAnsiTheme="minorEastAsia" w:eastAsiaTheme="minorEastAsia"/>
                <w:sz w:val="18"/>
                <w:szCs w:val="18"/>
              </w:rPr>
              <w:t>贯</w:t>
            </w:r>
            <w:r>
              <w:rPr>
                <w:rFonts w:hint="eastAsia" w:cs="MS UI Gothic" w:asciiTheme="minorEastAsia" w:hAnsiTheme="minorEastAsia" w:eastAsiaTheme="minorEastAsia"/>
                <w:sz w:val="18"/>
                <w:szCs w:val="18"/>
              </w:rPr>
              <w:t>注投入</w:t>
            </w:r>
            <w:r>
              <w:rPr>
                <w:rFonts w:hint="eastAsia" w:cs="微软雅黑" w:asciiTheme="minorEastAsia" w:hAnsiTheme="minorEastAsia" w:eastAsiaTheme="minorEastAsia"/>
                <w:sz w:val="18"/>
                <w:szCs w:val="18"/>
              </w:rPr>
              <w:t>课程学习，培养和运用思辨能力，掌握课程专业知识。</w:t>
            </w:r>
            <w:r>
              <w:rPr>
                <w:rFonts w:cs="Times New Roman" w:asciiTheme="minorEastAsia" w:hAnsiTheme="minorEastAsia" w:eastAsiaTheme="minorEastAsia"/>
                <w:sz w:val="20"/>
                <w:szCs w:val="20"/>
              </w:rPr>
              <w:t>. 1</w:t>
            </w:r>
            <w:r>
              <w:rPr>
                <w:rFonts w:hint="eastAsia" w:cs="Times New Roman" w:asciiTheme="minorEastAsia" w:hAnsiTheme="minorEastAsia" w:eastAsiaTheme="minorEastAsia"/>
                <w:sz w:val="20"/>
                <w:szCs w:val="20"/>
              </w:rPr>
              <w:t>）</w:t>
            </w:r>
            <w:r>
              <w:rPr>
                <w:rFonts w:cs="Times New Roman" w:asciiTheme="minorEastAsia" w:hAnsiTheme="minorEastAsia" w:eastAsiaTheme="minorEastAsia"/>
                <w:sz w:val="20"/>
                <w:szCs w:val="20"/>
              </w:rPr>
              <w:t>以语篇为中心，以课文、篇章为主线。使用多媒体教学，</w:t>
            </w:r>
            <w:r>
              <w:rPr>
                <w:rFonts w:hint="eastAsia" w:cs="Times New Roman" w:asciiTheme="minorEastAsia" w:hAnsiTheme="minorEastAsia" w:eastAsiaTheme="minorEastAsia"/>
                <w:sz w:val="20"/>
                <w:szCs w:val="20"/>
              </w:rPr>
              <w:t>结合课本涉及的具体内容和不同场景</w:t>
            </w:r>
            <w:r>
              <w:rPr>
                <w:rFonts w:cs="Times New Roman" w:asciiTheme="minorEastAsia" w:hAnsiTheme="minorEastAsia" w:eastAsiaTheme="minorEastAsia"/>
                <w:sz w:val="20"/>
                <w:szCs w:val="20"/>
              </w:rPr>
              <w:t>，</w:t>
            </w:r>
            <w:r>
              <w:rPr>
                <w:rFonts w:hint="eastAsia" w:cs="Times New Roman" w:asciiTheme="minorEastAsia" w:hAnsiTheme="minorEastAsia" w:eastAsiaTheme="minorEastAsia"/>
                <w:sz w:val="20"/>
                <w:szCs w:val="20"/>
              </w:rPr>
              <w:t>着重</w:t>
            </w:r>
            <w:r>
              <w:rPr>
                <w:rFonts w:cs="Times New Roman" w:asciiTheme="minorEastAsia" w:hAnsiTheme="minorEastAsia" w:eastAsiaTheme="minorEastAsia"/>
                <w:sz w:val="20"/>
                <w:szCs w:val="20"/>
              </w:rPr>
              <w:t>引导学生通过对所表达内容的思考，掌握语言的使用。</w:t>
            </w:r>
          </w:p>
          <w:p w14:paraId="0DF861F0">
            <w:pPr>
              <w:pStyle w:val="14"/>
              <w:widowControl w:val="0"/>
              <w:jc w:val="both"/>
              <w:rPr>
                <w:rFonts w:cs="Times New Roman" w:asciiTheme="minorEastAsia" w:hAnsiTheme="minorEastAsia" w:eastAsiaTheme="minorEastAsia"/>
                <w:sz w:val="20"/>
                <w:szCs w:val="20"/>
              </w:rPr>
            </w:pPr>
            <w:r>
              <w:rPr>
                <w:rFonts w:hint="eastAsia" w:cs="Times New Roman" w:asciiTheme="minorEastAsia" w:hAnsiTheme="minorEastAsia" w:eastAsiaTheme="minorEastAsia"/>
                <w:sz w:val="20"/>
                <w:szCs w:val="20"/>
              </w:rPr>
              <w:t>2）</w:t>
            </w:r>
            <w:r>
              <w:rPr>
                <w:rFonts w:cs="Times New Roman" w:asciiTheme="minorEastAsia" w:hAnsiTheme="minorEastAsia" w:eastAsiaTheme="minorEastAsia"/>
                <w:sz w:val="20"/>
                <w:szCs w:val="20"/>
              </w:rPr>
              <w:t xml:space="preserve"> 注重课堂教学中的互动效应。从注重学生的学习过程出发，采用分组讨论，教学内容和教学方法力求体现出为学生提供展开创造性学习活动的机会和情境。</w:t>
            </w:r>
          </w:p>
          <w:p w14:paraId="3EEA7A98">
            <w:pPr>
              <w:pStyle w:val="14"/>
              <w:widowControl w:val="0"/>
              <w:jc w:val="both"/>
              <w:rPr>
                <w:rFonts w:cs="Times New Roman" w:asciiTheme="minorEastAsia" w:hAnsiTheme="minorEastAsia" w:eastAsiaTheme="minorEastAsia"/>
                <w:sz w:val="20"/>
                <w:szCs w:val="20"/>
              </w:rPr>
            </w:pPr>
            <w:r>
              <w:rPr>
                <w:rFonts w:cs="Times New Roman" w:asciiTheme="minorEastAsia" w:hAnsiTheme="minorEastAsia" w:eastAsiaTheme="minorEastAsia"/>
                <w:sz w:val="20"/>
                <w:szCs w:val="20"/>
              </w:rPr>
              <w:t>3</w:t>
            </w:r>
            <w:r>
              <w:rPr>
                <w:rFonts w:hint="eastAsia" w:cs="Times New Roman" w:asciiTheme="minorEastAsia" w:hAnsiTheme="minorEastAsia" w:eastAsiaTheme="minorEastAsia"/>
                <w:sz w:val="20"/>
                <w:szCs w:val="20"/>
              </w:rPr>
              <w:t>）</w:t>
            </w:r>
            <w:r>
              <w:rPr>
                <w:rFonts w:cs="Times New Roman" w:asciiTheme="minorEastAsia" w:hAnsiTheme="minorEastAsia" w:eastAsiaTheme="minorEastAsia"/>
                <w:sz w:val="20"/>
                <w:szCs w:val="20"/>
              </w:rPr>
              <w:t>注重知识向能力的转化，在实践中培养语言交际能力。注重课堂内外的联动，注重第二课堂的延伸，为学生提供实际使用语言和锻炼交际能力的环境和条件。</w:t>
            </w:r>
          </w:p>
          <w:p w14:paraId="5C39B504">
            <w:pPr>
              <w:pStyle w:val="14"/>
              <w:widowControl w:val="0"/>
              <w:ind w:firstLine="400" w:firstLineChars="200"/>
              <w:jc w:val="both"/>
            </w:pPr>
            <w:r>
              <w:rPr>
                <w:rFonts w:cs="Times New Roman"/>
                <w:sz w:val="20"/>
                <w:szCs w:val="20"/>
              </w:rPr>
              <w:t>对学生的辅导，主要采用自习辅导、当面答疑、微信、学习通和 E-MAIL 等形式。</w:t>
            </w:r>
          </w:p>
        </w:tc>
      </w:tr>
      <w:tr w14:paraId="707A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32EE83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D1799DE">
            <w:pPr>
              <w:widowControl w:val="0"/>
              <w:jc w:val="right"/>
              <w:rPr>
                <w:rFonts w:ascii="黑体" w:hAnsi="黑体" w:eastAsia="黑体"/>
                <w:color w:val="000000" w:themeColor="text1"/>
                <w:sz w:val="21"/>
                <w:szCs w:val="21"/>
                <w14:textFill>
                  <w14:solidFill>
                    <w14:schemeClr w14:val="tx1"/>
                  </w14:solidFill>
                </w14:textFill>
              </w:rPr>
            </w:pPr>
            <w:r>
              <w:rPr>
                <w:b/>
                <w:sz w:val="28"/>
                <w:szCs w:val="28"/>
              </w:rPr>
              <w:drawing>
                <wp:anchor distT="0" distB="0" distL="114300" distR="114300" simplePos="0" relativeHeight="251659264" behindDoc="0" locked="0" layoutInCell="1" allowOverlap="1">
                  <wp:simplePos x="0" y="0"/>
                  <wp:positionH relativeFrom="column">
                    <wp:posOffset>643890</wp:posOffset>
                  </wp:positionH>
                  <wp:positionV relativeFrom="paragraph">
                    <wp:posOffset>-12065</wp:posOffset>
                  </wp:positionV>
                  <wp:extent cx="895350" cy="352425"/>
                  <wp:effectExtent l="0" t="0" r="0" b="9525"/>
                  <wp:wrapNone/>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95350" cy="352425"/>
                          </a:xfrm>
                          <a:prstGeom prst="rect">
                            <a:avLst/>
                          </a:prstGeom>
                          <a:noFill/>
                          <a:ln>
                            <a:noFill/>
                          </a:ln>
                        </pic:spPr>
                      </pic:pic>
                    </a:graphicData>
                  </a:graphic>
                </wp:anchor>
              </w:drawing>
            </w:r>
          </w:p>
        </w:tc>
        <w:tc>
          <w:tcPr>
            <w:tcW w:w="1425" w:type="dxa"/>
            <w:gridSpan w:val="2"/>
            <w:tcBorders>
              <w:top w:val="double" w:color="auto" w:sz="4" w:space="0"/>
            </w:tcBorders>
            <w:vAlign w:val="center"/>
          </w:tcPr>
          <w:p w14:paraId="4A891D8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FB8C406">
            <w:pPr>
              <w:widowControl w:val="0"/>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2025</w:t>
            </w:r>
            <w:r>
              <w:rPr>
                <w:rFonts w:hint="eastAsia" w:ascii="Times New Roman" w:hAnsi="Times New Roman"/>
                <w:color w:val="000000"/>
                <w:sz w:val="21"/>
                <w:szCs w:val="21"/>
                <w:lang w:eastAsia="zh-CN"/>
              </w:rPr>
              <w:t>年</w:t>
            </w:r>
            <w:r>
              <w:rPr>
                <w:rFonts w:hint="eastAsia" w:ascii="Times New Roman" w:hAnsi="Times New Roman"/>
                <w:color w:val="000000"/>
                <w:sz w:val="21"/>
                <w:szCs w:val="21"/>
                <w:lang w:val="en-US" w:eastAsia="zh-CN"/>
              </w:rPr>
              <w:t>2月</w:t>
            </w:r>
          </w:p>
        </w:tc>
      </w:tr>
      <w:tr w14:paraId="7888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A2D6C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CA5A5F5">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60288" behindDoc="0" locked="0" layoutInCell="1" allowOverlap="1">
                  <wp:simplePos x="0" y="0"/>
                  <wp:positionH relativeFrom="column">
                    <wp:posOffset>785495</wp:posOffset>
                  </wp:positionH>
                  <wp:positionV relativeFrom="paragraph">
                    <wp:posOffset>9525</wp:posOffset>
                  </wp:positionV>
                  <wp:extent cx="482600" cy="314325"/>
                  <wp:effectExtent l="0" t="0" r="12700" b="9525"/>
                  <wp:wrapNone/>
                  <wp:docPr id="1" name="图片 1"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6864682111cdbb9b8be5557acbb38"/>
                          <pic:cNvPicPr>
                            <a:picLocks noChangeAspect="1" noChangeArrowheads="1"/>
                          </pic:cNvPicPr>
                        </pic:nvPicPr>
                        <pic:blipFill>
                          <a:blip r:embed="rId6" cstate="print">
                            <a:extLst>
                              <a:ext uri="{28A0092B-C50C-407E-A947-70E740481C1C}">
                                <a14:useLocalDpi xmlns:a14="http://schemas.microsoft.com/office/drawing/2010/main" val="0"/>
                              </a:ext>
                            </a:extLst>
                          </a:blip>
                          <a:srcRect l="18773" t="20906" r="13768" b="8952"/>
                          <a:stretch>
                            <a:fillRect/>
                          </a:stretch>
                        </pic:blipFill>
                        <pic:spPr>
                          <a:xfrm>
                            <a:off x="0" y="0"/>
                            <a:ext cx="482600" cy="314325"/>
                          </a:xfrm>
                          <a:prstGeom prst="rect">
                            <a:avLst/>
                          </a:prstGeom>
                          <a:noFill/>
                          <a:ln>
                            <a:noFill/>
                          </a:ln>
                        </pic:spPr>
                      </pic:pic>
                    </a:graphicData>
                  </a:graphic>
                </wp:anchor>
              </w:drawing>
            </w:r>
          </w:p>
        </w:tc>
        <w:tc>
          <w:tcPr>
            <w:tcW w:w="1425" w:type="dxa"/>
            <w:gridSpan w:val="2"/>
            <w:vAlign w:val="center"/>
          </w:tcPr>
          <w:p w14:paraId="112AD9E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8ECAB03">
            <w:pPr>
              <w:widowControl w:val="0"/>
              <w:jc w:val="center"/>
              <w:rPr>
                <w:rFonts w:ascii="Times New Roman" w:hAnsi="Times New Roman"/>
                <w:color w:val="000000"/>
                <w:sz w:val="21"/>
                <w:szCs w:val="21"/>
              </w:rPr>
            </w:pPr>
            <w:r>
              <w:rPr>
                <w:rFonts w:ascii="Times New Roman" w:hAnsi="Times New Roman"/>
                <w:color w:val="000000"/>
                <w:sz w:val="21"/>
                <w:szCs w:val="21"/>
              </w:rPr>
              <w:t>2025</w:t>
            </w:r>
            <w:r>
              <w:rPr>
                <w:rFonts w:hint="eastAsia" w:ascii="Times New Roman" w:hAnsi="Times New Roman"/>
                <w:color w:val="000000"/>
                <w:sz w:val="21"/>
                <w:szCs w:val="21"/>
                <w:lang w:eastAsia="zh-CN"/>
              </w:rPr>
              <w:t>年</w:t>
            </w:r>
            <w:r>
              <w:rPr>
                <w:rFonts w:hint="eastAsia" w:ascii="Times New Roman" w:hAnsi="Times New Roman"/>
                <w:color w:val="000000"/>
                <w:sz w:val="21"/>
                <w:szCs w:val="21"/>
                <w:lang w:val="en-US" w:eastAsia="zh-CN"/>
              </w:rPr>
              <w:t>2月</w:t>
            </w:r>
          </w:p>
        </w:tc>
      </w:tr>
      <w:tr w14:paraId="2DD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FD8E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87F21A6">
            <w:pPr>
              <w:widowControl w:val="0"/>
              <w:jc w:val="right"/>
              <w:rPr>
                <w:rFonts w:ascii="黑体" w:hAnsi="黑体" w:eastAsia="黑体"/>
                <w:color w:val="000000" w:themeColor="text1"/>
                <w:sz w:val="21"/>
                <w:szCs w:val="21"/>
                <w14:textFill>
                  <w14:solidFill>
                    <w14:schemeClr w14:val="tx1"/>
                  </w14:solidFill>
                </w14:textFill>
              </w:rPr>
            </w:pPr>
            <w:bookmarkStart w:id="12" w:name="_GoBack"/>
            <w:r>
              <w:rPr>
                <w:rFonts w:ascii="黑体" w:hAnsi="黑体" w:eastAsia="黑体"/>
                <w:color w:val="000000" w:themeColor="text1"/>
                <w:sz w:val="21"/>
                <w:szCs w:val="21"/>
                <w14:textFill>
                  <w14:solidFill>
                    <w14:schemeClr w14:val="tx1"/>
                  </w14:solidFill>
                </w14:textFill>
              </w:rPr>
              <w:drawing>
                <wp:anchor distT="0" distB="0" distL="114300" distR="114300" simplePos="0" relativeHeight="251661312" behindDoc="0" locked="0" layoutInCell="1" allowOverlap="1">
                  <wp:simplePos x="0" y="0"/>
                  <wp:positionH relativeFrom="column">
                    <wp:posOffset>648970</wp:posOffset>
                  </wp:positionH>
                  <wp:positionV relativeFrom="paragraph">
                    <wp:posOffset>-19685</wp:posOffset>
                  </wp:positionV>
                  <wp:extent cx="756285" cy="3028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56285" cy="302895"/>
                          </a:xfrm>
                          <a:prstGeom prst="rect">
                            <a:avLst/>
                          </a:prstGeom>
                          <a:noFill/>
                        </pic:spPr>
                      </pic:pic>
                    </a:graphicData>
                  </a:graphic>
                </wp:anchor>
              </w:drawing>
            </w:r>
            <w:bookmarkEnd w:id="12"/>
          </w:p>
        </w:tc>
        <w:tc>
          <w:tcPr>
            <w:tcW w:w="1425" w:type="dxa"/>
            <w:gridSpan w:val="2"/>
            <w:tcBorders>
              <w:bottom w:val="single" w:color="auto" w:sz="12" w:space="0"/>
            </w:tcBorders>
            <w:vAlign w:val="center"/>
          </w:tcPr>
          <w:p w14:paraId="0BFEEB9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7C96AE2">
            <w:pPr>
              <w:widowControl w:val="0"/>
              <w:jc w:val="center"/>
              <w:rPr>
                <w:rFonts w:ascii="Times New Roman" w:hAnsi="Times New Roman"/>
                <w:color w:val="000000"/>
                <w:sz w:val="21"/>
                <w:szCs w:val="21"/>
              </w:rPr>
            </w:pPr>
            <w:r>
              <w:rPr>
                <w:rFonts w:ascii="Times New Roman" w:hAnsi="Times New Roman"/>
                <w:color w:val="000000"/>
                <w:sz w:val="21"/>
                <w:szCs w:val="21"/>
              </w:rPr>
              <w:t>2025</w:t>
            </w:r>
            <w:r>
              <w:rPr>
                <w:rFonts w:hint="eastAsia" w:ascii="Times New Roman" w:hAnsi="Times New Roman"/>
                <w:color w:val="000000"/>
                <w:sz w:val="21"/>
                <w:szCs w:val="21"/>
                <w:lang w:eastAsia="zh-CN"/>
              </w:rPr>
              <w:t>年</w:t>
            </w:r>
            <w:r>
              <w:rPr>
                <w:rFonts w:hint="eastAsia" w:ascii="Times New Roman" w:hAnsi="Times New Roman"/>
                <w:color w:val="000000"/>
                <w:sz w:val="21"/>
                <w:szCs w:val="21"/>
                <w:lang w:val="en-US" w:eastAsia="zh-CN"/>
              </w:rPr>
              <w:t>2月</w:t>
            </w:r>
          </w:p>
        </w:tc>
      </w:tr>
    </w:tbl>
    <w:p w14:paraId="73D00571">
      <w:pPr>
        <w:spacing w:line="100" w:lineRule="exact"/>
        <w:rPr>
          <w:rFonts w:ascii="Arial" w:hAnsi="Arial" w:eastAsia="黑体"/>
        </w:rPr>
      </w:pPr>
      <w:r>
        <w:br w:type="page"/>
      </w:r>
    </w:p>
    <w:p w14:paraId="6B709A98">
      <w:pPr>
        <w:pStyle w:val="16"/>
        <w:spacing w:before="326" w:beforeLines="100" w:line="360" w:lineRule="auto"/>
        <w:rPr>
          <w:rFonts w:ascii="黑体" w:hAnsi="宋体"/>
        </w:rPr>
      </w:pPr>
      <w:r>
        <w:rPr>
          <w:rFonts w:hint="eastAsia" w:ascii="黑体" w:hAnsi="宋体"/>
        </w:rPr>
        <w:t>二、课程目标与毕业要求</w:t>
      </w:r>
    </w:p>
    <w:p w14:paraId="4C4231AF">
      <w:pPr>
        <w:pStyle w:val="17"/>
        <w:spacing w:before="81" w:after="163"/>
      </w:pPr>
      <w:r>
        <w:rPr>
          <w:rFonts w:hint="eastAsia"/>
        </w:rPr>
        <w:t xml:space="preserve">（一）课程目标 </w:t>
      </w:r>
    </w:p>
    <w:tbl>
      <w:tblPr>
        <w:tblStyle w:val="7"/>
        <w:tblW w:w="53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310"/>
        <w:gridCol w:w="830"/>
        <w:gridCol w:w="6852"/>
      </w:tblGrid>
      <w:tr w14:paraId="152BF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28" w:hRule="atLeast"/>
          <w:jc w:val="center"/>
        </w:trPr>
        <w:tc>
          <w:tcPr>
            <w:tcW w:w="1279" w:type="dxa"/>
            <w:vAlign w:val="center"/>
          </w:tcPr>
          <w:p w14:paraId="3CDAEFC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810" w:type="dxa"/>
            <w:shd w:val="clear" w:color="auto" w:fill="auto"/>
            <w:vAlign w:val="center"/>
          </w:tcPr>
          <w:p w14:paraId="6C31546C">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90" w:type="dxa"/>
            <w:vAlign w:val="center"/>
          </w:tcPr>
          <w:p w14:paraId="7E818B3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7040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20" w:hRule="atLeast"/>
          <w:jc w:val="center"/>
        </w:trPr>
        <w:tc>
          <w:tcPr>
            <w:tcW w:w="1279" w:type="dxa"/>
            <w:vMerge w:val="restart"/>
            <w:vAlign w:val="center"/>
          </w:tcPr>
          <w:p w14:paraId="31CF9962">
            <w:pPr>
              <w:snapToGrid w:val="0"/>
              <w:jc w:val="center"/>
            </w:pPr>
            <w:r>
              <w:rPr>
                <w:rFonts w:hint="eastAsia" w:ascii="黑体" w:hAnsi="黑体" w:eastAsia="黑体"/>
                <w:bCs/>
                <w:color w:val="000000"/>
                <w:sz w:val="21"/>
                <w:szCs w:val="18"/>
              </w:rPr>
              <w:t>知识目标</w:t>
            </w:r>
          </w:p>
        </w:tc>
        <w:tc>
          <w:tcPr>
            <w:tcW w:w="810" w:type="dxa"/>
            <w:shd w:val="clear" w:color="auto" w:fill="auto"/>
            <w:vAlign w:val="center"/>
          </w:tcPr>
          <w:p w14:paraId="38C71F0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690" w:type="dxa"/>
            <w:vAlign w:val="center"/>
          </w:tcPr>
          <w:p w14:paraId="6FE2E0A2">
            <w:pPr>
              <w:pStyle w:val="14"/>
              <w:jc w:val="left"/>
              <w:rPr>
                <w:rFonts w:ascii="宋体" w:hAnsi="宋体"/>
                <w:bCs/>
              </w:rPr>
            </w:pPr>
            <w:r>
              <w:rPr>
                <w:rFonts w:cs="Times New Roman"/>
                <w:bCs/>
              </w:rPr>
              <w:t>能明确课文主题，利用网络等资源搜集、获取学习资料，了解课文相关的日本</w:t>
            </w:r>
            <w:r>
              <w:rPr>
                <w:rFonts w:hint="eastAsia" w:cs="Times New Roman"/>
                <w:bCs/>
              </w:rPr>
              <w:t>企业</w:t>
            </w:r>
            <w:r>
              <w:rPr>
                <w:rFonts w:cs="Times New Roman"/>
                <w:bCs/>
              </w:rPr>
              <w:t>文化常识。能在课前制定学习计划，并实施学习计划。完成每课内容的学习任务后，反思学习计划、持续改进，达到学习目标。</w:t>
            </w:r>
          </w:p>
        </w:tc>
      </w:tr>
      <w:tr w14:paraId="6D76F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20" w:hRule="atLeast"/>
          <w:jc w:val="center"/>
        </w:trPr>
        <w:tc>
          <w:tcPr>
            <w:tcW w:w="1279" w:type="dxa"/>
            <w:vMerge w:val="continue"/>
            <w:vAlign w:val="center"/>
          </w:tcPr>
          <w:p w14:paraId="04478500">
            <w:pPr>
              <w:pStyle w:val="14"/>
              <w:rPr>
                <w:bCs/>
              </w:rPr>
            </w:pPr>
          </w:p>
        </w:tc>
        <w:tc>
          <w:tcPr>
            <w:tcW w:w="810" w:type="dxa"/>
            <w:shd w:val="clear" w:color="auto" w:fill="auto"/>
            <w:vAlign w:val="center"/>
          </w:tcPr>
          <w:p w14:paraId="379018C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690" w:type="dxa"/>
            <w:vAlign w:val="center"/>
          </w:tcPr>
          <w:p w14:paraId="7CC8414E">
            <w:pPr>
              <w:pStyle w:val="14"/>
              <w:jc w:val="left"/>
              <w:rPr>
                <w:rFonts w:ascii="宋体" w:hAnsi="宋体"/>
                <w:bCs/>
              </w:rPr>
            </w:pPr>
            <w:r>
              <w:rPr>
                <w:rFonts w:hint="eastAsia" w:ascii="宋体" w:hAnsi="宋体"/>
                <w:bCs/>
              </w:rPr>
              <w:t>了解，熟悉日本企业文化的起源、特点、作用以及其历史背景。掌握日本企业所要求的商务基本能力、信息处理能力、规划能力和执行能力。</w:t>
            </w:r>
          </w:p>
        </w:tc>
      </w:tr>
      <w:tr w14:paraId="6D707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20" w:hRule="atLeast"/>
          <w:jc w:val="center"/>
        </w:trPr>
        <w:tc>
          <w:tcPr>
            <w:tcW w:w="1279" w:type="dxa"/>
            <w:vMerge w:val="restart"/>
            <w:vAlign w:val="center"/>
          </w:tcPr>
          <w:p w14:paraId="58A2439A">
            <w:pPr>
              <w:snapToGrid w:val="0"/>
              <w:jc w:val="center"/>
            </w:pPr>
            <w:r>
              <w:rPr>
                <w:rFonts w:hint="eastAsia" w:ascii="黑体" w:hAnsi="黑体" w:eastAsia="黑体"/>
                <w:bCs/>
                <w:color w:val="000000"/>
                <w:sz w:val="21"/>
                <w:szCs w:val="18"/>
              </w:rPr>
              <w:t>技能目标</w:t>
            </w:r>
          </w:p>
        </w:tc>
        <w:tc>
          <w:tcPr>
            <w:tcW w:w="810" w:type="dxa"/>
            <w:shd w:val="clear" w:color="auto" w:fill="auto"/>
            <w:vAlign w:val="center"/>
          </w:tcPr>
          <w:p w14:paraId="3E9FE25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690" w:type="dxa"/>
            <w:vAlign w:val="center"/>
          </w:tcPr>
          <w:p w14:paraId="615039D2">
            <w:pPr>
              <w:pStyle w:val="14"/>
              <w:jc w:val="left"/>
              <w:rPr>
                <w:rFonts w:ascii="宋体" w:hAnsi="宋体"/>
                <w:bCs/>
              </w:rPr>
            </w:pPr>
            <w:r>
              <w:rPr>
                <w:rFonts w:hint="eastAsia" w:ascii="宋体" w:hAnsi="宋体"/>
                <w:bCs/>
              </w:rPr>
              <w:t>通过模仿逐步掌握各类商务场合中形式多样的日语语句表达形式。</w:t>
            </w:r>
          </w:p>
        </w:tc>
      </w:tr>
      <w:tr w14:paraId="7A08A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20" w:hRule="atLeast"/>
          <w:jc w:val="center"/>
        </w:trPr>
        <w:tc>
          <w:tcPr>
            <w:tcW w:w="1279" w:type="dxa"/>
            <w:vMerge w:val="continue"/>
            <w:vAlign w:val="center"/>
          </w:tcPr>
          <w:p w14:paraId="21AED54C">
            <w:pPr>
              <w:pStyle w:val="14"/>
              <w:rPr>
                <w:rFonts w:ascii="宋体" w:hAnsi="宋体"/>
              </w:rPr>
            </w:pPr>
          </w:p>
        </w:tc>
        <w:tc>
          <w:tcPr>
            <w:tcW w:w="810" w:type="dxa"/>
            <w:shd w:val="clear" w:color="auto" w:fill="auto"/>
            <w:vAlign w:val="center"/>
          </w:tcPr>
          <w:p w14:paraId="1FE55E0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690" w:type="dxa"/>
            <w:vAlign w:val="center"/>
          </w:tcPr>
          <w:p w14:paraId="43A3CAA1">
            <w:pPr>
              <w:pStyle w:val="14"/>
              <w:jc w:val="left"/>
              <w:rPr>
                <w:rFonts w:ascii="宋体" w:hAnsi="宋体"/>
                <w:bCs/>
              </w:rPr>
            </w:pPr>
            <w:r>
              <w:rPr>
                <w:rFonts w:hint="eastAsia" w:ascii="宋体" w:hAnsi="宋体"/>
                <w:bCs/>
              </w:rPr>
              <w:t xml:space="preserve">通过模仿逐步掌握“尊他敬语、自谦敬语”在不同商务场合中的正确使用方法。 </w:t>
            </w:r>
          </w:p>
        </w:tc>
      </w:tr>
      <w:tr w14:paraId="1527D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20" w:hRule="atLeast"/>
          <w:jc w:val="center"/>
        </w:trPr>
        <w:tc>
          <w:tcPr>
            <w:tcW w:w="1279" w:type="dxa"/>
            <w:vMerge w:val="restart"/>
            <w:vAlign w:val="center"/>
          </w:tcPr>
          <w:p w14:paraId="714CCC5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CB57CF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810" w:type="dxa"/>
            <w:shd w:val="clear" w:color="auto" w:fill="auto"/>
            <w:vAlign w:val="center"/>
          </w:tcPr>
          <w:p w14:paraId="2E989AF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690" w:type="dxa"/>
            <w:vAlign w:val="center"/>
          </w:tcPr>
          <w:p w14:paraId="70F08E23">
            <w:pPr>
              <w:pStyle w:val="14"/>
              <w:jc w:val="left"/>
              <w:rPr>
                <w:rFonts w:ascii="宋体" w:hAnsi="宋体"/>
                <w:bCs/>
              </w:rPr>
            </w:pPr>
            <w:r>
              <w:rPr>
                <w:bCs/>
              </w:rPr>
              <w:t>诚信尽责，为人诚实，信守承诺，勤奋努力，精益求精，勇于担责。</w:t>
            </w:r>
          </w:p>
        </w:tc>
      </w:tr>
      <w:tr w14:paraId="31A83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20" w:hRule="atLeast"/>
          <w:jc w:val="center"/>
        </w:trPr>
        <w:tc>
          <w:tcPr>
            <w:tcW w:w="1279" w:type="dxa"/>
            <w:vMerge w:val="continue"/>
            <w:vAlign w:val="center"/>
          </w:tcPr>
          <w:p w14:paraId="5E75723B">
            <w:pPr>
              <w:pStyle w:val="14"/>
              <w:rPr>
                <w:rFonts w:ascii="宋体" w:hAnsi="宋体"/>
              </w:rPr>
            </w:pPr>
          </w:p>
        </w:tc>
        <w:tc>
          <w:tcPr>
            <w:tcW w:w="7495" w:type="dxa"/>
            <w:gridSpan w:val="2"/>
            <w:vAlign w:val="center"/>
          </w:tcPr>
          <w:p w14:paraId="5AA4891B">
            <w:pPr>
              <w:pStyle w:val="14"/>
              <w:jc w:val="left"/>
              <w:rPr>
                <w:rFonts w:ascii="宋体" w:hAnsi="宋体"/>
                <w:bCs/>
              </w:rPr>
            </w:pPr>
          </w:p>
        </w:tc>
      </w:tr>
    </w:tbl>
    <w:p w14:paraId="7EFD80D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8BE0F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9CAF41">
            <w:pPr>
              <w:pStyle w:val="14"/>
              <w:widowControl w:val="0"/>
              <w:jc w:val="lef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785FD074">
            <w:pPr>
              <w:pStyle w:val="14"/>
              <w:widowControl w:val="0"/>
              <w:jc w:val="left"/>
              <w:rPr>
                <w:bCs/>
              </w:rPr>
            </w:pPr>
            <w:r>
              <w:rPr>
                <w:rFonts w:hint="eastAsia"/>
                <w:bCs/>
              </w:rPr>
              <w:t>⑤</w:t>
            </w:r>
            <w:bookmarkStart w:id="2" w:name="OLE_LINK10"/>
            <w:bookmarkStart w:id="3" w:name="OLE_LINK9"/>
            <w:r>
              <w:rPr>
                <w:bCs/>
              </w:rPr>
              <w:t xml:space="preserve">爱岗敬业，热爱所学专业，勤学多练，锤炼技能。熟悉本专业相关的法律法规，在实习实践中自觉遵守职业规范，具备职业道德操守。 </w:t>
            </w:r>
            <w:bookmarkEnd w:id="2"/>
            <w:bookmarkEnd w:id="3"/>
          </w:p>
        </w:tc>
      </w:tr>
      <w:tr w14:paraId="0E97976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5DDF0EE">
            <w:pPr>
              <w:pStyle w:val="14"/>
              <w:widowControl w:val="0"/>
              <w:jc w:val="left"/>
              <w:rPr>
                <w:b/>
              </w:rPr>
            </w:pPr>
            <w:r>
              <w:rPr>
                <w:rFonts w:hint="eastAsia"/>
                <w:b/>
              </w:rPr>
              <w:t>LO2专业能力：</w:t>
            </w:r>
          </w:p>
          <w:p w14:paraId="10E474D3">
            <w:pPr>
              <w:pStyle w:val="14"/>
              <w:widowControl w:val="0"/>
              <w:jc w:val="left"/>
              <w:rPr>
                <w:b/>
              </w:rPr>
            </w:pPr>
            <w:r>
              <w:rPr>
                <w:rFonts w:cs="Times New Roman"/>
                <w:bCs/>
              </w:rPr>
              <w:t>③了解日本社会及中日文化差异，具有良好的跨文化交际能力。</w:t>
            </w:r>
          </w:p>
          <w:p w14:paraId="24C098D4">
            <w:pPr>
              <w:pStyle w:val="14"/>
              <w:widowControl w:val="0"/>
              <w:jc w:val="left"/>
              <w:rPr>
                <w:bCs/>
              </w:rPr>
            </w:pPr>
            <w:r>
              <w:rPr>
                <w:rFonts w:hint="eastAsia"/>
                <w:bCs/>
              </w:rPr>
              <w:t>④掌握商务实践知识，具备从事外贸工作的基本技能。</w:t>
            </w:r>
          </w:p>
        </w:tc>
      </w:tr>
      <w:tr w14:paraId="6BEED2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A4662D1">
            <w:pPr>
              <w:pStyle w:val="14"/>
              <w:widowControl w:val="0"/>
              <w:jc w:val="left"/>
              <w:rPr>
                <w:rFonts w:ascii="宋体" w:hAnsi="宋体"/>
                <w:bCs/>
              </w:rPr>
            </w:pPr>
            <w:r>
              <w:rPr>
                <w:rFonts w:hint="eastAsia" w:ascii="宋体" w:hAnsi="宋体"/>
                <w:b/>
              </w:rPr>
              <w:t>LO3表达沟通：</w:t>
            </w:r>
            <w:bookmarkStart w:id="4" w:name="OLE_LINK11"/>
            <w:bookmarkStart w:id="5" w:name="OLE_LINK12"/>
            <w:r>
              <w:rPr>
                <w:rFonts w:hint="eastAsia" w:ascii="宋体" w:hAnsi="宋体"/>
                <w:bCs/>
              </w:rPr>
              <w:t>理解他人的观点，尊重他人的价值观，能在不同场合用书面或口头形式进行有效沟通。</w:t>
            </w:r>
          </w:p>
          <w:p w14:paraId="390244BB">
            <w:pPr>
              <w:pStyle w:val="14"/>
              <w:widowControl w:val="0"/>
              <w:jc w:val="left"/>
              <w:rPr>
                <w:rFonts w:ascii="宋体" w:hAnsi="宋体"/>
                <w:bCs/>
              </w:rPr>
            </w:pPr>
            <w:r>
              <w:rPr>
                <w:rFonts w:hint="eastAsia" w:ascii="宋体" w:hAnsi="宋体"/>
                <w:bCs/>
              </w:rPr>
              <w:t>②应用书面或口头形式，阐释自己的观点，有效沟通。</w:t>
            </w:r>
            <w:bookmarkEnd w:id="4"/>
            <w:bookmarkEnd w:id="5"/>
          </w:p>
        </w:tc>
      </w:tr>
      <w:tr w14:paraId="5839C3E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AD239C8">
            <w:pPr>
              <w:pStyle w:val="14"/>
              <w:widowControl w:val="0"/>
              <w:jc w:val="left"/>
              <w:rPr>
                <w:rFonts w:ascii="宋体" w:hAnsi="宋体"/>
                <w:bCs/>
              </w:rPr>
            </w:pPr>
            <w:r>
              <w:rPr>
                <w:rFonts w:hint="eastAsia" w:ascii="宋体" w:hAnsi="宋体"/>
                <w:b/>
              </w:rPr>
              <w:t>LO8国际视野：</w:t>
            </w:r>
            <w:r>
              <w:rPr>
                <w:rFonts w:hint="eastAsia" w:ascii="宋体" w:hAnsi="宋体"/>
                <w:bCs/>
              </w:rPr>
              <w:t>具有基本的外语表达沟通能力与跨文化理解能力，有国际竞争与合作的意识。</w:t>
            </w:r>
          </w:p>
          <w:p w14:paraId="4ECD5459">
            <w:pPr>
              <w:pStyle w:val="14"/>
              <w:widowControl w:val="0"/>
              <w:jc w:val="left"/>
              <w:rPr>
                <w:rFonts w:ascii="宋体" w:hAnsi="宋体"/>
                <w:bCs/>
              </w:rPr>
            </w:pPr>
            <w:r>
              <w:rPr>
                <w:rFonts w:hint="eastAsia"/>
                <w:bCs/>
              </w:rPr>
              <w:t>②</w:t>
            </w:r>
            <w:r>
              <w:rPr>
                <w:bCs/>
              </w:rPr>
              <w:t>理解其他国家历史文化，有跨文化交流能力。</w:t>
            </w:r>
          </w:p>
        </w:tc>
      </w:tr>
    </w:tbl>
    <w:p w14:paraId="29274EC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1FD4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274392D2">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3F9E12F7">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0195265C">
            <w:pPr>
              <w:pStyle w:val="13"/>
              <w:rPr>
                <w:szCs w:val="16"/>
              </w:rPr>
            </w:pPr>
            <w:r>
              <w:rPr>
                <w:rFonts w:hint="eastAsia"/>
                <w:szCs w:val="16"/>
              </w:rPr>
              <w:t>支撑度</w:t>
            </w:r>
          </w:p>
        </w:tc>
        <w:tc>
          <w:tcPr>
            <w:tcW w:w="4641" w:type="dxa"/>
            <w:tcBorders>
              <w:top w:val="single" w:color="auto" w:sz="12" w:space="0"/>
            </w:tcBorders>
            <w:vAlign w:val="center"/>
          </w:tcPr>
          <w:p w14:paraId="00666763">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2B37609E">
            <w:pPr>
              <w:pStyle w:val="13"/>
              <w:rPr>
                <w:szCs w:val="16"/>
              </w:rPr>
            </w:pPr>
            <w:r>
              <w:rPr>
                <w:rFonts w:hint="eastAsia"/>
                <w:szCs w:val="16"/>
              </w:rPr>
              <w:t>对指标点的贡献度</w:t>
            </w:r>
          </w:p>
        </w:tc>
      </w:tr>
      <w:tr w14:paraId="4D19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8" w:hRule="atLeast"/>
          <w:jc w:val="center"/>
        </w:trPr>
        <w:tc>
          <w:tcPr>
            <w:tcW w:w="762" w:type="dxa"/>
            <w:tcBorders>
              <w:left w:val="single" w:color="auto" w:sz="12" w:space="0"/>
              <w:right w:val="single" w:color="auto" w:sz="4" w:space="0"/>
            </w:tcBorders>
            <w:shd w:val="clear" w:color="auto" w:fill="auto"/>
            <w:vAlign w:val="center"/>
          </w:tcPr>
          <w:p w14:paraId="03A382BA">
            <w:pPr>
              <w:pStyle w:val="14"/>
              <w:rPr>
                <w:rFonts w:cs="Times New Roman"/>
              </w:rPr>
            </w:pPr>
            <w:r>
              <w:rPr>
                <w:rFonts w:cs="Times New Roman"/>
              </w:rPr>
              <w:t>LO1</w:t>
            </w:r>
          </w:p>
        </w:tc>
        <w:tc>
          <w:tcPr>
            <w:tcW w:w="778" w:type="dxa"/>
            <w:tcBorders>
              <w:left w:val="single" w:color="auto" w:sz="4" w:space="0"/>
            </w:tcBorders>
            <w:vAlign w:val="center"/>
          </w:tcPr>
          <w:p w14:paraId="2579EA54">
            <w:pPr>
              <w:pStyle w:val="14"/>
              <w:rPr>
                <w:rFonts w:cs="Times New Roman"/>
                <w:bCs/>
              </w:rPr>
            </w:pPr>
            <w:r>
              <w:rPr>
                <w:rFonts w:hint="eastAsia" w:cs="Times New Roman"/>
                <w:bCs/>
              </w:rPr>
              <w:t>⑤</w:t>
            </w:r>
          </w:p>
        </w:tc>
        <w:tc>
          <w:tcPr>
            <w:tcW w:w="778" w:type="dxa"/>
            <w:tcBorders>
              <w:right w:val="double" w:color="auto" w:sz="4" w:space="0"/>
            </w:tcBorders>
            <w:shd w:val="clear" w:color="auto" w:fill="auto"/>
            <w:vAlign w:val="center"/>
          </w:tcPr>
          <w:p w14:paraId="07E8CF00">
            <w:pPr>
              <w:pStyle w:val="14"/>
              <w:rPr>
                <w:rFonts w:ascii="宋体" w:hAnsi="宋体"/>
              </w:rPr>
            </w:pPr>
            <w:r>
              <w:rPr>
                <w:rFonts w:hint="eastAsia" w:ascii="宋体" w:hAnsi="宋体"/>
              </w:rPr>
              <w:t>M</w:t>
            </w:r>
          </w:p>
        </w:tc>
        <w:tc>
          <w:tcPr>
            <w:tcW w:w="4641" w:type="dxa"/>
          </w:tcPr>
          <w:p w14:paraId="7E0202AC">
            <w:r>
              <w:rPr>
                <w:rFonts w:ascii="Times New Roman" w:hAnsi="Times New Roman"/>
                <w:bCs/>
                <w:color w:val="000000"/>
                <w:sz w:val="21"/>
                <w:szCs w:val="21"/>
              </w:rPr>
              <w:t xml:space="preserve">爱岗敬业，热爱所学专业，勤学多练，锤炼技能。熟悉本专业相关的法律法规，在实习实践中自觉遵守职业规范，具备职业道德操守。 </w:t>
            </w:r>
          </w:p>
        </w:tc>
        <w:tc>
          <w:tcPr>
            <w:tcW w:w="1317" w:type="dxa"/>
            <w:tcBorders>
              <w:right w:val="single" w:color="auto" w:sz="12" w:space="0"/>
            </w:tcBorders>
            <w:vAlign w:val="center"/>
          </w:tcPr>
          <w:p w14:paraId="4E9D2C58">
            <w:pPr>
              <w:pStyle w:val="14"/>
              <w:rPr>
                <w:rFonts w:ascii="宋体" w:hAnsi="宋体"/>
                <w:bCs/>
              </w:rPr>
            </w:pPr>
            <w:r>
              <w:rPr>
                <w:rFonts w:hint="eastAsia" w:ascii="宋体" w:hAnsi="宋体"/>
                <w:bCs/>
              </w:rPr>
              <w:t>1</w:t>
            </w:r>
            <w:r>
              <w:rPr>
                <w:rFonts w:ascii="宋体" w:hAnsi="宋体"/>
                <w:bCs/>
              </w:rPr>
              <w:t>00</w:t>
            </w:r>
          </w:p>
        </w:tc>
      </w:tr>
      <w:tr w14:paraId="4F21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47BC691D">
            <w:pPr>
              <w:pStyle w:val="14"/>
              <w:rPr>
                <w:rFonts w:cs="Times New Roman"/>
              </w:rPr>
            </w:pPr>
            <w:r>
              <w:rPr>
                <w:rFonts w:cs="Times New Roman"/>
              </w:rPr>
              <w:t>LO2</w:t>
            </w:r>
          </w:p>
        </w:tc>
        <w:tc>
          <w:tcPr>
            <w:tcW w:w="778" w:type="dxa"/>
            <w:tcBorders>
              <w:left w:val="single" w:color="auto" w:sz="4" w:space="0"/>
            </w:tcBorders>
            <w:vAlign w:val="center"/>
          </w:tcPr>
          <w:p w14:paraId="6FDE2AB8">
            <w:pPr>
              <w:pStyle w:val="14"/>
              <w:rPr>
                <w:rFonts w:cs="Times New Roman"/>
                <w:bCs/>
              </w:rPr>
            </w:pPr>
            <w:r>
              <w:rPr>
                <w:rFonts w:hint="eastAsia" w:cs="Times New Roman"/>
                <w:bCs/>
              </w:rPr>
              <w:t>④</w:t>
            </w:r>
          </w:p>
        </w:tc>
        <w:tc>
          <w:tcPr>
            <w:tcW w:w="778" w:type="dxa"/>
            <w:tcBorders>
              <w:right w:val="double" w:color="auto" w:sz="4" w:space="0"/>
            </w:tcBorders>
            <w:shd w:val="clear" w:color="auto" w:fill="auto"/>
            <w:vAlign w:val="center"/>
          </w:tcPr>
          <w:p w14:paraId="53694B7E">
            <w:pPr>
              <w:pStyle w:val="14"/>
              <w:rPr>
                <w:rFonts w:ascii="宋体" w:hAnsi="宋体"/>
              </w:rPr>
            </w:pPr>
            <w:r>
              <w:rPr>
                <w:rFonts w:hint="eastAsia" w:ascii="宋体" w:hAnsi="宋体"/>
              </w:rPr>
              <w:t>H</w:t>
            </w:r>
          </w:p>
        </w:tc>
        <w:tc>
          <w:tcPr>
            <w:tcW w:w="4641" w:type="dxa"/>
            <w:vAlign w:val="center"/>
          </w:tcPr>
          <w:p w14:paraId="4CEE685C">
            <w:pPr>
              <w:pStyle w:val="14"/>
              <w:jc w:val="left"/>
              <w:rPr>
                <w:rFonts w:ascii="宋体" w:hAnsi="宋体"/>
                <w:bCs/>
              </w:rPr>
            </w:pPr>
            <w:r>
              <w:rPr>
                <w:rFonts w:hint="eastAsia"/>
                <w:bCs/>
              </w:rPr>
              <w:t>掌握商务实践知识，具备从事外贸工作的基本技能。</w:t>
            </w:r>
          </w:p>
        </w:tc>
        <w:tc>
          <w:tcPr>
            <w:tcW w:w="1317" w:type="dxa"/>
            <w:tcBorders>
              <w:right w:val="single" w:color="auto" w:sz="12" w:space="0"/>
            </w:tcBorders>
            <w:vAlign w:val="center"/>
          </w:tcPr>
          <w:p w14:paraId="48B6B737">
            <w:pPr>
              <w:pStyle w:val="14"/>
              <w:rPr>
                <w:rFonts w:ascii="宋体" w:hAnsi="宋体"/>
                <w:bCs/>
              </w:rPr>
            </w:pPr>
            <w:r>
              <w:rPr>
                <w:rFonts w:hint="eastAsia" w:ascii="宋体" w:hAnsi="宋体"/>
                <w:bCs/>
              </w:rPr>
              <w:t>1</w:t>
            </w:r>
            <w:r>
              <w:rPr>
                <w:rFonts w:ascii="宋体" w:hAnsi="宋体"/>
                <w:bCs/>
              </w:rPr>
              <w:t>00</w:t>
            </w:r>
          </w:p>
        </w:tc>
      </w:tr>
      <w:tr w14:paraId="7C9C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3" w:hRule="atLeast"/>
          <w:jc w:val="center"/>
        </w:trPr>
        <w:tc>
          <w:tcPr>
            <w:tcW w:w="762" w:type="dxa"/>
            <w:tcBorders>
              <w:left w:val="single" w:color="auto" w:sz="12" w:space="0"/>
              <w:right w:val="single" w:color="auto" w:sz="4" w:space="0"/>
            </w:tcBorders>
            <w:shd w:val="clear" w:color="auto" w:fill="auto"/>
            <w:vAlign w:val="center"/>
          </w:tcPr>
          <w:p w14:paraId="29335C47">
            <w:pPr>
              <w:pStyle w:val="14"/>
              <w:rPr>
                <w:rFonts w:cs="Times New Roman"/>
              </w:rPr>
            </w:pPr>
            <w:r>
              <w:rPr>
                <w:rFonts w:cs="Times New Roman"/>
              </w:rPr>
              <w:t>LO</w:t>
            </w:r>
            <w:r>
              <w:rPr>
                <w:rFonts w:hint="eastAsia" w:cs="Times New Roman"/>
              </w:rPr>
              <w:t>3</w:t>
            </w:r>
          </w:p>
        </w:tc>
        <w:tc>
          <w:tcPr>
            <w:tcW w:w="778" w:type="dxa"/>
            <w:tcBorders>
              <w:left w:val="single" w:color="auto" w:sz="4" w:space="0"/>
            </w:tcBorders>
            <w:vAlign w:val="center"/>
          </w:tcPr>
          <w:p w14:paraId="6218DEAB">
            <w:pPr>
              <w:pStyle w:val="14"/>
              <w:rPr>
                <w:rFonts w:cs="Times New Roman"/>
                <w:bCs/>
              </w:rPr>
            </w:pPr>
            <w:r>
              <w:rPr>
                <w:rFonts w:hint="eastAsia" w:cs="Times New Roman"/>
                <w:bCs/>
              </w:rPr>
              <w:t>②</w:t>
            </w:r>
          </w:p>
        </w:tc>
        <w:tc>
          <w:tcPr>
            <w:tcW w:w="778" w:type="dxa"/>
            <w:tcBorders>
              <w:right w:val="double" w:color="auto" w:sz="4" w:space="0"/>
            </w:tcBorders>
            <w:shd w:val="clear" w:color="auto" w:fill="auto"/>
            <w:vAlign w:val="center"/>
          </w:tcPr>
          <w:p w14:paraId="5E991FF6">
            <w:pPr>
              <w:pStyle w:val="14"/>
              <w:rPr>
                <w:rFonts w:ascii="宋体" w:hAnsi="宋体"/>
              </w:rPr>
            </w:pPr>
            <w:r>
              <w:rPr>
                <w:rFonts w:hint="eastAsia" w:ascii="宋体" w:hAnsi="宋体"/>
              </w:rPr>
              <w:t>L</w:t>
            </w:r>
          </w:p>
        </w:tc>
        <w:tc>
          <w:tcPr>
            <w:tcW w:w="4641" w:type="dxa"/>
            <w:vAlign w:val="center"/>
          </w:tcPr>
          <w:p w14:paraId="6D04726C">
            <w:pPr>
              <w:pStyle w:val="14"/>
              <w:jc w:val="left"/>
              <w:rPr>
                <w:rFonts w:ascii="宋体" w:hAnsi="宋体"/>
                <w:bCs/>
              </w:rPr>
            </w:pPr>
            <w:r>
              <w:rPr>
                <w:rFonts w:hint="eastAsia" w:ascii="宋体" w:hAnsi="宋体"/>
                <w:bCs/>
              </w:rPr>
              <w:t>应用书面或口头形式，阐释自己的观点，有效沟通。</w:t>
            </w:r>
          </w:p>
        </w:tc>
        <w:tc>
          <w:tcPr>
            <w:tcW w:w="1317" w:type="dxa"/>
            <w:tcBorders>
              <w:right w:val="single" w:color="auto" w:sz="12" w:space="0"/>
            </w:tcBorders>
            <w:vAlign w:val="center"/>
          </w:tcPr>
          <w:p w14:paraId="7B06A2F4">
            <w:pPr>
              <w:pStyle w:val="14"/>
              <w:rPr>
                <w:rFonts w:ascii="宋体" w:hAnsi="宋体"/>
                <w:bCs/>
              </w:rPr>
            </w:pPr>
            <w:r>
              <w:rPr>
                <w:rFonts w:hint="eastAsia" w:ascii="宋体" w:hAnsi="宋体"/>
                <w:bCs/>
              </w:rPr>
              <w:t>1</w:t>
            </w:r>
            <w:r>
              <w:rPr>
                <w:rFonts w:ascii="宋体" w:hAnsi="宋体"/>
                <w:bCs/>
              </w:rPr>
              <w:t>00</w:t>
            </w:r>
          </w:p>
        </w:tc>
      </w:tr>
      <w:tr w14:paraId="133A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3F7766D4">
            <w:pPr>
              <w:pStyle w:val="14"/>
            </w:pPr>
            <w:r>
              <w:rPr>
                <w:rFonts w:hint="eastAsia"/>
              </w:rPr>
              <w:t>LO8</w:t>
            </w:r>
          </w:p>
        </w:tc>
        <w:tc>
          <w:tcPr>
            <w:tcW w:w="778" w:type="dxa"/>
            <w:tcBorders>
              <w:left w:val="single" w:color="auto" w:sz="4" w:space="0"/>
              <w:bottom w:val="single" w:color="auto" w:sz="12" w:space="0"/>
            </w:tcBorders>
            <w:vAlign w:val="center"/>
          </w:tcPr>
          <w:p w14:paraId="4017F171">
            <w:pPr>
              <w:pStyle w:val="14"/>
              <w:tabs>
                <w:tab w:val="left" w:pos="483"/>
              </w:tabs>
              <w:ind w:firstLine="210" w:firstLineChars="100"/>
              <w:jc w:val="left"/>
              <w:rPr>
                <w:rFonts w:cs="Times New Roman"/>
                <w:bCs/>
              </w:rPr>
            </w:pPr>
            <w:r>
              <w:rPr>
                <w:rFonts w:hint="eastAsia" w:cs="Times New Roman"/>
                <w:bCs/>
              </w:rPr>
              <w:t>②</w:t>
            </w:r>
          </w:p>
        </w:tc>
        <w:tc>
          <w:tcPr>
            <w:tcW w:w="778" w:type="dxa"/>
            <w:tcBorders>
              <w:bottom w:val="single" w:color="auto" w:sz="12" w:space="0"/>
              <w:right w:val="double" w:color="auto" w:sz="4" w:space="0"/>
            </w:tcBorders>
            <w:shd w:val="clear" w:color="auto" w:fill="auto"/>
            <w:vAlign w:val="center"/>
          </w:tcPr>
          <w:p w14:paraId="5EA7BE25">
            <w:pPr>
              <w:pStyle w:val="14"/>
              <w:rPr>
                <w:rFonts w:ascii="宋体" w:hAnsi="宋体"/>
              </w:rPr>
            </w:pPr>
            <w:r>
              <w:rPr>
                <w:rFonts w:hint="eastAsia" w:ascii="宋体" w:hAnsi="宋体"/>
              </w:rPr>
              <w:t>H</w:t>
            </w:r>
          </w:p>
        </w:tc>
        <w:tc>
          <w:tcPr>
            <w:tcW w:w="4641" w:type="dxa"/>
            <w:tcBorders>
              <w:bottom w:val="single" w:color="auto" w:sz="12" w:space="0"/>
            </w:tcBorders>
            <w:vAlign w:val="center"/>
          </w:tcPr>
          <w:p w14:paraId="4F07B445">
            <w:pPr>
              <w:pStyle w:val="14"/>
              <w:jc w:val="left"/>
              <w:rPr>
                <w:rFonts w:ascii="宋体" w:hAnsi="宋体"/>
                <w:bCs/>
              </w:rPr>
            </w:pPr>
            <w:r>
              <w:rPr>
                <w:bCs/>
              </w:rPr>
              <w:t>理解其他国家历史文化，有跨文化交流能力。</w:t>
            </w:r>
          </w:p>
        </w:tc>
        <w:tc>
          <w:tcPr>
            <w:tcW w:w="1317" w:type="dxa"/>
            <w:tcBorders>
              <w:bottom w:val="single" w:color="auto" w:sz="12" w:space="0"/>
              <w:right w:val="single" w:color="auto" w:sz="12" w:space="0"/>
            </w:tcBorders>
            <w:vAlign w:val="center"/>
          </w:tcPr>
          <w:p w14:paraId="1428F533">
            <w:pPr>
              <w:pStyle w:val="14"/>
              <w:rPr>
                <w:rFonts w:ascii="宋体" w:hAnsi="宋体"/>
                <w:bCs/>
              </w:rPr>
            </w:pPr>
            <w:r>
              <w:rPr>
                <w:rFonts w:hint="eastAsia" w:ascii="宋体" w:hAnsi="宋体"/>
                <w:bCs/>
              </w:rPr>
              <w:t>1</w:t>
            </w:r>
            <w:r>
              <w:rPr>
                <w:rFonts w:ascii="宋体" w:hAnsi="宋体"/>
                <w:bCs/>
              </w:rPr>
              <w:t>00</w:t>
            </w:r>
          </w:p>
        </w:tc>
      </w:tr>
    </w:tbl>
    <w:p w14:paraId="1EDF1833">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C8BB932">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13F7EC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30A2F48">
            <w:pPr>
              <w:widowControl/>
              <w:jc w:val="left"/>
              <w:rPr>
                <w:rFonts w:asciiTheme="minorEastAsia" w:hAnsiTheme="minorEastAsia" w:eastAsiaTheme="minorEastAsia"/>
                <w:bCs/>
                <w:color w:val="000000"/>
                <w:sz w:val="18"/>
                <w:szCs w:val="18"/>
              </w:rPr>
            </w:pPr>
            <w:bookmarkStart w:id="6" w:name="OLE_LINK6"/>
            <w:bookmarkStart w:id="7" w:name="OLE_LINK5"/>
            <w:r>
              <w:rPr>
                <w:rFonts w:hint="eastAsia" w:ascii="Calibri" w:hAnsi="Calibri" w:cs="Times New Roman"/>
                <w:kern w:val="2"/>
                <w:sz w:val="20"/>
                <w:szCs w:val="20"/>
              </w:rPr>
              <w:t>第一单元（1</w:t>
            </w:r>
            <w:r>
              <w:rPr>
                <w:rFonts w:hint="eastAsia" w:cs="Times New Roman"/>
                <w:kern w:val="2"/>
                <w:sz w:val="20"/>
                <w:szCs w:val="20"/>
              </w:rPr>
              <w:t>～</w:t>
            </w:r>
            <w:r>
              <w:rPr>
                <w:rFonts w:hint="eastAsia" w:ascii="Calibri" w:hAnsi="Calibri" w:cs="Times New Roman"/>
                <w:kern w:val="2"/>
                <w:sz w:val="20"/>
                <w:szCs w:val="20"/>
              </w:rPr>
              <w:t>3课）通过日本经营学中的“家”理论，系统阐述日本企业文化起源、特点与作用，为学生全面了解日本企业文化做铺垫，难点在于让学生清晰地梳理“家”与“企业”在认知上的关系。该部分内容大致安排三周六节课。</w:t>
            </w:r>
          </w:p>
          <w:p w14:paraId="7E846341">
            <w:pPr>
              <w:widowControl/>
              <w:jc w:val="left"/>
              <w:rPr>
                <w:rFonts w:asciiTheme="minorEastAsia" w:hAnsiTheme="minorEastAsia" w:eastAsiaTheme="minorEastAsia"/>
                <w:bCs/>
                <w:color w:val="000000"/>
                <w:sz w:val="18"/>
                <w:szCs w:val="18"/>
              </w:rPr>
            </w:pPr>
            <w:r>
              <w:rPr>
                <w:rFonts w:hint="eastAsia" w:ascii="Calibri" w:hAnsi="Calibri" w:cs="Times New Roman"/>
                <w:kern w:val="2"/>
                <w:sz w:val="20"/>
                <w:szCs w:val="20"/>
              </w:rPr>
              <w:t>第二单元（4</w:t>
            </w:r>
            <w:r>
              <w:rPr>
                <w:rFonts w:hint="eastAsia" w:cs="Times New Roman"/>
                <w:kern w:val="2"/>
                <w:sz w:val="20"/>
                <w:szCs w:val="20"/>
              </w:rPr>
              <w:t>～</w:t>
            </w:r>
            <w:r>
              <w:rPr>
                <w:rFonts w:hint="eastAsia" w:ascii="Calibri" w:hAnsi="Calibri" w:cs="Times New Roman"/>
                <w:kern w:val="2"/>
                <w:sz w:val="20"/>
                <w:szCs w:val="20"/>
              </w:rPr>
              <w:t>9课）重点介绍并要求学生了解、掌握商务基本能力（商务礼仪、沟通能力、拓展人脉技能、尤其是在企业内做他人疏通工作争取大多数赞同）等，着重于职业应用能力的培养，难点在于让学生对“天时、地利、人和”等不同要素，做出适时判断，在坚持原则前提下学会采取灵活多变的应对策略。该部分内容大致安排六周1</w:t>
            </w:r>
            <w:r>
              <w:rPr>
                <w:rFonts w:ascii="Calibri" w:hAnsi="Calibri" w:cs="Times New Roman"/>
                <w:kern w:val="2"/>
                <w:sz w:val="20"/>
                <w:szCs w:val="20"/>
              </w:rPr>
              <w:t>2</w:t>
            </w:r>
            <w:r>
              <w:rPr>
                <w:rFonts w:hint="eastAsia" w:ascii="Calibri" w:hAnsi="Calibri" w:cs="Times New Roman"/>
                <w:kern w:val="2"/>
                <w:sz w:val="20"/>
                <w:szCs w:val="20"/>
              </w:rPr>
              <w:t>节课。</w:t>
            </w:r>
          </w:p>
          <w:p w14:paraId="14265306">
            <w:pPr>
              <w:pStyle w:val="14"/>
              <w:widowControl w:val="0"/>
              <w:jc w:val="left"/>
              <w:rPr>
                <w:rFonts w:ascii="仿宋" w:hAnsi="仿宋" w:eastAsia="仿宋" w:cs="仿宋"/>
              </w:rPr>
            </w:pPr>
            <w:r>
              <w:rPr>
                <w:rFonts w:hint="eastAsia" w:ascii="Calibri" w:hAnsi="Calibri" w:cs="Times New Roman"/>
                <w:kern w:val="2"/>
                <w:sz w:val="20"/>
                <w:szCs w:val="20"/>
              </w:rPr>
              <w:t>第三单元（1</w:t>
            </w:r>
            <w:r>
              <w:rPr>
                <w:rFonts w:ascii="Calibri" w:hAnsi="Calibri" w:cs="Times New Roman"/>
                <w:kern w:val="2"/>
                <w:sz w:val="20"/>
                <w:szCs w:val="20"/>
              </w:rPr>
              <w:t>0</w:t>
            </w:r>
            <w:r>
              <w:rPr>
                <w:rFonts w:hint="eastAsia" w:cs="Times New Roman"/>
                <w:kern w:val="2"/>
                <w:sz w:val="20"/>
                <w:szCs w:val="20"/>
              </w:rPr>
              <w:t>～</w:t>
            </w:r>
            <w:r>
              <w:rPr>
                <w:rFonts w:ascii="Calibri" w:hAnsi="Calibri" w:cs="Times New Roman"/>
                <w:kern w:val="2"/>
                <w:sz w:val="20"/>
                <w:szCs w:val="20"/>
              </w:rPr>
              <w:t>15</w:t>
            </w:r>
            <w:r>
              <w:rPr>
                <w:rFonts w:hint="eastAsia" w:ascii="Calibri" w:hAnsi="Calibri" w:cs="Times New Roman"/>
                <w:kern w:val="2"/>
                <w:sz w:val="20"/>
                <w:szCs w:val="20"/>
              </w:rPr>
              <w:t>课）从商务运作角度出发，着重阐述并要求学生逐步掌握信息收集&amp;处理能力（信息收集和整理、信息运用、公司报表解读）；企业能力和执行能力（规划方法、报告演示能力、企业内创业）等，难点在于如何让学生着眼于长远，致力于自身团队领导能力的培养。该部分大致安排七周十四节课。</w:t>
            </w:r>
          </w:p>
        </w:tc>
      </w:tr>
      <w:bookmarkEnd w:id="6"/>
      <w:bookmarkEnd w:id="7"/>
    </w:tbl>
    <w:p w14:paraId="1B8DD4FE">
      <w:pPr>
        <w:pStyle w:val="17"/>
        <w:spacing w:before="81" w:after="163"/>
      </w:pPr>
    </w:p>
    <w:p w14:paraId="46D7662E">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6FA2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389082A">
            <w:pPr>
              <w:pStyle w:val="13"/>
              <w:ind w:firstLine="489"/>
              <w:jc w:val="right"/>
              <w:rPr>
                <w:szCs w:val="16"/>
              </w:rPr>
            </w:pPr>
            <w:r>
              <w:rPr>
                <w:rFonts w:hint="eastAsia"/>
                <w:szCs w:val="16"/>
              </w:rPr>
              <w:t>课程目标</w:t>
            </w:r>
          </w:p>
          <w:p w14:paraId="5107F82C">
            <w:pPr>
              <w:pStyle w:val="13"/>
              <w:ind w:right="210"/>
              <w:jc w:val="left"/>
              <w:rPr>
                <w:szCs w:val="16"/>
              </w:rPr>
            </w:pPr>
          </w:p>
          <w:p w14:paraId="3AD2C54E">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45A200D1">
            <w:pPr>
              <w:pStyle w:val="13"/>
              <w:rPr>
                <w:szCs w:val="16"/>
              </w:rPr>
            </w:pPr>
            <w:r>
              <w:rPr>
                <w:rFonts w:hint="eastAsia"/>
                <w:szCs w:val="16"/>
              </w:rPr>
              <w:t>知识目标</w:t>
            </w:r>
          </w:p>
        </w:tc>
        <w:tc>
          <w:tcPr>
            <w:tcW w:w="1100" w:type="dxa"/>
            <w:tcBorders>
              <w:top w:val="single" w:color="auto" w:sz="12" w:space="0"/>
            </w:tcBorders>
            <w:vAlign w:val="center"/>
          </w:tcPr>
          <w:p w14:paraId="0DDFFA97">
            <w:pPr>
              <w:pStyle w:val="13"/>
              <w:rPr>
                <w:szCs w:val="16"/>
              </w:rPr>
            </w:pPr>
            <w:r>
              <w:rPr>
                <w:rFonts w:hint="eastAsia"/>
                <w:szCs w:val="16"/>
              </w:rPr>
              <w:t>技能目标</w:t>
            </w:r>
          </w:p>
        </w:tc>
        <w:tc>
          <w:tcPr>
            <w:tcW w:w="1100" w:type="dxa"/>
            <w:tcBorders>
              <w:top w:val="single" w:color="auto" w:sz="12" w:space="0"/>
            </w:tcBorders>
            <w:vAlign w:val="center"/>
          </w:tcPr>
          <w:p w14:paraId="786072E3">
            <w:pPr>
              <w:pStyle w:val="13"/>
              <w:rPr>
                <w:szCs w:val="16"/>
              </w:rPr>
            </w:pPr>
            <w:r>
              <w:rPr>
                <w:rFonts w:hint="eastAsia"/>
                <w:szCs w:val="16"/>
              </w:rPr>
              <w:t>素养目标</w:t>
            </w:r>
          </w:p>
        </w:tc>
        <w:tc>
          <w:tcPr>
            <w:tcW w:w="1099" w:type="dxa"/>
            <w:tcBorders>
              <w:top w:val="single" w:color="auto" w:sz="12" w:space="0"/>
            </w:tcBorders>
            <w:vAlign w:val="center"/>
          </w:tcPr>
          <w:p w14:paraId="432BC701">
            <w:pPr>
              <w:pStyle w:val="13"/>
              <w:rPr>
                <w:szCs w:val="16"/>
              </w:rPr>
            </w:pPr>
          </w:p>
        </w:tc>
        <w:tc>
          <w:tcPr>
            <w:tcW w:w="1099" w:type="dxa"/>
            <w:tcBorders>
              <w:top w:val="single" w:color="auto" w:sz="12" w:space="0"/>
            </w:tcBorders>
            <w:vAlign w:val="center"/>
          </w:tcPr>
          <w:p w14:paraId="6FFD3777">
            <w:pPr>
              <w:pStyle w:val="13"/>
              <w:rPr>
                <w:szCs w:val="16"/>
              </w:rPr>
            </w:pPr>
          </w:p>
        </w:tc>
        <w:tc>
          <w:tcPr>
            <w:tcW w:w="1100" w:type="dxa"/>
            <w:tcBorders>
              <w:top w:val="single" w:color="auto" w:sz="12" w:space="0"/>
              <w:right w:val="single" w:color="auto" w:sz="12" w:space="0"/>
            </w:tcBorders>
            <w:vAlign w:val="center"/>
          </w:tcPr>
          <w:p w14:paraId="100C1823">
            <w:pPr>
              <w:pStyle w:val="13"/>
              <w:rPr>
                <w:szCs w:val="16"/>
              </w:rPr>
            </w:pPr>
          </w:p>
        </w:tc>
      </w:tr>
      <w:tr w14:paraId="585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98FB0AB">
            <w:pPr>
              <w:pStyle w:val="14"/>
            </w:pPr>
            <w:r>
              <w:rPr>
                <w:rFonts w:hint="eastAsia"/>
              </w:rPr>
              <w:t>第一单元</w:t>
            </w:r>
          </w:p>
        </w:tc>
        <w:tc>
          <w:tcPr>
            <w:tcW w:w="1100" w:type="dxa"/>
            <w:vAlign w:val="center"/>
          </w:tcPr>
          <w:p w14:paraId="705D84BB">
            <w:pPr>
              <w:pStyle w:val="14"/>
            </w:pPr>
            <w:r>
              <w:rPr>
                <w:rFonts w:hint="eastAsia"/>
              </w:rPr>
              <w:t>√</w:t>
            </w:r>
          </w:p>
        </w:tc>
        <w:tc>
          <w:tcPr>
            <w:tcW w:w="1100" w:type="dxa"/>
            <w:vAlign w:val="center"/>
          </w:tcPr>
          <w:p w14:paraId="0A3D67C2">
            <w:pPr>
              <w:pStyle w:val="14"/>
            </w:pPr>
            <w:r>
              <w:rPr>
                <w:rFonts w:hint="eastAsia"/>
              </w:rPr>
              <w:t>√</w:t>
            </w:r>
          </w:p>
        </w:tc>
        <w:tc>
          <w:tcPr>
            <w:tcW w:w="1100" w:type="dxa"/>
            <w:vAlign w:val="center"/>
          </w:tcPr>
          <w:p w14:paraId="778003EA">
            <w:pPr>
              <w:pStyle w:val="14"/>
            </w:pPr>
            <w:r>
              <w:rPr>
                <w:rFonts w:hint="eastAsia"/>
              </w:rPr>
              <w:t>√</w:t>
            </w:r>
          </w:p>
        </w:tc>
        <w:tc>
          <w:tcPr>
            <w:tcW w:w="1099" w:type="dxa"/>
            <w:vAlign w:val="center"/>
          </w:tcPr>
          <w:p w14:paraId="69E1107A">
            <w:pPr>
              <w:pStyle w:val="14"/>
            </w:pPr>
          </w:p>
        </w:tc>
        <w:tc>
          <w:tcPr>
            <w:tcW w:w="1099" w:type="dxa"/>
            <w:vAlign w:val="center"/>
          </w:tcPr>
          <w:p w14:paraId="611AEF35">
            <w:pPr>
              <w:pStyle w:val="14"/>
            </w:pPr>
          </w:p>
        </w:tc>
        <w:tc>
          <w:tcPr>
            <w:tcW w:w="1100" w:type="dxa"/>
            <w:tcBorders>
              <w:right w:val="single" w:color="auto" w:sz="12" w:space="0"/>
            </w:tcBorders>
            <w:vAlign w:val="center"/>
          </w:tcPr>
          <w:p w14:paraId="65C16AED">
            <w:pPr>
              <w:pStyle w:val="14"/>
            </w:pPr>
          </w:p>
        </w:tc>
      </w:tr>
      <w:tr w14:paraId="648C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0E2E23A">
            <w:pPr>
              <w:pStyle w:val="14"/>
            </w:pPr>
            <w:r>
              <w:rPr>
                <w:rFonts w:hint="eastAsia"/>
              </w:rPr>
              <w:t>第二单元</w:t>
            </w:r>
          </w:p>
        </w:tc>
        <w:tc>
          <w:tcPr>
            <w:tcW w:w="1100" w:type="dxa"/>
            <w:shd w:val="clear" w:color="auto" w:fill="auto"/>
            <w:vAlign w:val="center"/>
          </w:tcPr>
          <w:p w14:paraId="09758523">
            <w:pPr>
              <w:pStyle w:val="14"/>
            </w:pPr>
            <w:r>
              <w:rPr>
                <w:rFonts w:hint="eastAsia"/>
              </w:rPr>
              <w:t>√</w:t>
            </w:r>
          </w:p>
        </w:tc>
        <w:tc>
          <w:tcPr>
            <w:tcW w:w="1100" w:type="dxa"/>
            <w:shd w:val="clear" w:color="auto" w:fill="auto"/>
            <w:vAlign w:val="center"/>
          </w:tcPr>
          <w:p w14:paraId="372D3197">
            <w:pPr>
              <w:pStyle w:val="14"/>
            </w:pPr>
            <w:r>
              <w:rPr>
                <w:rFonts w:hint="eastAsia"/>
              </w:rPr>
              <w:t>√</w:t>
            </w:r>
          </w:p>
        </w:tc>
        <w:tc>
          <w:tcPr>
            <w:tcW w:w="1100" w:type="dxa"/>
            <w:shd w:val="clear" w:color="auto" w:fill="auto"/>
            <w:vAlign w:val="center"/>
          </w:tcPr>
          <w:p w14:paraId="08224EFE">
            <w:pPr>
              <w:pStyle w:val="14"/>
            </w:pPr>
            <w:r>
              <w:rPr>
                <w:rFonts w:hint="eastAsia"/>
              </w:rPr>
              <w:t>√</w:t>
            </w:r>
          </w:p>
        </w:tc>
        <w:tc>
          <w:tcPr>
            <w:tcW w:w="1099" w:type="dxa"/>
            <w:vAlign w:val="center"/>
          </w:tcPr>
          <w:p w14:paraId="60E8E65E">
            <w:pPr>
              <w:pStyle w:val="14"/>
            </w:pPr>
          </w:p>
        </w:tc>
        <w:tc>
          <w:tcPr>
            <w:tcW w:w="1099" w:type="dxa"/>
            <w:vAlign w:val="center"/>
          </w:tcPr>
          <w:p w14:paraId="4820B61F">
            <w:pPr>
              <w:pStyle w:val="14"/>
            </w:pPr>
          </w:p>
        </w:tc>
        <w:tc>
          <w:tcPr>
            <w:tcW w:w="1100" w:type="dxa"/>
            <w:tcBorders>
              <w:right w:val="single" w:color="auto" w:sz="12" w:space="0"/>
            </w:tcBorders>
            <w:vAlign w:val="center"/>
          </w:tcPr>
          <w:p w14:paraId="71EC8B94">
            <w:pPr>
              <w:pStyle w:val="14"/>
            </w:pPr>
          </w:p>
        </w:tc>
      </w:tr>
      <w:tr w14:paraId="618A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5D46BE2">
            <w:pPr>
              <w:pStyle w:val="14"/>
            </w:pPr>
            <w:r>
              <w:rPr>
                <w:rFonts w:hint="eastAsia"/>
              </w:rPr>
              <w:t>第三单元</w:t>
            </w:r>
          </w:p>
        </w:tc>
        <w:tc>
          <w:tcPr>
            <w:tcW w:w="1100" w:type="dxa"/>
            <w:shd w:val="clear" w:color="auto" w:fill="auto"/>
            <w:vAlign w:val="center"/>
          </w:tcPr>
          <w:p w14:paraId="28EA71C1">
            <w:pPr>
              <w:pStyle w:val="14"/>
            </w:pPr>
            <w:r>
              <w:rPr>
                <w:rFonts w:hint="eastAsia"/>
              </w:rPr>
              <w:t>√</w:t>
            </w:r>
          </w:p>
        </w:tc>
        <w:tc>
          <w:tcPr>
            <w:tcW w:w="1100" w:type="dxa"/>
            <w:shd w:val="clear" w:color="auto" w:fill="auto"/>
            <w:vAlign w:val="center"/>
          </w:tcPr>
          <w:p w14:paraId="383F39FA">
            <w:pPr>
              <w:pStyle w:val="14"/>
            </w:pPr>
            <w:r>
              <w:rPr>
                <w:rFonts w:hint="eastAsia"/>
              </w:rPr>
              <w:t>√</w:t>
            </w:r>
          </w:p>
        </w:tc>
        <w:tc>
          <w:tcPr>
            <w:tcW w:w="1100" w:type="dxa"/>
            <w:shd w:val="clear" w:color="auto" w:fill="auto"/>
            <w:vAlign w:val="center"/>
          </w:tcPr>
          <w:p w14:paraId="25E43D36">
            <w:pPr>
              <w:pStyle w:val="14"/>
            </w:pPr>
            <w:r>
              <w:rPr>
                <w:rFonts w:hint="eastAsia"/>
              </w:rPr>
              <w:t>√</w:t>
            </w:r>
          </w:p>
        </w:tc>
        <w:tc>
          <w:tcPr>
            <w:tcW w:w="1099" w:type="dxa"/>
            <w:vAlign w:val="center"/>
          </w:tcPr>
          <w:p w14:paraId="393C5C7F">
            <w:pPr>
              <w:pStyle w:val="14"/>
            </w:pPr>
          </w:p>
        </w:tc>
        <w:tc>
          <w:tcPr>
            <w:tcW w:w="1099" w:type="dxa"/>
            <w:vAlign w:val="center"/>
          </w:tcPr>
          <w:p w14:paraId="17BCEE73">
            <w:pPr>
              <w:pStyle w:val="14"/>
            </w:pPr>
          </w:p>
        </w:tc>
        <w:tc>
          <w:tcPr>
            <w:tcW w:w="1100" w:type="dxa"/>
            <w:tcBorders>
              <w:right w:val="single" w:color="auto" w:sz="12" w:space="0"/>
            </w:tcBorders>
            <w:vAlign w:val="center"/>
          </w:tcPr>
          <w:p w14:paraId="1CFF080D">
            <w:pPr>
              <w:pStyle w:val="14"/>
            </w:pPr>
          </w:p>
        </w:tc>
      </w:tr>
    </w:tbl>
    <w:p w14:paraId="490E9F41">
      <w:pPr>
        <w:pStyle w:val="17"/>
        <w:spacing w:before="326" w:beforeLines="100" w:after="163"/>
      </w:pPr>
    </w:p>
    <w:p w14:paraId="12AD6D64">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15C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F6BD41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1140A67A">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87487CA">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DC198C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951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217BB27">
            <w:pPr>
              <w:widowControl w:val="0"/>
              <w:snapToGrid w:val="0"/>
              <w:jc w:val="center"/>
              <w:rPr>
                <w:rFonts w:ascii="黑体" w:hAnsi="黑体" w:eastAsia="黑体"/>
                <w:bCs/>
                <w:sz w:val="21"/>
                <w:szCs w:val="21"/>
              </w:rPr>
            </w:pPr>
          </w:p>
        </w:tc>
        <w:tc>
          <w:tcPr>
            <w:tcW w:w="2690" w:type="dxa"/>
            <w:vMerge w:val="continue"/>
          </w:tcPr>
          <w:p w14:paraId="30BA9CA3">
            <w:pPr>
              <w:widowControl w:val="0"/>
              <w:snapToGrid w:val="0"/>
              <w:jc w:val="center"/>
              <w:rPr>
                <w:rFonts w:ascii="黑体" w:hAnsi="黑体" w:eastAsia="黑体"/>
                <w:bCs/>
                <w:sz w:val="21"/>
                <w:szCs w:val="21"/>
              </w:rPr>
            </w:pPr>
          </w:p>
        </w:tc>
        <w:tc>
          <w:tcPr>
            <w:tcW w:w="1697" w:type="dxa"/>
            <w:vMerge w:val="continue"/>
          </w:tcPr>
          <w:p w14:paraId="4F9F545C">
            <w:pPr>
              <w:widowControl w:val="0"/>
              <w:snapToGrid w:val="0"/>
              <w:jc w:val="center"/>
              <w:rPr>
                <w:rFonts w:ascii="黑体" w:hAnsi="黑体" w:eastAsia="黑体"/>
                <w:bCs/>
                <w:sz w:val="21"/>
                <w:szCs w:val="21"/>
              </w:rPr>
            </w:pPr>
          </w:p>
        </w:tc>
        <w:tc>
          <w:tcPr>
            <w:tcW w:w="708" w:type="dxa"/>
            <w:vAlign w:val="center"/>
          </w:tcPr>
          <w:p w14:paraId="34D817F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65353FF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7C176DC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3C3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0B7398C">
            <w:pPr>
              <w:widowControl w:val="0"/>
              <w:snapToGrid w:val="0"/>
              <w:jc w:val="center"/>
              <w:rPr>
                <w:rFonts w:ascii="Times New Roman" w:hAnsi="Times New Roman"/>
                <w:bCs/>
                <w:sz w:val="21"/>
                <w:szCs w:val="21"/>
              </w:rPr>
            </w:pPr>
            <w:r>
              <w:rPr>
                <w:rFonts w:hint="eastAsia" w:ascii="Times New Roman" w:hAnsi="Times New Roman"/>
                <w:bCs/>
                <w:sz w:val="21"/>
                <w:szCs w:val="21"/>
              </w:rPr>
              <w:t>第一单元</w:t>
            </w:r>
          </w:p>
        </w:tc>
        <w:tc>
          <w:tcPr>
            <w:tcW w:w="2690" w:type="dxa"/>
            <w:vAlign w:val="center"/>
          </w:tcPr>
          <w:p w14:paraId="1CB17764">
            <w:pPr>
              <w:widowControl w:val="0"/>
              <w:snapToGrid w:val="0"/>
              <w:ind w:firstLine="180" w:firstLineChars="100"/>
              <w:jc w:val="left"/>
              <w:rPr>
                <w:rFonts w:asciiTheme="minorEastAsia" w:hAnsiTheme="minorEastAsia" w:eastAsiaTheme="minorEastAsia"/>
                <w:bCs/>
                <w:sz w:val="18"/>
                <w:szCs w:val="18"/>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cs="MS UI Gothic" w:asciiTheme="minorEastAsia" w:hAnsiTheme="minorEastAsia" w:eastAsiaTheme="minorEastAsia"/>
                <w:bCs/>
                <w:sz w:val="18"/>
                <w:szCs w:val="18"/>
              </w:rPr>
              <w:t>口授</w:t>
            </w:r>
            <w:r>
              <w:rPr>
                <w:rFonts w:hint="eastAsia" w:asciiTheme="minorEastAsia" w:hAnsiTheme="minorEastAsia" w:eastAsiaTheme="minorEastAsia"/>
                <w:bCs/>
                <w:sz w:val="18"/>
                <w:szCs w:val="18"/>
              </w:rPr>
              <w:t>+学生口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585FDEB0">
            <w:pPr>
              <w:widowControl w:val="0"/>
              <w:snapToGrid w:val="0"/>
              <w:jc w:val="center"/>
              <w:rPr>
                <w:rFonts w:asciiTheme="minorEastAsia" w:hAnsiTheme="minorEastAsia" w:eastAsiaTheme="minorEastAsia"/>
                <w:bCs/>
                <w:sz w:val="18"/>
                <w:szCs w:val="18"/>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4800F5C2">
            <w:pPr>
              <w:widowControl w:val="0"/>
              <w:snapToGrid w:val="0"/>
              <w:jc w:val="center"/>
              <w:rPr>
                <w:rFonts w:ascii="Times New Roman" w:hAnsi="Times New Roman"/>
                <w:bCs/>
                <w:sz w:val="21"/>
                <w:szCs w:val="21"/>
              </w:rPr>
            </w:pPr>
            <w:r>
              <w:rPr>
                <w:rFonts w:ascii="Times New Roman" w:hAnsi="Times New Roman"/>
                <w:bCs/>
                <w:sz w:val="21"/>
                <w:szCs w:val="21"/>
              </w:rPr>
              <w:t>10</w:t>
            </w:r>
          </w:p>
        </w:tc>
        <w:tc>
          <w:tcPr>
            <w:tcW w:w="653" w:type="dxa"/>
            <w:vAlign w:val="center"/>
          </w:tcPr>
          <w:p w14:paraId="1373C513">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649A95FB">
            <w:pPr>
              <w:widowControl w:val="0"/>
              <w:snapToGrid w:val="0"/>
              <w:jc w:val="center"/>
              <w:rPr>
                <w:rFonts w:ascii="Times New Roman" w:hAnsi="Times New Roman"/>
                <w:bCs/>
                <w:sz w:val="21"/>
                <w:szCs w:val="21"/>
              </w:rPr>
            </w:pPr>
            <w:r>
              <w:rPr>
                <w:rFonts w:ascii="Times New Roman" w:hAnsi="Times New Roman"/>
                <w:bCs/>
                <w:sz w:val="21"/>
                <w:szCs w:val="21"/>
              </w:rPr>
              <w:t>10</w:t>
            </w:r>
          </w:p>
        </w:tc>
      </w:tr>
      <w:tr w14:paraId="348C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EA8E5F4">
            <w:pPr>
              <w:widowControl w:val="0"/>
              <w:snapToGrid w:val="0"/>
              <w:jc w:val="center"/>
              <w:rPr>
                <w:rFonts w:ascii="Times New Roman" w:hAnsi="Times New Roman"/>
                <w:bCs/>
                <w:sz w:val="21"/>
                <w:szCs w:val="21"/>
              </w:rPr>
            </w:pPr>
            <w:r>
              <w:rPr>
                <w:rFonts w:hint="eastAsia" w:ascii="Times New Roman" w:hAnsi="Times New Roman"/>
                <w:bCs/>
                <w:sz w:val="21"/>
                <w:szCs w:val="21"/>
              </w:rPr>
              <w:t>第二单元</w:t>
            </w:r>
          </w:p>
        </w:tc>
        <w:tc>
          <w:tcPr>
            <w:tcW w:w="2690" w:type="dxa"/>
          </w:tcPr>
          <w:p w14:paraId="6C4D03A6">
            <w:pPr>
              <w:widowControl w:val="0"/>
              <w:ind w:firstLine="180" w:firstLineChars="100"/>
              <w:jc w:val="both"/>
              <w:rPr>
                <w:rFonts w:asciiTheme="minorEastAsia" w:hAnsiTheme="minorEastAsia" w:eastAsiaTheme="minorEastAsia"/>
                <w:sz w:val="18"/>
                <w:szCs w:val="18"/>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asciiTheme="minorEastAsia" w:hAnsiTheme="minorEastAsia" w:eastAsiaTheme="minorEastAsia"/>
                <w:bCs/>
                <w:sz w:val="18"/>
                <w:szCs w:val="18"/>
              </w:rPr>
              <w:t>口授+学生口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21712ACF">
            <w:pPr>
              <w:widowControl w:val="0"/>
              <w:snapToGrid w:val="0"/>
              <w:jc w:val="center"/>
              <w:rPr>
                <w:rFonts w:asciiTheme="minorEastAsia" w:hAnsiTheme="minorEastAsia" w:eastAsiaTheme="minorEastAsia"/>
                <w:bCs/>
                <w:sz w:val="18"/>
                <w:szCs w:val="18"/>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6E54DDCF">
            <w:pPr>
              <w:widowControl w:val="0"/>
              <w:snapToGrid w:val="0"/>
              <w:jc w:val="center"/>
              <w:rPr>
                <w:rFonts w:ascii="Times New Roman" w:hAnsi="Times New Roman"/>
                <w:bCs/>
                <w:sz w:val="21"/>
                <w:szCs w:val="21"/>
              </w:rPr>
            </w:pPr>
            <w:r>
              <w:rPr>
                <w:rFonts w:ascii="Times New Roman" w:hAnsi="Times New Roman"/>
                <w:bCs/>
                <w:sz w:val="21"/>
                <w:szCs w:val="21"/>
              </w:rPr>
              <w:t>10</w:t>
            </w:r>
          </w:p>
        </w:tc>
        <w:tc>
          <w:tcPr>
            <w:tcW w:w="653" w:type="dxa"/>
            <w:vAlign w:val="center"/>
          </w:tcPr>
          <w:p w14:paraId="6DBE83BD">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736F7C6D">
            <w:pPr>
              <w:widowControl w:val="0"/>
              <w:snapToGrid w:val="0"/>
              <w:jc w:val="center"/>
              <w:rPr>
                <w:rFonts w:ascii="Times New Roman" w:hAnsi="Times New Roman"/>
                <w:bCs/>
                <w:sz w:val="21"/>
                <w:szCs w:val="21"/>
              </w:rPr>
            </w:pPr>
            <w:r>
              <w:rPr>
                <w:rFonts w:ascii="Times New Roman" w:hAnsi="Times New Roman"/>
                <w:bCs/>
                <w:sz w:val="21"/>
                <w:szCs w:val="21"/>
              </w:rPr>
              <w:t>10</w:t>
            </w:r>
          </w:p>
        </w:tc>
      </w:tr>
      <w:tr w14:paraId="24DE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AC26060">
            <w:pPr>
              <w:widowControl w:val="0"/>
              <w:snapToGrid w:val="0"/>
              <w:jc w:val="center"/>
              <w:rPr>
                <w:rFonts w:ascii="Times New Roman" w:hAnsi="Times New Roman"/>
                <w:bCs/>
                <w:sz w:val="21"/>
                <w:szCs w:val="21"/>
              </w:rPr>
            </w:pPr>
            <w:r>
              <w:rPr>
                <w:rFonts w:hint="eastAsia" w:ascii="Times New Roman" w:hAnsi="Times New Roman"/>
                <w:bCs/>
                <w:sz w:val="21"/>
                <w:szCs w:val="21"/>
              </w:rPr>
              <w:t>第三单元</w:t>
            </w:r>
          </w:p>
        </w:tc>
        <w:tc>
          <w:tcPr>
            <w:tcW w:w="2690" w:type="dxa"/>
          </w:tcPr>
          <w:p w14:paraId="770E059C">
            <w:pPr>
              <w:widowControl w:val="0"/>
              <w:ind w:firstLine="180" w:firstLineChars="100"/>
              <w:jc w:val="both"/>
              <w:rPr>
                <w:rFonts w:asciiTheme="minorEastAsia" w:hAnsiTheme="minorEastAsia" w:eastAsiaTheme="minorEastAsia"/>
                <w:sz w:val="18"/>
                <w:szCs w:val="18"/>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cs="MS UI Gothic" w:asciiTheme="minorEastAsia" w:hAnsiTheme="minorEastAsia" w:eastAsiaTheme="minorEastAsia"/>
                <w:bCs/>
                <w:sz w:val="18"/>
                <w:szCs w:val="18"/>
              </w:rPr>
              <w:t>口授</w:t>
            </w:r>
            <w:r>
              <w:rPr>
                <w:rFonts w:hint="eastAsia" w:asciiTheme="minorEastAsia" w:hAnsiTheme="minorEastAsia" w:eastAsiaTheme="minorEastAsia"/>
                <w:bCs/>
                <w:sz w:val="18"/>
                <w:szCs w:val="18"/>
              </w:rPr>
              <w:t>+学生口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1778CB69">
            <w:pPr>
              <w:widowControl w:val="0"/>
              <w:snapToGrid w:val="0"/>
              <w:jc w:val="center"/>
              <w:rPr>
                <w:rFonts w:asciiTheme="minorEastAsia" w:hAnsiTheme="minorEastAsia" w:eastAsiaTheme="minorEastAsia"/>
                <w:bCs/>
                <w:sz w:val="18"/>
                <w:szCs w:val="18"/>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5A702E39">
            <w:pPr>
              <w:widowControl w:val="0"/>
              <w:snapToGrid w:val="0"/>
              <w:jc w:val="center"/>
              <w:rPr>
                <w:rFonts w:ascii="Times New Roman" w:hAnsi="Times New Roman"/>
                <w:bCs/>
                <w:sz w:val="21"/>
                <w:szCs w:val="21"/>
              </w:rPr>
            </w:pPr>
            <w:r>
              <w:rPr>
                <w:rFonts w:ascii="Times New Roman" w:hAnsi="Times New Roman"/>
                <w:bCs/>
                <w:sz w:val="21"/>
                <w:szCs w:val="21"/>
              </w:rPr>
              <w:t>12</w:t>
            </w:r>
          </w:p>
        </w:tc>
        <w:tc>
          <w:tcPr>
            <w:tcW w:w="653" w:type="dxa"/>
            <w:vAlign w:val="center"/>
          </w:tcPr>
          <w:p w14:paraId="65CB7D13">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5EE18A1E">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562A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0E57ACE2">
            <w:pPr>
              <w:pStyle w:val="13"/>
              <w:widowControl w:val="0"/>
            </w:pPr>
            <w:r>
              <w:rPr>
                <w:rFonts w:hint="eastAsia"/>
              </w:rPr>
              <w:t>合计</w:t>
            </w:r>
          </w:p>
        </w:tc>
        <w:tc>
          <w:tcPr>
            <w:tcW w:w="708" w:type="dxa"/>
            <w:tcBorders>
              <w:bottom w:val="single" w:color="auto" w:sz="12" w:space="0"/>
            </w:tcBorders>
            <w:vAlign w:val="center"/>
          </w:tcPr>
          <w:p w14:paraId="6D50BA75">
            <w:pPr>
              <w:widowControl w:val="0"/>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color="auto" w:sz="12" w:space="0"/>
            </w:tcBorders>
            <w:vAlign w:val="center"/>
          </w:tcPr>
          <w:p w14:paraId="0B26DDE1">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color="auto" w:sz="12" w:space="0"/>
              <w:right w:val="single" w:color="auto" w:sz="12" w:space="0"/>
            </w:tcBorders>
            <w:vAlign w:val="center"/>
          </w:tcPr>
          <w:p w14:paraId="67C75603">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10FC9AC9">
      <w:pPr>
        <w:pStyle w:val="16"/>
        <w:spacing w:before="326" w:beforeLines="100" w:line="360" w:lineRule="auto"/>
        <w:ind w:firstLine="140" w:firstLineChars="50"/>
        <w:rPr>
          <w:rFonts w:ascii="黑体" w:hAnsi="宋体"/>
        </w:rPr>
      </w:pPr>
      <w:bookmarkStart w:id="8" w:name="OLE_LINK1"/>
      <w:bookmarkStart w:id="9" w:name="OLE_LINK2"/>
      <w:r>
        <w:rPr>
          <w:rFonts w:hint="eastAsia" w:ascii="黑体" w:hAnsi="宋体"/>
        </w:rPr>
        <w:t>四、课程思政教学设计</w:t>
      </w:r>
    </w:p>
    <w:bookmarkEnd w:id="8"/>
    <w:bookmarkEnd w:id="9"/>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9403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5F8177F">
            <w:pPr>
              <w:pStyle w:val="14"/>
              <w:widowControl w:val="0"/>
              <w:jc w:val="left"/>
            </w:pPr>
            <w:r>
              <w:rPr>
                <w:rFonts w:hint="eastAsia"/>
              </w:rPr>
              <w:t>1，介绍日本文化在吸收中国传统文化（如儒家思想、佛教文化等）基础上的创新发展，让学生认识到文化交流与融合的重要性，同时强调中国传统文化的影响力，增强文化自信。</w:t>
            </w:r>
          </w:p>
          <w:p w14:paraId="18366CA6">
            <w:pPr>
              <w:pStyle w:val="14"/>
              <w:widowControl w:val="0"/>
              <w:jc w:val="left"/>
            </w:pPr>
            <w:r>
              <w:rPr>
                <w:rFonts w:hint="eastAsia"/>
              </w:rPr>
              <w:t xml:space="preserve">    运用讲授法和比较分析法，详细讲解日本文化与中国传统文化的渊源关系，对比两者在不同历史时期的发展演变，组织学生进行课堂发言，分享对文化传承与创新的理解。</w:t>
            </w:r>
          </w:p>
          <w:p w14:paraId="0DFBC7CB">
            <w:pPr>
              <w:pStyle w:val="14"/>
              <w:widowControl w:val="0"/>
              <w:jc w:val="left"/>
            </w:pPr>
            <w:r>
              <w:rPr>
                <w:rFonts w:hint="eastAsia"/>
              </w:rPr>
              <w:t>2，深入剖析日本企业精神（如“和”文化、忠诚、敬业等）的内涵，与社会主义核心价值观中的和谐、敬业等内容进行对比和联系，引导学生树立正确的价值观和职业道德观。</w:t>
            </w:r>
          </w:p>
          <w:p w14:paraId="16B8A6D6">
            <w:pPr>
              <w:pStyle w:val="14"/>
              <w:widowControl w:val="0"/>
              <w:jc w:val="left"/>
            </w:pPr>
            <w:r>
              <w:rPr>
                <w:rFonts w:hint="eastAsia"/>
              </w:rPr>
              <w:t xml:space="preserve">    选取丰田、松下等知名日本企业的实际案例，分析其企业精神在员工行为和企业发展中的体现，组织学生分组讨论如何将这些积极的价值观融入到自身的学习和未来职业规划中。</w:t>
            </w:r>
          </w:p>
          <w:p w14:paraId="7B8620EC">
            <w:pPr>
              <w:pStyle w:val="14"/>
              <w:widowControl w:val="0"/>
              <w:jc w:val="left"/>
            </w:pPr>
            <w:r>
              <w:rPr>
                <w:rFonts w:hint="eastAsia"/>
              </w:rPr>
              <w:t xml:space="preserve"> </w:t>
            </w:r>
          </w:p>
          <w:p w14:paraId="1E5B9938">
            <w:pPr>
              <w:pStyle w:val="14"/>
              <w:widowControl w:val="0"/>
              <w:jc w:val="left"/>
            </w:pPr>
            <w:r>
              <w:rPr>
                <w:rFonts w:hint="eastAsia"/>
              </w:rPr>
              <w:t>3，日本企业管理模式部分</w:t>
            </w:r>
          </w:p>
          <w:p w14:paraId="1B44C064">
            <w:pPr>
              <w:pStyle w:val="14"/>
              <w:widowControl w:val="0"/>
              <w:ind w:firstLine="420" w:firstLineChars="200"/>
              <w:jc w:val="left"/>
            </w:pPr>
            <w:r>
              <w:rPr>
                <w:rFonts w:hint="eastAsia"/>
              </w:rPr>
              <w:t>讲解日本企业独特的管理模式（如精益生产、质量管理圈等）时，强调其中蕴含的团队合作、持续改进等理念，引导学生认识到团队协作在实现个人和集体目标中的重要性，培养学生的团队精神和创新意识。</w:t>
            </w:r>
          </w:p>
          <w:p w14:paraId="3E41B2BA">
            <w:pPr>
              <w:pStyle w:val="14"/>
              <w:widowControl w:val="0"/>
              <w:jc w:val="left"/>
            </w:pPr>
            <w:r>
              <w:rPr>
                <w:rFonts w:hint="eastAsia"/>
              </w:rPr>
              <w:t xml:space="preserve">    运用项目教学法和角色扮演法，设计模拟企业管理项目，让学生分组扮演不同角色，模拟实施日本企业管理模式，在实践中体会团队合作的力量和管理创新的价值，教师进行现场指导和点评。</w:t>
            </w:r>
          </w:p>
          <w:p w14:paraId="3754E8BA">
            <w:pPr>
              <w:pStyle w:val="14"/>
              <w:widowControl w:val="0"/>
              <w:jc w:val="left"/>
            </w:pPr>
            <w:r>
              <w:rPr>
                <w:rFonts w:hint="eastAsia"/>
              </w:rPr>
              <w:t xml:space="preserve"> </w:t>
            </w:r>
          </w:p>
          <w:p w14:paraId="09BDE06B">
            <w:pPr>
              <w:pStyle w:val="14"/>
              <w:widowControl w:val="0"/>
              <w:jc w:val="left"/>
            </w:pPr>
            <w:r>
              <w:rPr>
                <w:rFonts w:hint="eastAsia"/>
              </w:rPr>
              <w:t>4，中日企业文化对比部分</w:t>
            </w:r>
          </w:p>
          <w:p w14:paraId="704DA890">
            <w:pPr>
              <w:pStyle w:val="14"/>
              <w:widowControl w:val="0"/>
              <w:jc w:val="left"/>
            </w:pPr>
            <w:r>
              <w:rPr>
                <w:rFonts w:hint="eastAsia"/>
              </w:rPr>
              <w:t xml:space="preserve">   全面对比中日企业文化在各个方面的差异，引导学生客观看待不同文化的优势和不足，培养学生的批判性思维和跨文化交流能力，同时突出中国企业文化在新时代背景下的发展机遇和特色，增强学生对本土企业的信心。</w:t>
            </w:r>
          </w:p>
          <w:p w14:paraId="2FA03F1F">
            <w:pPr>
              <w:pStyle w:val="14"/>
              <w:widowControl w:val="0"/>
              <w:jc w:val="left"/>
            </w:pPr>
            <w:r>
              <w:rPr>
                <w:rFonts w:hint="eastAsia"/>
              </w:rPr>
              <w:t xml:space="preserve">   采用对比分析法和辩论法，组织学生进行中日企业文化对比的专题研究，通过小组汇报展示研究成果，开展课堂辩论，就中日企业文化的优劣及相互借鉴等问题进行深入探讨，教师引导学生形成正确的认识。</w:t>
            </w:r>
          </w:p>
        </w:tc>
      </w:tr>
    </w:tbl>
    <w:p w14:paraId="48ED5E53">
      <w:pPr>
        <w:pStyle w:val="16"/>
        <w:spacing w:before="326" w:beforeLines="100" w:line="360" w:lineRule="auto"/>
        <w:rPr>
          <w:rFonts w:ascii="黑体" w:hAnsi="宋体"/>
        </w:rPr>
      </w:pPr>
      <w:r>
        <w:rPr>
          <w:rFonts w:hint="eastAsia" w:ascii="黑体" w:hAnsi="宋体"/>
        </w:rPr>
        <w:t>五、课程考核</w:t>
      </w:r>
      <w:bookmarkStart w:id="10" w:name="OLE_LINK4"/>
      <w:bookmarkStart w:id="11" w:name="OLE_LINK3"/>
    </w:p>
    <w:bookmarkEnd w:id="10"/>
    <w:bookmarkEnd w:id="11"/>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D8A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7CDFED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DD59CC5">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B736C97">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A6087D3">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F2E56DB">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D5C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B101F33">
            <w:pPr>
              <w:widowControl w:val="0"/>
              <w:snapToGrid w:val="0"/>
              <w:jc w:val="center"/>
              <w:rPr>
                <w:rFonts w:ascii="黑体" w:hAnsi="黑体" w:eastAsia="黑体"/>
                <w:bCs/>
                <w:sz w:val="21"/>
                <w:szCs w:val="21"/>
              </w:rPr>
            </w:pPr>
          </w:p>
        </w:tc>
        <w:tc>
          <w:tcPr>
            <w:tcW w:w="709" w:type="dxa"/>
            <w:vMerge w:val="continue"/>
          </w:tcPr>
          <w:p w14:paraId="3415668E">
            <w:pPr>
              <w:pStyle w:val="16"/>
              <w:widowControl w:val="0"/>
              <w:jc w:val="both"/>
              <w:rPr>
                <w:rFonts w:ascii="黑体" w:hAnsi="黑体"/>
                <w:bCs/>
                <w:sz w:val="21"/>
                <w:szCs w:val="21"/>
              </w:rPr>
            </w:pPr>
          </w:p>
        </w:tc>
        <w:tc>
          <w:tcPr>
            <w:tcW w:w="2353" w:type="dxa"/>
            <w:vMerge w:val="continue"/>
            <w:tcBorders>
              <w:right w:val="double" w:color="auto" w:sz="4" w:space="0"/>
            </w:tcBorders>
          </w:tcPr>
          <w:p w14:paraId="1010B6A2">
            <w:pPr>
              <w:pStyle w:val="16"/>
              <w:widowControl w:val="0"/>
              <w:jc w:val="both"/>
              <w:rPr>
                <w:rFonts w:ascii="黑体" w:hAnsi="黑体"/>
                <w:bCs/>
                <w:sz w:val="21"/>
                <w:szCs w:val="21"/>
              </w:rPr>
            </w:pPr>
          </w:p>
        </w:tc>
        <w:tc>
          <w:tcPr>
            <w:tcW w:w="612" w:type="dxa"/>
            <w:tcBorders>
              <w:left w:val="double" w:color="auto" w:sz="4" w:space="0"/>
            </w:tcBorders>
            <w:vAlign w:val="center"/>
          </w:tcPr>
          <w:p w14:paraId="551FCB27">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0CA18971">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35C3C83E">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64CB6B7A">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29A77030">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55FD620A">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51534B24">
            <w:pPr>
              <w:pStyle w:val="16"/>
              <w:widowControl w:val="0"/>
              <w:spacing w:line="240" w:lineRule="auto"/>
              <w:jc w:val="center"/>
              <w:rPr>
                <w:rFonts w:ascii="黑体" w:hAnsi="黑体"/>
                <w:bCs/>
                <w:sz w:val="21"/>
                <w:szCs w:val="21"/>
              </w:rPr>
            </w:pPr>
          </w:p>
        </w:tc>
      </w:tr>
      <w:tr w14:paraId="1C59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A7C91B4">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267E64C">
            <w:pPr>
              <w:pStyle w:val="14"/>
              <w:widowControl w:val="0"/>
            </w:pPr>
            <w:r>
              <w:rPr>
                <w:rFonts w:hint="eastAsia"/>
              </w:rPr>
              <w:t>1</w:t>
            </w:r>
            <w:r>
              <w:t>5%</w:t>
            </w:r>
          </w:p>
        </w:tc>
        <w:tc>
          <w:tcPr>
            <w:tcW w:w="2353" w:type="dxa"/>
            <w:tcBorders>
              <w:right w:val="double" w:color="auto" w:sz="4" w:space="0"/>
            </w:tcBorders>
            <w:vAlign w:val="center"/>
          </w:tcPr>
          <w:p w14:paraId="32512CB7">
            <w:pPr>
              <w:pStyle w:val="14"/>
              <w:widowControl w:val="0"/>
            </w:pPr>
            <w:r>
              <w:rPr>
                <w:rFonts w:hint="eastAsia"/>
              </w:rPr>
              <w:t>课堂测验</w:t>
            </w:r>
          </w:p>
        </w:tc>
        <w:tc>
          <w:tcPr>
            <w:tcW w:w="612" w:type="dxa"/>
            <w:tcBorders>
              <w:left w:val="double" w:color="auto" w:sz="4" w:space="0"/>
            </w:tcBorders>
            <w:vAlign w:val="center"/>
          </w:tcPr>
          <w:p w14:paraId="0285BC83">
            <w:pPr>
              <w:pStyle w:val="14"/>
              <w:widowControl w:val="0"/>
            </w:pPr>
            <w:r>
              <w:rPr>
                <w:rFonts w:hint="eastAsia"/>
              </w:rPr>
              <w:t>1</w:t>
            </w:r>
            <w:r>
              <w:t>0</w:t>
            </w:r>
          </w:p>
        </w:tc>
        <w:tc>
          <w:tcPr>
            <w:tcW w:w="612" w:type="dxa"/>
            <w:vAlign w:val="center"/>
          </w:tcPr>
          <w:p w14:paraId="473F71B3">
            <w:pPr>
              <w:pStyle w:val="14"/>
              <w:widowControl w:val="0"/>
            </w:pPr>
            <w:r>
              <w:rPr>
                <w:rFonts w:hint="eastAsia"/>
              </w:rPr>
              <w:t>1</w:t>
            </w:r>
            <w:r>
              <w:t>0</w:t>
            </w:r>
          </w:p>
        </w:tc>
        <w:tc>
          <w:tcPr>
            <w:tcW w:w="612" w:type="dxa"/>
            <w:vAlign w:val="center"/>
          </w:tcPr>
          <w:p w14:paraId="4A1C756D">
            <w:pPr>
              <w:pStyle w:val="14"/>
              <w:widowControl w:val="0"/>
            </w:pPr>
            <w:r>
              <w:rPr>
                <w:rFonts w:hint="eastAsia"/>
              </w:rPr>
              <w:t>1</w:t>
            </w:r>
            <w:r>
              <w:t>0</w:t>
            </w:r>
          </w:p>
        </w:tc>
        <w:tc>
          <w:tcPr>
            <w:tcW w:w="612" w:type="dxa"/>
            <w:vAlign w:val="center"/>
          </w:tcPr>
          <w:p w14:paraId="09D6A709">
            <w:pPr>
              <w:pStyle w:val="14"/>
              <w:widowControl w:val="0"/>
            </w:pPr>
            <w:r>
              <w:rPr>
                <w:rFonts w:hint="eastAsia"/>
              </w:rPr>
              <w:t>2</w:t>
            </w:r>
            <w:r>
              <w:t>0</w:t>
            </w:r>
          </w:p>
        </w:tc>
        <w:tc>
          <w:tcPr>
            <w:tcW w:w="612" w:type="dxa"/>
            <w:vAlign w:val="center"/>
          </w:tcPr>
          <w:p w14:paraId="4090F034">
            <w:pPr>
              <w:pStyle w:val="14"/>
              <w:widowControl w:val="0"/>
            </w:pPr>
            <w:r>
              <w:rPr>
                <w:rFonts w:hint="eastAsia"/>
              </w:rPr>
              <w:t>2</w:t>
            </w:r>
            <w:r>
              <w:t>0</w:t>
            </w:r>
          </w:p>
        </w:tc>
        <w:tc>
          <w:tcPr>
            <w:tcW w:w="612" w:type="dxa"/>
            <w:vAlign w:val="center"/>
          </w:tcPr>
          <w:p w14:paraId="11590ABC">
            <w:pPr>
              <w:pStyle w:val="14"/>
              <w:widowControl w:val="0"/>
            </w:pPr>
            <w:r>
              <w:rPr>
                <w:rFonts w:hint="eastAsia"/>
              </w:rPr>
              <w:t>3</w:t>
            </w:r>
            <w:r>
              <w:t>0</w:t>
            </w:r>
          </w:p>
        </w:tc>
        <w:tc>
          <w:tcPr>
            <w:tcW w:w="706" w:type="dxa"/>
            <w:tcBorders>
              <w:right w:val="single" w:color="auto" w:sz="12" w:space="0"/>
            </w:tcBorders>
            <w:vAlign w:val="center"/>
          </w:tcPr>
          <w:p w14:paraId="5F0520FF">
            <w:pPr>
              <w:pStyle w:val="14"/>
              <w:widowControl w:val="0"/>
            </w:pPr>
            <w:r>
              <w:rPr>
                <w:rFonts w:hint="eastAsia"/>
              </w:rPr>
              <w:t>1</w:t>
            </w:r>
            <w:r>
              <w:t>00</w:t>
            </w:r>
          </w:p>
        </w:tc>
      </w:tr>
      <w:tr w14:paraId="1731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EF54C8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D8C2953">
            <w:pPr>
              <w:pStyle w:val="14"/>
              <w:widowControl w:val="0"/>
            </w:pPr>
            <w:r>
              <w:rPr>
                <w:rFonts w:hint="eastAsia"/>
              </w:rPr>
              <w:t>1</w:t>
            </w:r>
            <w:r>
              <w:t>0%</w:t>
            </w:r>
          </w:p>
        </w:tc>
        <w:tc>
          <w:tcPr>
            <w:tcW w:w="2353" w:type="dxa"/>
            <w:tcBorders>
              <w:right w:val="double" w:color="auto" w:sz="4" w:space="0"/>
            </w:tcBorders>
            <w:vAlign w:val="center"/>
          </w:tcPr>
          <w:p w14:paraId="53B2486E">
            <w:pPr>
              <w:pStyle w:val="14"/>
              <w:widowControl w:val="0"/>
            </w:pPr>
            <w:r>
              <w:rPr>
                <w:rFonts w:hint="eastAsia"/>
              </w:rPr>
              <w:t>课堂测验</w:t>
            </w:r>
          </w:p>
        </w:tc>
        <w:tc>
          <w:tcPr>
            <w:tcW w:w="612" w:type="dxa"/>
            <w:tcBorders>
              <w:left w:val="double" w:color="auto" w:sz="4" w:space="0"/>
            </w:tcBorders>
            <w:vAlign w:val="center"/>
          </w:tcPr>
          <w:p w14:paraId="44394D3C">
            <w:pPr>
              <w:pStyle w:val="14"/>
              <w:widowControl w:val="0"/>
            </w:pPr>
            <w:r>
              <w:rPr>
                <w:rFonts w:hint="eastAsia"/>
              </w:rPr>
              <w:t>1</w:t>
            </w:r>
            <w:r>
              <w:t>0</w:t>
            </w:r>
          </w:p>
        </w:tc>
        <w:tc>
          <w:tcPr>
            <w:tcW w:w="612" w:type="dxa"/>
            <w:vAlign w:val="center"/>
          </w:tcPr>
          <w:p w14:paraId="3B3926B5">
            <w:pPr>
              <w:pStyle w:val="14"/>
              <w:widowControl w:val="0"/>
            </w:pPr>
            <w:r>
              <w:rPr>
                <w:rFonts w:hint="eastAsia"/>
              </w:rPr>
              <w:t>1</w:t>
            </w:r>
            <w:r>
              <w:t>0</w:t>
            </w:r>
          </w:p>
        </w:tc>
        <w:tc>
          <w:tcPr>
            <w:tcW w:w="612" w:type="dxa"/>
            <w:vAlign w:val="center"/>
          </w:tcPr>
          <w:p w14:paraId="3DDBEC18">
            <w:pPr>
              <w:pStyle w:val="14"/>
              <w:widowControl w:val="0"/>
            </w:pPr>
            <w:r>
              <w:rPr>
                <w:rFonts w:hint="eastAsia"/>
              </w:rPr>
              <w:t>1</w:t>
            </w:r>
            <w:r>
              <w:t>0</w:t>
            </w:r>
          </w:p>
        </w:tc>
        <w:tc>
          <w:tcPr>
            <w:tcW w:w="612" w:type="dxa"/>
            <w:vAlign w:val="center"/>
          </w:tcPr>
          <w:p w14:paraId="5FFF8741">
            <w:pPr>
              <w:pStyle w:val="14"/>
              <w:widowControl w:val="0"/>
            </w:pPr>
            <w:r>
              <w:rPr>
                <w:rFonts w:hint="eastAsia"/>
              </w:rPr>
              <w:t>2</w:t>
            </w:r>
            <w:r>
              <w:t>0</w:t>
            </w:r>
          </w:p>
        </w:tc>
        <w:tc>
          <w:tcPr>
            <w:tcW w:w="612" w:type="dxa"/>
            <w:vAlign w:val="center"/>
          </w:tcPr>
          <w:p w14:paraId="01B3558E">
            <w:pPr>
              <w:pStyle w:val="14"/>
              <w:widowControl w:val="0"/>
            </w:pPr>
            <w:r>
              <w:rPr>
                <w:rFonts w:hint="eastAsia"/>
              </w:rPr>
              <w:t>2</w:t>
            </w:r>
            <w:r>
              <w:t>0</w:t>
            </w:r>
          </w:p>
        </w:tc>
        <w:tc>
          <w:tcPr>
            <w:tcW w:w="612" w:type="dxa"/>
            <w:vAlign w:val="center"/>
          </w:tcPr>
          <w:p w14:paraId="6A6516FB">
            <w:pPr>
              <w:pStyle w:val="14"/>
              <w:widowControl w:val="0"/>
            </w:pPr>
            <w:r>
              <w:rPr>
                <w:rFonts w:hint="eastAsia"/>
              </w:rPr>
              <w:t>3</w:t>
            </w:r>
            <w:r>
              <w:t>0</w:t>
            </w:r>
          </w:p>
        </w:tc>
        <w:tc>
          <w:tcPr>
            <w:tcW w:w="706" w:type="dxa"/>
            <w:tcBorders>
              <w:right w:val="single" w:color="auto" w:sz="12" w:space="0"/>
            </w:tcBorders>
            <w:vAlign w:val="center"/>
          </w:tcPr>
          <w:p w14:paraId="08E8FBD4">
            <w:pPr>
              <w:pStyle w:val="14"/>
              <w:widowControl w:val="0"/>
            </w:pPr>
            <w:r>
              <w:rPr>
                <w:rFonts w:hint="eastAsia"/>
              </w:rPr>
              <w:t>1</w:t>
            </w:r>
            <w:r>
              <w:t>00</w:t>
            </w:r>
          </w:p>
        </w:tc>
      </w:tr>
      <w:tr w14:paraId="6D63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B2451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D92F991">
            <w:pPr>
              <w:pStyle w:val="14"/>
              <w:widowControl w:val="0"/>
            </w:pPr>
            <w:r>
              <w:rPr>
                <w:rFonts w:hint="eastAsia"/>
              </w:rPr>
              <w:t>1</w:t>
            </w:r>
            <w:r>
              <w:t>5%</w:t>
            </w:r>
          </w:p>
        </w:tc>
        <w:tc>
          <w:tcPr>
            <w:tcW w:w="2353" w:type="dxa"/>
            <w:tcBorders>
              <w:right w:val="double" w:color="auto" w:sz="4" w:space="0"/>
            </w:tcBorders>
            <w:vAlign w:val="center"/>
          </w:tcPr>
          <w:p w14:paraId="2E1192C4">
            <w:pPr>
              <w:pStyle w:val="14"/>
              <w:widowControl w:val="0"/>
            </w:pPr>
            <w:r>
              <w:rPr>
                <w:rFonts w:hint="eastAsia"/>
              </w:rPr>
              <w:t>课堂测验</w:t>
            </w:r>
          </w:p>
        </w:tc>
        <w:tc>
          <w:tcPr>
            <w:tcW w:w="612" w:type="dxa"/>
            <w:tcBorders>
              <w:left w:val="double" w:color="auto" w:sz="4" w:space="0"/>
            </w:tcBorders>
            <w:vAlign w:val="center"/>
          </w:tcPr>
          <w:p w14:paraId="028DB711">
            <w:pPr>
              <w:pStyle w:val="14"/>
              <w:widowControl w:val="0"/>
            </w:pPr>
            <w:r>
              <w:rPr>
                <w:rFonts w:hint="eastAsia"/>
              </w:rPr>
              <w:t>1</w:t>
            </w:r>
            <w:r>
              <w:t>0</w:t>
            </w:r>
          </w:p>
        </w:tc>
        <w:tc>
          <w:tcPr>
            <w:tcW w:w="612" w:type="dxa"/>
            <w:vAlign w:val="center"/>
          </w:tcPr>
          <w:p w14:paraId="64899A7B">
            <w:pPr>
              <w:pStyle w:val="14"/>
              <w:widowControl w:val="0"/>
            </w:pPr>
            <w:r>
              <w:rPr>
                <w:rFonts w:hint="eastAsia"/>
              </w:rPr>
              <w:t>1</w:t>
            </w:r>
            <w:r>
              <w:t>0</w:t>
            </w:r>
          </w:p>
        </w:tc>
        <w:tc>
          <w:tcPr>
            <w:tcW w:w="612" w:type="dxa"/>
            <w:vAlign w:val="center"/>
          </w:tcPr>
          <w:p w14:paraId="63B07C8A">
            <w:pPr>
              <w:pStyle w:val="14"/>
              <w:widowControl w:val="0"/>
            </w:pPr>
            <w:r>
              <w:rPr>
                <w:rFonts w:hint="eastAsia"/>
              </w:rPr>
              <w:t>1</w:t>
            </w:r>
            <w:r>
              <w:t>0</w:t>
            </w:r>
          </w:p>
        </w:tc>
        <w:tc>
          <w:tcPr>
            <w:tcW w:w="612" w:type="dxa"/>
            <w:vAlign w:val="center"/>
          </w:tcPr>
          <w:p w14:paraId="13830E3E">
            <w:pPr>
              <w:pStyle w:val="14"/>
              <w:widowControl w:val="0"/>
            </w:pPr>
            <w:r>
              <w:rPr>
                <w:rFonts w:hint="eastAsia"/>
              </w:rPr>
              <w:t>2</w:t>
            </w:r>
            <w:r>
              <w:t>0</w:t>
            </w:r>
          </w:p>
        </w:tc>
        <w:tc>
          <w:tcPr>
            <w:tcW w:w="612" w:type="dxa"/>
            <w:vAlign w:val="center"/>
          </w:tcPr>
          <w:p w14:paraId="7188E2D7">
            <w:pPr>
              <w:pStyle w:val="14"/>
              <w:widowControl w:val="0"/>
            </w:pPr>
            <w:r>
              <w:rPr>
                <w:rFonts w:hint="eastAsia"/>
              </w:rPr>
              <w:t>2</w:t>
            </w:r>
            <w:r>
              <w:t>0</w:t>
            </w:r>
          </w:p>
        </w:tc>
        <w:tc>
          <w:tcPr>
            <w:tcW w:w="612" w:type="dxa"/>
            <w:vAlign w:val="center"/>
          </w:tcPr>
          <w:p w14:paraId="3704ECCC">
            <w:pPr>
              <w:pStyle w:val="14"/>
              <w:widowControl w:val="0"/>
            </w:pPr>
            <w:r>
              <w:rPr>
                <w:rFonts w:hint="eastAsia"/>
              </w:rPr>
              <w:t>3</w:t>
            </w:r>
            <w:r>
              <w:t>0</w:t>
            </w:r>
          </w:p>
        </w:tc>
        <w:tc>
          <w:tcPr>
            <w:tcW w:w="706" w:type="dxa"/>
            <w:tcBorders>
              <w:right w:val="single" w:color="auto" w:sz="12" w:space="0"/>
            </w:tcBorders>
            <w:vAlign w:val="center"/>
          </w:tcPr>
          <w:p w14:paraId="157DCF92">
            <w:pPr>
              <w:pStyle w:val="14"/>
              <w:widowControl w:val="0"/>
            </w:pPr>
            <w:r>
              <w:rPr>
                <w:rFonts w:hint="eastAsia"/>
              </w:rPr>
              <w:t>1</w:t>
            </w:r>
            <w:r>
              <w:t>00</w:t>
            </w:r>
          </w:p>
        </w:tc>
      </w:tr>
      <w:tr w14:paraId="4B0A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272B84C5">
            <w:pPr>
              <w:widowControl w:val="0"/>
              <w:snapToGrid w:val="0"/>
              <w:jc w:val="center"/>
              <w:rPr>
                <w:rFonts w:ascii="Arial" w:hAnsi="Arial" w:eastAsia="黑体" w:cs="Arial"/>
                <w:bCs/>
                <w:sz w:val="21"/>
                <w:szCs w:val="21"/>
              </w:rPr>
            </w:pPr>
            <w:r>
              <w:rPr>
                <w:rFonts w:hint="eastAsia" w:ascii="Arial" w:hAnsi="Arial" w:eastAsia="黑体" w:cs="Arial"/>
                <w:bCs/>
                <w:sz w:val="21"/>
                <w:szCs w:val="21"/>
              </w:rPr>
              <w:t>X</w:t>
            </w:r>
            <w:r>
              <w:rPr>
                <w:rFonts w:ascii="Arial" w:hAnsi="Arial" w:eastAsia="黑体" w:cs="Arial"/>
                <w:bCs/>
                <w:sz w:val="21"/>
                <w:szCs w:val="21"/>
              </w:rPr>
              <w:t>4</w:t>
            </w:r>
          </w:p>
        </w:tc>
        <w:tc>
          <w:tcPr>
            <w:tcW w:w="709" w:type="dxa"/>
            <w:tcBorders>
              <w:bottom w:val="single" w:color="auto" w:sz="4" w:space="0"/>
            </w:tcBorders>
            <w:vAlign w:val="center"/>
          </w:tcPr>
          <w:p w14:paraId="7EB3F17D">
            <w:pPr>
              <w:pStyle w:val="14"/>
              <w:widowControl w:val="0"/>
            </w:pPr>
            <w:r>
              <w:rPr>
                <w:rFonts w:hint="eastAsia"/>
              </w:rPr>
              <w:t>6</w:t>
            </w:r>
            <w:r>
              <w:t>0%</w:t>
            </w:r>
          </w:p>
        </w:tc>
        <w:tc>
          <w:tcPr>
            <w:tcW w:w="2353" w:type="dxa"/>
            <w:tcBorders>
              <w:bottom w:val="single" w:color="auto" w:sz="4" w:space="0"/>
              <w:right w:val="double" w:color="auto" w:sz="4" w:space="0"/>
            </w:tcBorders>
            <w:vAlign w:val="center"/>
          </w:tcPr>
          <w:p w14:paraId="5ECD8F04">
            <w:pPr>
              <w:pStyle w:val="14"/>
              <w:widowControl w:val="0"/>
            </w:pPr>
            <w:r>
              <w:rPr>
                <w:rFonts w:hint="eastAsia"/>
              </w:rPr>
              <w:t>期末随堂考</w:t>
            </w:r>
          </w:p>
        </w:tc>
        <w:tc>
          <w:tcPr>
            <w:tcW w:w="612" w:type="dxa"/>
            <w:tcBorders>
              <w:left w:val="double" w:color="auto" w:sz="4" w:space="0"/>
            </w:tcBorders>
            <w:vAlign w:val="center"/>
          </w:tcPr>
          <w:p w14:paraId="7EE060DD">
            <w:pPr>
              <w:pStyle w:val="14"/>
              <w:widowControl w:val="0"/>
            </w:pPr>
            <w:r>
              <w:rPr>
                <w:rFonts w:hint="eastAsia"/>
              </w:rPr>
              <w:t>1</w:t>
            </w:r>
            <w:r>
              <w:t>0</w:t>
            </w:r>
          </w:p>
        </w:tc>
        <w:tc>
          <w:tcPr>
            <w:tcW w:w="612" w:type="dxa"/>
            <w:vAlign w:val="center"/>
          </w:tcPr>
          <w:p w14:paraId="74D8CF25">
            <w:pPr>
              <w:pStyle w:val="14"/>
              <w:widowControl w:val="0"/>
            </w:pPr>
            <w:r>
              <w:rPr>
                <w:rFonts w:hint="eastAsia"/>
              </w:rPr>
              <w:t>1</w:t>
            </w:r>
            <w:r>
              <w:t>0</w:t>
            </w:r>
          </w:p>
        </w:tc>
        <w:tc>
          <w:tcPr>
            <w:tcW w:w="612" w:type="dxa"/>
            <w:vAlign w:val="center"/>
          </w:tcPr>
          <w:p w14:paraId="13212A9B">
            <w:pPr>
              <w:pStyle w:val="14"/>
              <w:widowControl w:val="0"/>
            </w:pPr>
            <w:r>
              <w:rPr>
                <w:rFonts w:hint="eastAsia"/>
              </w:rPr>
              <w:t>1</w:t>
            </w:r>
            <w:r>
              <w:t>0</w:t>
            </w:r>
          </w:p>
        </w:tc>
        <w:tc>
          <w:tcPr>
            <w:tcW w:w="612" w:type="dxa"/>
            <w:vAlign w:val="center"/>
          </w:tcPr>
          <w:p w14:paraId="272A64D4">
            <w:pPr>
              <w:pStyle w:val="14"/>
              <w:widowControl w:val="0"/>
            </w:pPr>
            <w:r>
              <w:rPr>
                <w:rFonts w:hint="eastAsia"/>
              </w:rPr>
              <w:t>2</w:t>
            </w:r>
            <w:r>
              <w:t>0</w:t>
            </w:r>
          </w:p>
        </w:tc>
        <w:tc>
          <w:tcPr>
            <w:tcW w:w="612" w:type="dxa"/>
            <w:vAlign w:val="center"/>
          </w:tcPr>
          <w:p w14:paraId="6F098481">
            <w:pPr>
              <w:pStyle w:val="14"/>
              <w:widowControl w:val="0"/>
            </w:pPr>
            <w:r>
              <w:rPr>
                <w:rFonts w:hint="eastAsia"/>
              </w:rPr>
              <w:t>2</w:t>
            </w:r>
            <w:r>
              <w:t>0</w:t>
            </w:r>
          </w:p>
        </w:tc>
        <w:tc>
          <w:tcPr>
            <w:tcW w:w="612" w:type="dxa"/>
            <w:vAlign w:val="center"/>
          </w:tcPr>
          <w:p w14:paraId="34596455">
            <w:pPr>
              <w:pStyle w:val="14"/>
              <w:widowControl w:val="0"/>
            </w:pPr>
            <w:r>
              <w:rPr>
                <w:rFonts w:hint="eastAsia"/>
              </w:rPr>
              <w:t>3</w:t>
            </w:r>
            <w:r>
              <w:t>0</w:t>
            </w:r>
          </w:p>
        </w:tc>
        <w:tc>
          <w:tcPr>
            <w:tcW w:w="706" w:type="dxa"/>
            <w:tcBorders>
              <w:bottom w:val="single" w:color="auto" w:sz="4" w:space="0"/>
              <w:right w:val="single" w:color="auto" w:sz="12" w:space="0"/>
            </w:tcBorders>
            <w:vAlign w:val="center"/>
          </w:tcPr>
          <w:p w14:paraId="63FE6F5A">
            <w:pPr>
              <w:pStyle w:val="14"/>
              <w:widowControl w:val="0"/>
            </w:pPr>
            <w:r>
              <w:rPr>
                <w:rFonts w:hint="eastAsia"/>
              </w:rPr>
              <w:t>1</w:t>
            </w:r>
            <w:r>
              <w:t>00</w:t>
            </w:r>
          </w:p>
        </w:tc>
      </w:tr>
    </w:tbl>
    <w:p w14:paraId="15485E67">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5F0BD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28516E8C">
            <w:pPr>
              <w:pStyle w:val="14"/>
              <w:widowControl w:val="0"/>
              <w:jc w:val="left"/>
              <w:rPr>
                <w:rFonts w:ascii="黑体"/>
              </w:rPr>
            </w:pPr>
            <w:r>
              <w:rPr>
                <w:rFonts w:hint="eastAsia" w:ascii="Arial" w:hAnsi="Arial" w:eastAsia="黑体" w:cs="Arial"/>
                <w:bCs/>
              </w:rPr>
              <w:t>本课程教学以教师口授与学生书面练习为主，过程性考试以及期末考查所采用的形式、分值的占比视具体情况会略作做调整。</w:t>
            </w:r>
          </w:p>
        </w:tc>
      </w:tr>
    </w:tbl>
    <w:p w14:paraId="2CBDCB9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S UI Gothic">
    <w:panose1 w:val="020B0600070205080204"/>
    <w:charset w:val="80"/>
    <w:family w:val="swiss"/>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1" w:csb1="00000000"/>
  </w:font>
  <w:font w:name="Malgun Gothic Semilight">
    <w:altName w:val="Malgun Gothic"/>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C3C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4098E43">
                          <w:pPr>
                            <w:rPr>
                              <w:rFonts w:ascii="Times New Roman" w:hAnsi="Times New Roman"/>
                            </w:rPr>
                          </w:pPr>
                          <w:r>
                            <w:rPr>
                              <w:rFonts w:ascii="Times New Roman" w:hAnsi="Times New Roman"/>
                            </w:rPr>
                            <w:t>SJQU-QR-JW-033（A1）</w:t>
                          </w:r>
                        </w:p>
                        <w:p w14:paraId="0CCAEA13">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4098E43">
                    <w:pPr>
                      <w:rPr>
                        <w:rFonts w:ascii="Times New Roman" w:hAnsi="Times New Roman"/>
                      </w:rPr>
                    </w:pPr>
                    <w:r>
                      <w:rPr>
                        <w:rFonts w:ascii="Times New Roman" w:hAnsi="Times New Roman"/>
                      </w:rPr>
                      <w:t>SJQU-QR-JW-033（A1）</w:t>
                    </w:r>
                  </w:p>
                  <w:p w14:paraId="0CCAEA13">
                    <w:pPr>
                      <w:rPr>
                        <w:rFonts w:ascii="Times New Roman" w:hAnsi="Times New Roma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266F8"/>
    <w:rsid w:val="00031F2F"/>
    <w:rsid w:val="00033082"/>
    <w:rsid w:val="00036E44"/>
    <w:rsid w:val="00044088"/>
    <w:rsid w:val="00050A0C"/>
    <w:rsid w:val="00053590"/>
    <w:rsid w:val="0006001D"/>
    <w:rsid w:val="00066041"/>
    <w:rsid w:val="000733D9"/>
    <w:rsid w:val="00076794"/>
    <w:rsid w:val="0008122A"/>
    <w:rsid w:val="00081F56"/>
    <w:rsid w:val="00087488"/>
    <w:rsid w:val="0009050A"/>
    <w:rsid w:val="0009721F"/>
    <w:rsid w:val="000A4E73"/>
    <w:rsid w:val="000B1BD2"/>
    <w:rsid w:val="000C0F0D"/>
    <w:rsid w:val="000C13BC"/>
    <w:rsid w:val="000C5628"/>
    <w:rsid w:val="000C5739"/>
    <w:rsid w:val="000D28E5"/>
    <w:rsid w:val="000D34D7"/>
    <w:rsid w:val="000F3957"/>
    <w:rsid w:val="000F7221"/>
    <w:rsid w:val="00100633"/>
    <w:rsid w:val="001072BC"/>
    <w:rsid w:val="001077E5"/>
    <w:rsid w:val="00114BD6"/>
    <w:rsid w:val="00130F6D"/>
    <w:rsid w:val="00133554"/>
    <w:rsid w:val="00141E5C"/>
    <w:rsid w:val="00144082"/>
    <w:rsid w:val="0016381F"/>
    <w:rsid w:val="00163A48"/>
    <w:rsid w:val="00163D8D"/>
    <w:rsid w:val="00164E36"/>
    <w:rsid w:val="001662EC"/>
    <w:rsid w:val="001678A2"/>
    <w:rsid w:val="00183AA1"/>
    <w:rsid w:val="0018767C"/>
    <w:rsid w:val="001A068D"/>
    <w:rsid w:val="001A135C"/>
    <w:rsid w:val="001B0D49"/>
    <w:rsid w:val="001B445F"/>
    <w:rsid w:val="001B546F"/>
    <w:rsid w:val="001C16FC"/>
    <w:rsid w:val="001C2E3E"/>
    <w:rsid w:val="001C388D"/>
    <w:rsid w:val="001E0494"/>
    <w:rsid w:val="001E1D2D"/>
    <w:rsid w:val="001E2805"/>
    <w:rsid w:val="001E4AE6"/>
    <w:rsid w:val="001E5A17"/>
    <w:rsid w:val="001F284E"/>
    <w:rsid w:val="001F332E"/>
    <w:rsid w:val="001F7558"/>
    <w:rsid w:val="00202471"/>
    <w:rsid w:val="00217861"/>
    <w:rsid w:val="002204E4"/>
    <w:rsid w:val="002211BF"/>
    <w:rsid w:val="00233F15"/>
    <w:rsid w:val="0024073E"/>
    <w:rsid w:val="002420F1"/>
    <w:rsid w:val="00253AC8"/>
    <w:rsid w:val="00256B39"/>
    <w:rsid w:val="0026033C"/>
    <w:rsid w:val="0027339A"/>
    <w:rsid w:val="00274E82"/>
    <w:rsid w:val="002757AB"/>
    <w:rsid w:val="0027777C"/>
    <w:rsid w:val="00277FE7"/>
    <w:rsid w:val="002877FA"/>
    <w:rsid w:val="00290962"/>
    <w:rsid w:val="0029110B"/>
    <w:rsid w:val="002A4649"/>
    <w:rsid w:val="002A5B03"/>
    <w:rsid w:val="002A7227"/>
    <w:rsid w:val="002B0773"/>
    <w:rsid w:val="002B0C48"/>
    <w:rsid w:val="002B13CA"/>
    <w:rsid w:val="002B3650"/>
    <w:rsid w:val="002B7322"/>
    <w:rsid w:val="002C3E60"/>
    <w:rsid w:val="002C58B6"/>
    <w:rsid w:val="002C63D2"/>
    <w:rsid w:val="002C695E"/>
    <w:rsid w:val="002D0E86"/>
    <w:rsid w:val="002D7C47"/>
    <w:rsid w:val="002E33CE"/>
    <w:rsid w:val="002E3721"/>
    <w:rsid w:val="002E6D65"/>
    <w:rsid w:val="002E6F95"/>
    <w:rsid w:val="002E764D"/>
    <w:rsid w:val="002F3157"/>
    <w:rsid w:val="002F6BD5"/>
    <w:rsid w:val="00305F23"/>
    <w:rsid w:val="00313BBA"/>
    <w:rsid w:val="00317E29"/>
    <w:rsid w:val="00321515"/>
    <w:rsid w:val="0032602E"/>
    <w:rsid w:val="00327B8C"/>
    <w:rsid w:val="00331638"/>
    <w:rsid w:val="00334249"/>
    <w:rsid w:val="003344A7"/>
    <w:rsid w:val="00334623"/>
    <w:rsid w:val="003367AE"/>
    <w:rsid w:val="00340439"/>
    <w:rsid w:val="00344EF2"/>
    <w:rsid w:val="00347EB8"/>
    <w:rsid w:val="00347F80"/>
    <w:rsid w:val="00352946"/>
    <w:rsid w:val="00353F74"/>
    <w:rsid w:val="003557DE"/>
    <w:rsid w:val="00361BEB"/>
    <w:rsid w:val="00370184"/>
    <w:rsid w:val="00373C8A"/>
    <w:rsid w:val="00377C10"/>
    <w:rsid w:val="00384A1F"/>
    <w:rsid w:val="00384D60"/>
    <w:rsid w:val="00385D41"/>
    <w:rsid w:val="003861BA"/>
    <w:rsid w:val="0038746C"/>
    <w:rsid w:val="003A1680"/>
    <w:rsid w:val="003A373C"/>
    <w:rsid w:val="003A5874"/>
    <w:rsid w:val="003B1258"/>
    <w:rsid w:val="003B4A81"/>
    <w:rsid w:val="003C1F8D"/>
    <w:rsid w:val="003C61A5"/>
    <w:rsid w:val="003D1968"/>
    <w:rsid w:val="003D1B41"/>
    <w:rsid w:val="003D4994"/>
    <w:rsid w:val="003E10A5"/>
    <w:rsid w:val="003E7D72"/>
    <w:rsid w:val="003F3923"/>
    <w:rsid w:val="003F43F6"/>
    <w:rsid w:val="003F4E59"/>
    <w:rsid w:val="003F66E1"/>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2BE5"/>
    <w:rsid w:val="00481F98"/>
    <w:rsid w:val="00483472"/>
    <w:rsid w:val="004852BF"/>
    <w:rsid w:val="00487A46"/>
    <w:rsid w:val="00493504"/>
    <w:rsid w:val="00494579"/>
    <w:rsid w:val="00497334"/>
    <w:rsid w:val="004A4645"/>
    <w:rsid w:val="004A6F3A"/>
    <w:rsid w:val="004B408D"/>
    <w:rsid w:val="004B6F68"/>
    <w:rsid w:val="004B73F7"/>
    <w:rsid w:val="004D4FB3"/>
    <w:rsid w:val="004D75A6"/>
    <w:rsid w:val="004E3456"/>
    <w:rsid w:val="004E7C8F"/>
    <w:rsid w:val="004F3DF0"/>
    <w:rsid w:val="004F77AA"/>
    <w:rsid w:val="005010A5"/>
    <w:rsid w:val="00502ABC"/>
    <w:rsid w:val="00504B6A"/>
    <w:rsid w:val="005074E1"/>
    <w:rsid w:val="005126F1"/>
    <w:rsid w:val="00513F2F"/>
    <w:rsid w:val="0051612A"/>
    <w:rsid w:val="00517176"/>
    <w:rsid w:val="0052192E"/>
    <w:rsid w:val="00524300"/>
    <w:rsid w:val="00541F72"/>
    <w:rsid w:val="00542388"/>
    <w:rsid w:val="00544523"/>
    <w:rsid w:val="005467DC"/>
    <w:rsid w:val="00546A82"/>
    <w:rsid w:val="00547800"/>
    <w:rsid w:val="00547C51"/>
    <w:rsid w:val="00551335"/>
    <w:rsid w:val="005519BB"/>
    <w:rsid w:val="005523FD"/>
    <w:rsid w:val="00553D03"/>
    <w:rsid w:val="00555BA0"/>
    <w:rsid w:val="00556E41"/>
    <w:rsid w:val="0057496F"/>
    <w:rsid w:val="00575AC4"/>
    <w:rsid w:val="005770A6"/>
    <w:rsid w:val="0059045B"/>
    <w:rsid w:val="00597EC2"/>
    <w:rsid w:val="005A13AB"/>
    <w:rsid w:val="005B1150"/>
    <w:rsid w:val="005B1FFC"/>
    <w:rsid w:val="005B2B6D"/>
    <w:rsid w:val="005B4B4E"/>
    <w:rsid w:val="005C3A76"/>
    <w:rsid w:val="005C458F"/>
    <w:rsid w:val="005D5B6F"/>
    <w:rsid w:val="005E38A5"/>
    <w:rsid w:val="005F5185"/>
    <w:rsid w:val="0062115C"/>
    <w:rsid w:val="0062265B"/>
    <w:rsid w:val="00624B5C"/>
    <w:rsid w:val="00624FE1"/>
    <w:rsid w:val="0062577D"/>
    <w:rsid w:val="0063249D"/>
    <w:rsid w:val="006331EE"/>
    <w:rsid w:val="006355E6"/>
    <w:rsid w:val="00635E3E"/>
    <w:rsid w:val="00637E00"/>
    <w:rsid w:val="0064038A"/>
    <w:rsid w:val="006424A8"/>
    <w:rsid w:val="0065167D"/>
    <w:rsid w:val="00652D13"/>
    <w:rsid w:val="0066595A"/>
    <w:rsid w:val="00666206"/>
    <w:rsid w:val="00672788"/>
    <w:rsid w:val="00676183"/>
    <w:rsid w:val="00680C72"/>
    <w:rsid w:val="00680DA3"/>
    <w:rsid w:val="0068377F"/>
    <w:rsid w:val="00691B24"/>
    <w:rsid w:val="00695B93"/>
    <w:rsid w:val="00697C16"/>
    <w:rsid w:val="006A4A10"/>
    <w:rsid w:val="006A5A89"/>
    <w:rsid w:val="006B3BB9"/>
    <w:rsid w:val="006B48AC"/>
    <w:rsid w:val="006B5977"/>
    <w:rsid w:val="006C644B"/>
    <w:rsid w:val="006D1B59"/>
    <w:rsid w:val="006D2F9C"/>
    <w:rsid w:val="006D4351"/>
    <w:rsid w:val="006D5424"/>
    <w:rsid w:val="006E5351"/>
    <w:rsid w:val="006E5CA9"/>
    <w:rsid w:val="006E5E98"/>
    <w:rsid w:val="006E6BC6"/>
    <w:rsid w:val="006E7A37"/>
    <w:rsid w:val="006F3151"/>
    <w:rsid w:val="007011CA"/>
    <w:rsid w:val="0070498A"/>
    <w:rsid w:val="007056DE"/>
    <w:rsid w:val="00706121"/>
    <w:rsid w:val="00710B6B"/>
    <w:rsid w:val="00712A2C"/>
    <w:rsid w:val="00712E84"/>
    <w:rsid w:val="0071316C"/>
    <w:rsid w:val="00714914"/>
    <w:rsid w:val="007149BE"/>
    <w:rsid w:val="007208D6"/>
    <w:rsid w:val="00726786"/>
    <w:rsid w:val="00732152"/>
    <w:rsid w:val="007428DF"/>
    <w:rsid w:val="00742BD1"/>
    <w:rsid w:val="00742E7A"/>
    <w:rsid w:val="0074424F"/>
    <w:rsid w:val="00761861"/>
    <w:rsid w:val="00764745"/>
    <w:rsid w:val="00764FD9"/>
    <w:rsid w:val="007740B2"/>
    <w:rsid w:val="00774C1F"/>
    <w:rsid w:val="0078194F"/>
    <w:rsid w:val="007934A4"/>
    <w:rsid w:val="007A0AC9"/>
    <w:rsid w:val="007A1B70"/>
    <w:rsid w:val="007A57F6"/>
    <w:rsid w:val="007B4052"/>
    <w:rsid w:val="007B4FFB"/>
    <w:rsid w:val="007C0BCE"/>
    <w:rsid w:val="007C1D1B"/>
    <w:rsid w:val="007C3566"/>
    <w:rsid w:val="007C794A"/>
    <w:rsid w:val="007D5326"/>
    <w:rsid w:val="007D5A33"/>
    <w:rsid w:val="007D7D3F"/>
    <w:rsid w:val="007E4F3A"/>
    <w:rsid w:val="007E620F"/>
    <w:rsid w:val="007E663C"/>
    <w:rsid w:val="007E7795"/>
    <w:rsid w:val="0080066B"/>
    <w:rsid w:val="008015AC"/>
    <w:rsid w:val="00803578"/>
    <w:rsid w:val="00815B8D"/>
    <w:rsid w:val="00815B8E"/>
    <w:rsid w:val="00816D99"/>
    <w:rsid w:val="00816FAC"/>
    <w:rsid w:val="0082324C"/>
    <w:rsid w:val="00823D71"/>
    <w:rsid w:val="008245AF"/>
    <w:rsid w:val="008256B9"/>
    <w:rsid w:val="0083705D"/>
    <w:rsid w:val="0084242F"/>
    <w:rsid w:val="00845795"/>
    <w:rsid w:val="00847437"/>
    <w:rsid w:val="0086637E"/>
    <w:rsid w:val="00870A3E"/>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129"/>
    <w:rsid w:val="008D4E81"/>
    <w:rsid w:val="008D505F"/>
    <w:rsid w:val="008D51B5"/>
    <w:rsid w:val="008E0F55"/>
    <w:rsid w:val="008F253F"/>
    <w:rsid w:val="008F7F31"/>
    <w:rsid w:val="00900019"/>
    <w:rsid w:val="009023B1"/>
    <w:rsid w:val="00905C21"/>
    <w:rsid w:val="009147D6"/>
    <w:rsid w:val="00914D98"/>
    <w:rsid w:val="00925F8C"/>
    <w:rsid w:val="009270FA"/>
    <w:rsid w:val="00927324"/>
    <w:rsid w:val="00932ED7"/>
    <w:rsid w:val="00933990"/>
    <w:rsid w:val="00941B89"/>
    <w:rsid w:val="00941DEA"/>
    <w:rsid w:val="009656CC"/>
    <w:rsid w:val="00970E8C"/>
    <w:rsid w:val="00971671"/>
    <w:rsid w:val="009759D9"/>
    <w:rsid w:val="00981A37"/>
    <w:rsid w:val="009823A6"/>
    <w:rsid w:val="009830B2"/>
    <w:rsid w:val="00985F32"/>
    <w:rsid w:val="009900D4"/>
    <w:rsid w:val="0099063E"/>
    <w:rsid w:val="00992356"/>
    <w:rsid w:val="00992674"/>
    <w:rsid w:val="00994793"/>
    <w:rsid w:val="00996AE3"/>
    <w:rsid w:val="009A0450"/>
    <w:rsid w:val="009A1E27"/>
    <w:rsid w:val="009A307B"/>
    <w:rsid w:val="009A6FE8"/>
    <w:rsid w:val="009B04E7"/>
    <w:rsid w:val="009B14E8"/>
    <w:rsid w:val="009B4D21"/>
    <w:rsid w:val="009B5A73"/>
    <w:rsid w:val="009B7D89"/>
    <w:rsid w:val="009C15E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2E80"/>
    <w:rsid w:val="00A1488B"/>
    <w:rsid w:val="00A16159"/>
    <w:rsid w:val="00A161E6"/>
    <w:rsid w:val="00A17885"/>
    <w:rsid w:val="00A2337D"/>
    <w:rsid w:val="00A25A31"/>
    <w:rsid w:val="00A31312"/>
    <w:rsid w:val="00A31BBE"/>
    <w:rsid w:val="00A31D34"/>
    <w:rsid w:val="00A32F0F"/>
    <w:rsid w:val="00A333EF"/>
    <w:rsid w:val="00A33F85"/>
    <w:rsid w:val="00A40645"/>
    <w:rsid w:val="00A513B2"/>
    <w:rsid w:val="00A6016C"/>
    <w:rsid w:val="00A733C4"/>
    <w:rsid w:val="00A74461"/>
    <w:rsid w:val="00A769B1"/>
    <w:rsid w:val="00A77DA3"/>
    <w:rsid w:val="00A837D5"/>
    <w:rsid w:val="00A83E04"/>
    <w:rsid w:val="00A91091"/>
    <w:rsid w:val="00A93EE3"/>
    <w:rsid w:val="00A94BA9"/>
    <w:rsid w:val="00A94F65"/>
    <w:rsid w:val="00AA4970"/>
    <w:rsid w:val="00AA536D"/>
    <w:rsid w:val="00AA6CBF"/>
    <w:rsid w:val="00AB22C0"/>
    <w:rsid w:val="00AB28FC"/>
    <w:rsid w:val="00AB49E4"/>
    <w:rsid w:val="00AC1479"/>
    <w:rsid w:val="00AC2AAC"/>
    <w:rsid w:val="00AC40F1"/>
    <w:rsid w:val="00AC4C45"/>
    <w:rsid w:val="00AC7423"/>
    <w:rsid w:val="00AC78C9"/>
    <w:rsid w:val="00AD1085"/>
    <w:rsid w:val="00AD5B40"/>
    <w:rsid w:val="00AF289F"/>
    <w:rsid w:val="00AF30B9"/>
    <w:rsid w:val="00AF43DF"/>
    <w:rsid w:val="00AF67A4"/>
    <w:rsid w:val="00AF7510"/>
    <w:rsid w:val="00B12D31"/>
    <w:rsid w:val="00B15A79"/>
    <w:rsid w:val="00B15F6E"/>
    <w:rsid w:val="00B17C1E"/>
    <w:rsid w:val="00B21120"/>
    <w:rsid w:val="00B21BEE"/>
    <w:rsid w:val="00B23284"/>
    <w:rsid w:val="00B321FA"/>
    <w:rsid w:val="00B37D43"/>
    <w:rsid w:val="00B46F21"/>
    <w:rsid w:val="00B511A5"/>
    <w:rsid w:val="00B51CDE"/>
    <w:rsid w:val="00B54731"/>
    <w:rsid w:val="00B56541"/>
    <w:rsid w:val="00B605ED"/>
    <w:rsid w:val="00B61552"/>
    <w:rsid w:val="00B71F97"/>
    <w:rsid w:val="00B72538"/>
    <w:rsid w:val="00B736A7"/>
    <w:rsid w:val="00B7651F"/>
    <w:rsid w:val="00B919FA"/>
    <w:rsid w:val="00B94A16"/>
    <w:rsid w:val="00BA09F3"/>
    <w:rsid w:val="00BA6044"/>
    <w:rsid w:val="00BB1A93"/>
    <w:rsid w:val="00BB218A"/>
    <w:rsid w:val="00BB2666"/>
    <w:rsid w:val="00BC00B5"/>
    <w:rsid w:val="00BC109F"/>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2899"/>
    <w:rsid w:val="00C24718"/>
    <w:rsid w:val="00C2675D"/>
    <w:rsid w:val="00C30AEE"/>
    <w:rsid w:val="00C33362"/>
    <w:rsid w:val="00C33CE2"/>
    <w:rsid w:val="00C353AE"/>
    <w:rsid w:val="00C4194E"/>
    <w:rsid w:val="00C41B26"/>
    <w:rsid w:val="00C516B1"/>
    <w:rsid w:val="00C5350C"/>
    <w:rsid w:val="00C565C3"/>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A6B97"/>
    <w:rsid w:val="00CB3D3F"/>
    <w:rsid w:val="00CB5A1A"/>
    <w:rsid w:val="00CC1FEE"/>
    <w:rsid w:val="00CC59E6"/>
    <w:rsid w:val="00CD5BDD"/>
    <w:rsid w:val="00CD7E3C"/>
    <w:rsid w:val="00CF096B"/>
    <w:rsid w:val="00CF10F7"/>
    <w:rsid w:val="00CF5EE3"/>
    <w:rsid w:val="00CF691F"/>
    <w:rsid w:val="00D00D99"/>
    <w:rsid w:val="00D013A4"/>
    <w:rsid w:val="00D026DC"/>
    <w:rsid w:val="00D07E7B"/>
    <w:rsid w:val="00D15595"/>
    <w:rsid w:val="00D343A8"/>
    <w:rsid w:val="00D37832"/>
    <w:rsid w:val="00D44860"/>
    <w:rsid w:val="00D47689"/>
    <w:rsid w:val="00D50C42"/>
    <w:rsid w:val="00D53C70"/>
    <w:rsid w:val="00D57CF5"/>
    <w:rsid w:val="00D612BC"/>
    <w:rsid w:val="00D62F98"/>
    <w:rsid w:val="00D66FD6"/>
    <w:rsid w:val="00D76BE8"/>
    <w:rsid w:val="00D8285B"/>
    <w:rsid w:val="00D862EB"/>
    <w:rsid w:val="00D86619"/>
    <w:rsid w:val="00D93E7C"/>
    <w:rsid w:val="00DA5FC8"/>
    <w:rsid w:val="00DB1465"/>
    <w:rsid w:val="00DB2BE6"/>
    <w:rsid w:val="00DB76B3"/>
    <w:rsid w:val="00DC5101"/>
    <w:rsid w:val="00DC77F2"/>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6635A"/>
    <w:rsid w:val="00E7081D"/>
    <w:rsid w:val="00E70904"/>
    <w:rsid w:val="00E71319"/>
    <w:rsid w:val="00E75171"/>
    <w:rsid w:val="00E804B0"/>
    <w:rsid w:val="00E85E2D"/>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6634"/>
    <w:rsid w:val="00F35AA0"/>
    <w:rsid w:val="00F35E2A"/>
    <w:rsid w:val="00F43C49"/>
    <w:rsid w:val="00F45C12"/>
    <w:rsid w:val="00F544A2"/>
    <w:rsid w:val="00F65958"/>
    <w:rsid w:val="00F66F8B"/>
    <w:rsid w:val="00F73D03"/>
    <w:rsid w:val="00F76CB9"/>
    <w:rsid w:val="00F77A73"/>
    <w:rsid w:val="00F80E46"/>
    <w:rsid w:val="00F96236"/>
    <w:rsid w:val="00FA10CE"/>
    <w:rsid w:val="00FA222F"/>
    <w:rsid w:val="00FA2891"/>
    <w:rsid w:val="00FB693D"/>
    <w:rsid w:val="00FB7768"/>
    <w:rsid w:val="00FC2CF1"/>
    <w:rsid w:val="00FC7489"/>
    <w:rsid w:val="00FD1BA8"/>
    <w:rsid w:val="00FD218F"/>
    <w:rsid w:val="00FD5663"/>
    <w:rsid w:val="00FD56C4"/>
    <w:rsid w:val="00FD56C6"/>
    <w:rsid w:val="00FE3221"/>
    <w:rsid w:val="00FE48EA"/>
    <w:rsid w:val="00FE571F"/>
    <w:rsid w:val="00FF280B"/>
    <w:rsid w:val="00FF47F6"/>
    <w:rsid w:val="016E63C2"/>
    <w:rsid w:val="024B0C39"/>
    <w:rsid w:val="0A8128A6"/>
    <w:rsid w:val="0BF32A1B"/>
    <w:rsid w:val="0DA01A84"/>
    <w:rsid w:val="10BD2C22"/>
    <w:rsid w:val="22987C80"/>
    <w:rsid w:val="24192CCC"/>
    <w:rsid w:val="2DFF36AF"/>
    <w:rsid w:val="39A66CD4"/>
    <w:rsid w:val="3CD52CE1"/>
    <w:rsid w:val="410F2E6A"/>
    <w:rsid w:val="4430136C"/>
    <w:rsid w:val="48727868"/>
    <w:rsid w:val="4AB0382B"/>
    <w:rsid w:val="569868B5"/>
    <w:rsid w:val="611F6817"/>
    <w:rsid w:val="66CA1754"/>
    <w:rsid w:val="6F1E65D4"/>
    <w:rsid w:val="6F266C86"/>
    <w:rsid w:val="6F5042C2"/>
    <w:rsid w:val="74316312"/>
    <w:rsid w:val="780F13C8"/>
    <w:rsid w:val="7C385448"/>
    <w:rsid w:val="7CB3663D"/>
    <w:rsid w:val="7F2FE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48FE9-7FC7-427E-A6A8-9316B46502D4}">
  <ds:schemaRefs/>
</ds:datastoreItem>
</file>

<file path=docProps/app.xml><?xml version="1.0" encoding="utf-8"?>
<Properties xmlns="http://schemas.openxmlformats.org/officeDocument/2006/extended-properties" xmlns:vt="http://schemas.openxmlformats.org/officeDocument/2006/docPropsVTypes">
  <Template>Normal</Template>
  <Pages>6</Pages>
  <Words>2314</Words>
  <Characters>2432</Characters>
  <Lines>28</Lines>
  <Paragraphs>8</Paragraphs>
  <TotalTime>0</TotalTime>
  <ScaleCrop>false</ScaleCrop>
  <LinksUpToDate>false</LinksUpToDate>
  <CharactersWithSpaces>2451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今天天气真好.</cp:lastModifiedBy>
  <cp:lastPrinted>2023-11-21T16:52:00Z</cp:lastPrinted>
  <dcterms:modified xsi:type="dcterms:W3CDTF">2025-04-01T05:45:30Z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B537ECD3949B439FB2E43926A038A4AF_13</vt:lpwstr>
  </property>
  <property fmtid="{D5CDD505-2E9C-101B-9397-08002B2CF9AE}" pid="4" name="KSOTemplateDocerSaveRecord">
    <vt:lpwstr>eyJoZGlkIjoiOWE3YzBmNTI5ZDlkNzdkNGQzMTc3Y2NhZjM2ZjBkMzciLCJ1c2VySWQiOiI2ODU0ODk4NDgifQ==</vt:lpwstr>
  </property>
</Properties>
</file>