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9B938F">
      <w:pPr>
        <w:snapToGrid w:val="0"/>
        <w:jc w:val="center"/>
        <w:rPr>
          <w:sz w:val="6"/>
          <w:szCs w:val="6"/>
        </w:rPr>
      </w:pPr>
    </w:p>
    <w:p w14:paraId="39789ADC">
      <w:pPr>
        <w:snapToGrid w:val="0"/>
        <w:jc w:val="center"/>
        <w:rPr>
          <w:sz w:val="6"/>
          <w:szCs w:val="6"/>
        </w:rPr>
      </w:pPr>
    </w:p>
    <w:p w14:paraId="62D9AF74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42CE48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F7C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491F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4E7F75">
            <w:pPr>
              <w:tabs>
                <w:tab w:val="left" w:pos="532"/>
              </w:tabs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英语写作（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5748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0290E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7D2C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352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501E5B3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79F26D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4151、4160、4175</w:t>
            </w:r>
          </w:p>
        </w:tc>
        <w:tc>
          <w:tcPr>
            <w:tcW w:w="1753" w:type="dxa"/>
            <w:vAlign w:val="center"/>
          </w:tcPr>
          <w:p w14:paraId="6FA23E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E3376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6CF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30E9B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D83FC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陶然</w:t>
            </w:r>
          </w:p>
        </w:tc>
        <w:tc>
          <w:tcPr>
            <w:tcW w:w="1314" w:type="dxa"/>
            <w:vAlign w:val="center"/>
          </w:tcPr>
          <w:p w14:paraId="7B7AE2E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460F7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15031</w:t>
            </w:r>
          </w:p>
        </w:tc>
        <w:tc>
          <w:tcPr>
            <w:tcW w:w="1753" w:type="dxa"/>
            <w:vAlign w:val="center"/>
          </w:tcPr>
          <w:p w14:paraId="070827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E29D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231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B3DA69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72D6E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1、2、3</w:t>
            </w:r>
          </w:p>
        </w:tc>
        <w:tc>
          <w:tcPr>
            <w:tcW w:w="1314" w:type="dxa"/>
            <w:vAlign w:val="center"/>
          </w:tcPr>
          <w:p w14:paraId="44E708C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48D9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113</w:t>
            </w:r>
          </w:p>
        </w:tc>
        <w:tc>
          <w:tcPr>
            <w:tcW w:w="1753" w:type="dxa"/>
            <w:vAlign w:val="center"/>
          </w:tcPr>
          <w:p w14:paraId="7BC1F6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2554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25、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319</w:t>
            </w:r>
          </w:p>
        </w:tc>
      </w:tr>
      <w:tr w14:paraId="42F7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B9768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05721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节； 外语218；电话：58137964</w:t>
            </w:r>
          </w:p>
        </w:tc>
      </w:tr>
      <w:tr w14:paraId="079D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B08B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C7AC74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126743583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126743580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/126743573</w:t>
            </w:r>
          </w:p>
          <w:p w14:paraId="2EEAFA9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https://mooc1.chaoxing.com/mooc-ans/mycourse/teachercourse?moocId=254964592&amp;clazzid=</w:t>
            </w:r>
          </w:p>
        </w:tc>
      </w:tr>
      <w:tr w14:paraId="41B6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B6BD9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952CD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《写作教程1》（第三版）徐永、邹申主编，上海外语教育出版社，2023，</w:t>
            </w:r>
          </w:p>
          <w:p w14:paraId="4EB38DC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英语写作实战教程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陶然、王君兰编，同济大学出版社，2025</w:t>
            </w:r>
          </w:p>
          <w:p w14:paraId="33E70BA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《理解当代中国读写教程》，孙有中主编，外语教学与研究出版社，2022，（第一版）</w:t>
            </w:r>
          </w:p>
        </w:tc>
      </w:tr>
      <w:tr w14:paraId="2FCE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EA3BBA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A635FE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大学思辨英语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记叙文写作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杨鲁新等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社，201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53A335C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大学思辨英语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说明文写作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李莉文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社，201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079B79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大学思辨英语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议论文写作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张莲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社，201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0A1874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大学思辨英语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学术写作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张莲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社，201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 w14:paraId="22722D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 w:cs="宋体"/>
          <w:color w:val="000000"/>
          <w:position w:val="-20"/>
          <w:lang w:eastAsia="zh-CN"/>
        </w:rPr>
      </w:pPr>
    </w:p>
    <w:p w14:paraId="1157291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宋体" w:hAnsi="宋体" w:eastAsia="宋体" w:cs="宋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44663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F559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4812F7E4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CB99A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8FF4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5C7F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D582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671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3B9CE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2E370">
            <w:pPr>
              <w:widowControl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Course Description;</w:t>
            </w:r>
          </w:p>
          <w:p w14:paraId="1DD02FC4">
            <w:pPr>
              <w:widowControl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《写作教程1》第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章：</w:t>
            </w:r>
            <w:r>
              <w:rPr>
                <w:rFonts w:hint="eastAsia" w:eastAsia="宋体"/>
                <w:kern w:val="0"/>
                <w:lang w:val="en-US" w:eastAsia="zh-CN"/>
              </w:rPr>
              <w:t>Chinese Kung Fu</w:t>
            </w:r>
          </w:p>
          <w:p w14:paraId="2960F783">
            <w:pPr>
              <w:widowControl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eastAsia="zh-CN"/>
              </w:rPr>
              <w:t xml:space="preserve">Part 1 Getting inspired: Reading about </w:t>
            </w:r>
            <w:r>
              <w:rPr>
                <w:rFonts w:hint="eastAsia" w:eastAsia="宋体"/>
                <w:kern w:val="0"/>
                <w:lang w:val="en-US" w:eastAsia="zh-CN"/>
              </w:rPr>
              <w:t>Chinese Kung Fu</w:t>
            </w:r>
          </w:p>
          <w:p w14:paraId="31DE7BDA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中国人民抗日战争暨世界反法西斯战争胜利80周年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阅兵仪式</w:t>
            </w:r>
            <w:r>
              <w:rPr>
                <w:rFonts w:ascii="宋体" w:hAnsi="宋体" w:eastAsia="宋体" w:cs="宋体"/>
                <w:sz w:val="24"/>
                <w:szCs w:val="24"/>
              </w:rPr>
              <w:t>于</w:t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</w:rPr>
              <w:t>2025年9月3日</w:t>
            </w:r>
            <w:r>
              <w:rPr>
                <w:rFonts w:ascii="宋体" w:hAnsi="宋体" w:eastAsia="宋体" w:cs="宋体"/>
                <w:sz w:val="24"/>
                <w:szCs w:val="24"/>
              </w:rPr>
              <w:t>在北京天安门广场举行。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教师把中国功夫与九三阅兵结合起来讲解，引导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学生课外搜集资料，课内结合课外搜索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尝试从多个角度讨论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九三阅兵给我们什么启发。</w:t>
            </w:r>
          </w:p>
          <w:p w14:paraId="2823DF35">
            <w:pPr>
              <w:widowControl/>
              <w:snapToGrid w:val="0"/>
              <w:spacing w:line="360" w:lineRule="auto"/>
              <w:rPr>
                <w:rFonts w:eastAsiaTheme="minorEastAsia"/>
                <w:kern w:val="0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5E1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522C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598D4C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小组讨论、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60F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C8CF446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布置相关专四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写作训练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议论文、说明文、记叙文、描写文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7B0EE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9E3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0EA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77E98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EF9B2">
            <w:pPr>
              <w:widowControl/>
              <w:snapToGrid w:val="0"/>
              <w:spacing w:line="360" w:lineRule="auto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 xml:space="preserve">art 2 </w:t>
            </w:r>
            <w:r>
              <w:rPr>
                <w:rFonts w:eastAsia="宋体"/>
                <w:kern w:val="0"/>
                <w:lang w:eastAsia="zh-CN"/>
              </w:rPr>
              <w:t>G</w:t>
            </w:r>
            <w:r>
              <w:rPr>
                <w:rFonts w:hint="eastAsia" w:eastAsia="宋体"/>
                <w:kern w:val="0"/>
                <w:lang w:eastAsia="zh-CN"/>
              </w:rPr>
              <w:t xml:space="preserve">etting focused </w:t>
            </w:r>
            <w:r>
              <w:rPr>
                <w:rFonts w:hint="eastAsia" w:eastAsia="宋体"/>
                <w:kern w:val="0"/>
                <w:lang w:val="en-US" w:eastAsia="zh-CN"/>
              </w:rPr>
              <w:t>: joining sentences(1) coordination</w:t>
            </w:r>
          </w:p>
          <w:p w14:paraId="409E3E6F">
            <w:pPr>
              <w:numPr>
                <w:ilvl w:val="0"/>
                <w:numId w:val="0"/>
              </w:numPr>
              <w:ind w:left="185" w:leftChars="-23" w:right="-50" w:rightChars="0" w:hanging="240" w:hangingChars="10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 xml:space="preserve"> a. the motivation that this Military Parade conveys to us or b.</w:t>
            </w:r>
            <w:r>
              <w:rPr>
                <w:rFonts w:hint="eastAsia" w:ascii="??_GB2312" w:cs="??_GB2312" w:eastAsiaTheme="minorEastAsia"/>
                <w:lang w:val="en-US" w:eastAsia="zh-CN"/>
              </w:rPr>
              <w:t xml:space="preserve">the connection between Chinese Kung Fu and this Military Parade or c. </w:t>
            </w: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 xml:space="preserve">What is the Great Spirit of the Resistance War </w:t>
            </w:r>
          </w:p>
          <w:p w14:paraId="28EB2DFC">
            <w:pPr>
              <w:widowControl/>
              <w:snapToGrid w:val="0"/>
              <w:spacing w:line="360" w:lineRule="auto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三选一。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DD9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3C13F3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16E1D0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布置过程考试1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D03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1CCB70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125F9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094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64B74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BD84">
            <w:pPr>
              <w:widowControl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eastAsia="zh-CN"/>
              </w:rPr>
              <w:t>Part 3 Common Mistakes</w:t>
            </w:r>
            <w:r>
              <w:rPr>
                <w:rFonts w:hint="eastAsia" w:eastAsia="宋体"/>
                <w:kern w:val="0"/>
                <w:lang w:val="en-US" w:eastAsia="zh-CN"/>
              </w:rPr>
              <w:t xml:space="preserve"> and Getting Enhanced: rules of sentence unity and avoid faulty parallelism</w:t>
            </w:r>
          </w:p>
          <w:p w14:paraId="4CC257E3">
            <w:pPr>
              <w:widowControl/>
              <w:rPr>
                <w:rFonts w:eastAsia="宋体"/>
                <w:kern w:val="0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6E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164F29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E0E8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48B05D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1011A6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13C4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D4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AAD44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45F19">
            <w:pPr>
              <w:widowControl/>
              <w:snapToGrid w:val="0"/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《写作教程1》第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Animals</w:t>
            </w:r>
          </w:p>
          <w:p w14:paraId="4437245B">
            <w:pPr>
              <w:widowControl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 xml:space="preserve">art 1 </w:t>
            </w:r>
            <w:r>
              <w:rPr>
                <w:rFonts w:eastAsia="宋体"/>
                <w:kern w:val="0"/>
                <w:lang w:eastAsia="zh-CN"/>
              </w:rPr>
              <w:t>R</w:t>
            </w:r>
            <w:r>
              <w:rPr>
                <w:rFonts w:hint="eastAsia" w:eastAsia="宋体"/>
                <w:kern w:val="0"/>
                <w:lang w:eastAsia="zh-CN"/>
              </w:rPr>
              <w:t xml:space="preserve">eading about </w:t>
            </w:r>
            <w:r>
              <w:rPr>
                <w:rFonts w:hint="eastAsia" w:eastAsia="宋体"/>
                <w:kern w:val="0"/>
                <w:lang w:val="en-US" w:eastAsia="zh-CN"/>
              </w:rPr>
              <w:t>giant panda protection and</w:t>
            </w:r>
          </w:p>
          <w:p w14:paraId="0E19C538">
            <w:pPr>
              <w:widowControl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discussing function of participles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83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118D0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4E8D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61944C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06DB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5FB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4E241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9F74A">
            <w:pPr>
              <w:widowControl/>
              <w:rPr>
                <w:rFonts w:hint="default" w:eastAsiaTheme="minorEastAsia"/>
                <w:kern w:val="0"/>
                <w:lang w:val="en-US" w:eastAsia="zh-CN"/>
              </w:rPr>
            </w:pPr>
            <w:r>
              <w:rPr>
                <w:rFonts w:eastAsiaTheme="minorEastAsia"/>
                <w:color w:val="000000"/>
                <w:lang w:eastAsia="zh-CN"/>
              </w:rPr>
              <w:t>P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art 2 Getting focused: 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expanded sentence base(2)--participles and absolutes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097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DFACD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299973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EE7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</w:p>
          <w:p w14:paraId="13F31B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</w:tc>
      </w:tr>
      <w:tr w14:paraId="2579A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DD3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C5B09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F6FFE">
            <w:pPr>
              <w:widowControl/>
              <w:rPr>
                <w:rFonts w:hint="default" w:eastAsiaTheme="minorEastAsia"/>
                <w:kern w:val="0"/>
                <w:lang w:val="en-US" w:eastAsia="zh-CN"/>
              </w:rPr>
            </w:pPr>
            <w:r>
              <w:rPr>
                <w:rFonts w:eastAsiaTheme="minorEastAsia"/>
                <w:color w:val="000000"/>
                <w:lang w:eastAsia="zh-CN"/>
              </w:rPr>
              <w:t>P</w:t>
            </w:r>
            <w:r>
              <w:rPr>
                <w:rFonts w:hint="eastAsia" w:eastAsiaTheme="minorEastAsia"/>
                <w:color w:val="000000"/>
                <w:lang w:eastAsia="zh-CN"/>
              </w:rPr>
              <w:t>art 3 Common mistakes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lang w:val="en-US" w:eastAsia="zh-CN"/>
              </w:rPr>
              <w:t xml:space="preserve">and Part 4 Getting Enhanced: sentence structure--comma-splice sentence and fused sentence       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866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2DF1AC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7F3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3C847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23B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679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B6CAA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9C760">
            <w:pPr>
              <w:widowControl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Traditional Festival</w:t>
            </w:r>
          </w:p>
          <w:p w14:paraId="52D12108">
            <w:pPr>
              <w:pStyle w:val="12"/>
              <w:jc w:val="left"/>
              <w:rPr>
                <w:rFonts w:hint="default" w:eastAsiaTheme="minorEastAsia"/>
                <w:sz w:val="24"/>
                <w:szCs w:val="24"/>
                <w:lang w:val="en-US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 xml:space="preserve">art 1 </w:t>
            </w:r>
            <w:r>
              <w:rPr>
                <w:rFonts w:eastAsia="宋体"/>
                <w:kern w:val="0"/>
                <w:lang w:eastAsia="zh-CN"/>
              </w:rPr>
              <w:t>R</w:t>
            </w:r>
            <w:r>
              <w:rPr>
                <w:rFonts w:hint="eastAsia" w:eastAsia="宋体"/>
                <w:kern w:val="0"/>
                <w:lang w:eastAsia="zh-CN"/>
              </w:rPr>
              <w:t>eading about</w:t>
            </w:r>
            <w:r>
              <w:rPr>
                <w:rFonts w:hint="eastAsia"/>
                <w:kern w:val="0"/>
                <w:lang w:val="en-US" w:eastAsia="zh-CN"/>
              </w:rPr>
              <w:t xml:space="preserve"> Chinese New Year and discussing the use of subordination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D08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F7C17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DAA0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0991321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A535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35E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183AEA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F28141">
            <w:pPr>
              <w:widowControl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Traditional Festival</w:t>
            </w:r>
          </w:p>
          <w:p w14:paraId="27377D12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lang w:eastAsia="zh-CN"/>
              </w:rPr>
              <w:t>P</w:t>
            </w:r>
            <w:r>
              <w:rPr>
                <w:rFonts w:hint="eastAsia" w:eastAsiaTheme="minorEastAsia"/>
                <w:color w:val="000000"/>
                <w:lang w:eastAsia="zh-CN"/>
              </w:rPr>
              <w:t xml:space="preserve">art 2 Getting focused: 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subordination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5ED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23589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864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6064E93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0F316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FEAA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868FE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33B19">
            <w:pPr>
              <w:widowControl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Traditional Festival</w:t>
            </w:r>
          </w:p>
          <w:p w14:paraId="3EF85070">
            <w:pPr>
              <w:widowControl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lang w:eastAsia="zh-CN"/>
              </w:rPr>
              <w:t>P</w:t>
            </w:r>
            <w:r>
              <w:rPr>
                <w:rFonts w:hint="eastAsia" w:eastAsiaTheme="minorEastAsia"/>
                <w:color w:val="000000"/>
                <w:lang w:eastAsia="zh-CN"/>
              </w:rPr>
              <w:t>art 3 Common mistakes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lang w:val="en-US" w:eastAsia="zh-CN"/>
              </w:rPr>
              <w:t>and Part 4 Getting Enhanced: modifiers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AD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E3CDF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03E32EA5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过程考试（2）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880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4415B0E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3429F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B25D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9B5937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BB43B">
            <w:pPr>
              <w:widowControl/>
              <w:snapToGrid w:val="0"/>
              <w:spacing w:line="360" w:lineRule="auto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《写作教程1》第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eastAsia="宋体"/>
                <w:kern w:val="0"/>
                <w:lang w:val="en-US" w:eastAsia="zh-CN"/>
              </w:rPr>
              <w:t>nventions and Discoveries</w:t>
            </w:r>
          </w:p>
          <w:p w14:paraId="3B4C5992">
            <w:pPr>
              <w:widowControl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 xml:space="preserve">art 1 </w:t>
            </w:r>
            <w:r>
              <w:rPr>
                <w:rFonts w:eastAsia="宋体"/>
                <w:kern w:val="0"/>
                <w:lang w:eastAsia="zh-CN"/>
              </w:rPr>
              <w:t>R</w:t>
            </w:r>
            <w:r>
              <w:rPr>
                <w:rFonts w:hint="eastAsia" w:eastAsia="宋体"/>
                <w:kern w:val="0"/>
                <w:lang w:eastAsia="zh-CN"/>
              </w:rPr>
              <w:t>eading about</w:t>
            </w:r>
            <w:r>
              <w:rPr>
                <w:rFonts w:hint="eastAsia"/>
                <w:kern w:val="0"/>
                <w:lang w:val="en-US" w:eastAsia="zh-CN"/>
              </w:rPr>
              <w:t xml:space="preserve"> ancient Chinese inventions and discussing sentence variety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50A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713A45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639B85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2"/>
                <w:szCs w:val="22"/>
                <w:lang w:val="en-US" w:eastAsia="zh-CN"/>
              </w:rPr>
              <w:t xml:space="preserve"> 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2241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00E6AF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课后练习小组展示</w:t>
            </w:r>
          </w:p>
        </w:tc>
      </w:tr>
      <w:tr w14:paraId="5779F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A29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029C4E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5284">
            <w:pPr>
              <w:widowControl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>art 2 Getting focused:</w:t>
            </w:r>
            <w:r>
              <w:rPr>
                <w:rFonts w:hint="eastAsia" w:eastAsia="宋体"/>
                <w:kern w:val="0"/>
                <w:lang w:val="en-US" w:eastAsia="zh-CN"/>
              </w:rPr>
              <w:t xml:space="preserve"> s</w:t>
            </w:r>
            <w:r>
              <w:rPr>
                <w:rFonts w:hint="eastAsia" w:eastAsia="宋体"/>
                <w:kern w:val="0"/>
                <w:lang w:eastAsia="zh-CN"/>
              </w:rPr>
              <w:t xml:space="preserve">entence </w:t>
            </w:r>
            <w:r>
              <w:rPr>
                <w:rFonts w:hint="eastAsia" w:eastAsia="宋体"/>
                <w:kern w:val="0"/>
                <w:lang w:val="en-US" w:eastAsia="zh-CN"/>
              </w:rPr>
              <w:t>variety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953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7978A6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C739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3B3ABD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502E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2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E3C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54AD9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42AA2">
            <w:pPr>
              <w:widowControl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>art 3 Common Mistakes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lang w:val="en-US" w:eastAsia="zh-CN"/>
              </w:rPr>
              <w:t xml:space="preserve">and Part 4 Getting Enhanced: structure and expression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46C36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0C280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826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05DBA5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27A6FAE3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  <w:p w14:paraId="567517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2D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671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FD41C0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A2C97">
            <w:pPr>
              <w:widowControl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Transportation</w:t>
            </w:r>
          </w:p>
          <w:p w14:paraId="542FC46C">
            <w:pPr>
              <w:widowControl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 xml:space="preserve">art 1 </w:t>
            </w:r>
            <w:r>
              <w:rPr>
                <w:rFonts w:eastAsia="宋体"/>
                <w:kern w:val="0"/>
                <w:lang w:eastAsia="zh-CN"/>
              </w:rPr>
              <w:t>R</w:t>
            </w:r>
            <w:r>
              <w:rPr>
                <w:rFonts w:hint="eastAsia" w:eastAsia="宋体"/>
                <w:kern w:val="0"/>
                <w:lang w:eastAsia="zh-CN"/>
              </w:rPr>
              <w:t>eading about</w:t>
            </w:r>
            <w:r>
              <w:rPr>
                <w:rFonts w:hint="eastAsia"/>
                <w:kern w:val="0"/>
                <w:lang w:val="en-US" w:eastAsia="zh-CN"/>
              </w:rPr>
              <w:t xml:space="preserve"> China</w:t>
            </w:r>
            <w:r>
              <w:rPr>
                <w:rFonts w:hint="default"/>
                <w:kern w:val="0"/>
                <w:lang w:val="en-US" w:eastAsia="zh-CN"/>
              </w:rPr>
              <w:t>’</w:t>
            </w:r>
            <w:r>
              <w:rPr>
                <w:rFonts w:hint="eastAsia"/>
                <w:kern w:val="0"/>
                <w:lang w:val="en-US" w:eastAsia="zh-CN"/>
              </w:rPr>
              <w:t xml:space="preserve">s high-speed rail and discussing the use of articles </w:t>
            </w:r>
          </w:p>
          <w:p w14:paraId="048E2EBC">
            <w:pPr>
              <w:widowControl w:val="0"/>
              <w:snapToGrid w:val="0"/>
              <w:spacing w:line="360" w:lineRule="auto"/>
              <w:jc w:val="both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理解当代中国英语读写教程》第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单元：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High-Quality Development</w:t>
            </w:r>
          </w:p>
          <w:p w14:paraId="74FDC694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高质量发展可以满足人民群众对于更美好生活的不</w:t>
            </w:r>
          </w:p>
          <w:p w14:paraId="557E304F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断追求。它体现了新的发展哲学。介绍中国人工智能</w:t>
            </w:r>
          </w:p>
          <w:p w14:paraId="516CA76A">
            <w:pPr>
              <w:widowControl w:val="0"/>
              <w:snapToGrid w:val="0"/>
              <w:spacing w:line="360" w:lineRule="auto"/>
              <w:ind w:left="840" w:hanging="840" w:hangingChars="400"/>
              <w:jc w:val="left"/>
              <w:rPr>
                <w:rFonts w:hint="default" w:eastAsiaTheme="minorEastAsia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尤其是具身智能的发展。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3A9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5C4FEB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52AD688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小组讨论</w:t>
            </w:r>
          </w:p>
          <w:p w14:paraId="7373F98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回答问题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B19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21D3534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E8D5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205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10D1FD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F34D2">
            <w:pPr>
              <w:widowControl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《写作教程1》第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Transportation</w:t>
            </w:r>
          </w:p>
          <w:p w14:paraId="4423D5F0">
            <w:pPr>
              <w:widowControl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>art 2 Getting focused:</w:t>
            </w:r>
            <w:r>
              <w:rPr>
                <w:rFonts w:hint="eastAsia" w:eastAsia="宋体"/>
                <w:kern w:val="0"/>
                <w:lang w:val="en-US" w:eastAsia="zh-CN"/>
              </w:rPr>
              <w:t xml:space="preserve"> note-writing</w:t>
            </w:r>
          </w:p>
          <w:p w14:paraId="4FC97F99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培养同学们用不同的视角或方法来理解分析什么是</w:t>
            </w:r>
          </w:p>
          <w:p w14:paraId="59F628C6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高质量发展,如何体现出新的发展哲学。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学生的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</w:t>
            </w:r>
          </w:p>
          <w:p w14:paraId="053B8E6F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辨能力、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以及从不同的角度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用英语讲好中国故事的能</w:t>
            </w:r>
          </w:p>
          <w:p w14:paraId="238DA09B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eastAsiaTheme="minorEastAsia"/>
                <w:kern w:val="0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713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2681E0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5BDA4A9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小组讨论</w:t>
            </w:r>
          </w:p>
          <w:p w14:paraId="0D8A68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回答问题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3B909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预习</w:t>
            </w:r>
          </w:p>
          <w:p w14:paraId="412E76B8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60A52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79F8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FA03B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ECBD7">
            <w:pPr>
              <w:widowControl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《写作教程1》第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章：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Transportation</w:t>
            </w:r>
          </w:p>
          <w:p w14:paraId="53959ADC">
            <w:pPr>
              <w:widowControl/>
              <w:snapToGrid w:val="0"/>
              <w:spacing w:line="360" w:lineRule="auto"/>
              <w:rPr>
                <w:rFonts w:eastAsia="黑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P</w:t>
            </w:r>
            <w:r>
              <w:rPr>
                <w:rFonts w:hint="eastAsia" w:eastAsia="宋体"/>
                <w:kern w:val="0"/>
                <w:lang w:eastAsia="zh-CN"/>
              </w:rPr>
              <w:t>art 3 Common Mistakes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lang w:val="en-US" w:eastAsia="zh-CN"/>
              </w:rPr>
              <w:t xml:space="preserve">and Part 4 Getting Enhanced: articles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2CD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讲课</w:t>
            </w:r>
          </w:p>
          <w:p w14:paraId="427E10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边讲边练</w:t>
            </w:r>
          </w:p>
          <w:p w14:paraId="7885883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过程考试（3）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FA55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小组展示</w:t>
            </w:r>
          </w:p>
          <w:p w14:paraId="19B66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课后练习</w:t>
            </w:r>
          </w:p>
          <w:p w14:paraId="04CA517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14:paraId="2702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EFE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AC08D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161B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闭卷考试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E40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CA5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BC2271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ED55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261E94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F3FC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7EA03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3576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6596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A4533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4D739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0B23C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A90E3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943D35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FD0E8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课堂测验</w:t>
            </w:r>
          </w:p>
        </w:tc>
      </w:tr>
      <w:tr w14:paraId="2420B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A5EF1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D357A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D6379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课堂问答、小组展示、作业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、实践报告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等</w:t>
            </w:r>
          </w:p>
        </w:tc>
      </w:tr>
      <w:tr w14:paraId="06B3D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5389EE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3C75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728DB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随堂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笔试</w:t>
            </w:r>
          </w:p>
        </w:tc>
      </w:tr>
    </w:tbl>
    <w:p w14:paraId="3B9EEEE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B4030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104140</wp:posOffset>
            </wp:positionV>
            <wp:extent cx="638175" cy="386080"/>
            <wp:effectExtent l="0" t="0" r="9525" b="0"/>
            <wp:wrapNone/>
            <wp:docPr id="1813941242" name="图片 1" descr="C:\Users\ADMINI~1\AppData\Local\Temp\WeChat Files\83cdc910731f0139bd781b3b3ea3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41242" name="图片 1" descr="C:\Users\ADMINI~1\AppData\Local\Temp\WeChat Files\83cdc910731f0139bd781b3b3ea3b4a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488950" cy="256540"/>
            <wp:effectExtent l="0" t="0" r="6350" b="0"/>
            <wp:docPr id="1022883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8837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48" cy="264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2597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2FDFCC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8380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52D866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CC47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0480F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A0480F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E1E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67A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FA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D5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936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571"/>
    <w:rsid w:val="00686F11"/>
    <w:rsid w:val="00692B28"/>
    <w:rsid w:val="00693552"/>
    <w:rsid w:val="00693F5E"/>
    <w:rsid w:val="00697452"/>
    <w:rsid w:val="006A006A"/>
    <w:rsid w:val="006A069C"/>
    <w:rsid w:val="006A2DDC"/>
    <w:rsid w:val="006A4362"/>
    <w:rsid w:val="006A4FA3"/>
    <w:rsid w:val="006B0F20"/>
    <w:rsid w:val="006B1B20"/>
    <w:rsid w:val="006B3072"/>
    <w:rsid w:val="006C15AE"/>
    <w:rsid w:val="006C5B2B"/>
    <w:rsid w:val="006D5C73"/>
    <w:rsid w:val="006D7264"/>
    <w:rsid w:val="006E5131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74BF"/>
    <w:rsid w:val="00743E1E"/>
    <w:rsid w:val="00744253"/>
    <w:rsid w:val="00744D7D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890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1111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F4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A3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410B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D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7A6"/>
    <w:rsid w:val="00C27FEC"/>
    <w:rsid w:val="00C3162C"/>
    <w:rsid w:val="00C3298F"/>
    <w:rsid w:val="00C34AD7"/>
    <w:rsid w:val="00C37A43"/>
    <w:rsid w:val="00C45186"/>
    <w:rsid w:val="00C459FC"/>
    <w:rsid w:val="00C510C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7BC"/>
    <w:rsid w:val="00CA1CEF"/>
    <w:rsid w:val="00CA3152"/>
    <w:rsid w:val="00CB08A7"/>
    <w:rsid w:val="00CB2EB9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6C5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4B87"/>
    <w:rsid w:val="00DB7433"/>
    <w:rsid w:val="00DB74C6"/>
    <w:rsid w:val="00DC1BDA"/>
    <w:rsid w:val="00DC52F1"/>
    <w:rsid w:val="00DC78C9"/>
    <w:rsid w:val="00DC7AA0"/>
    <w:rsid w:val="00DD0E64"/>
    <w:rsid w:val="00DD3088"/>
    <w:rsid w:val="00DD78B1"/>
    <w:rsid w:val="00DE345F"/>
    <w:rsid w:val="00DE7A45"/>
    <w:rsid w:val="00DF1D4C"/>
    <w:rsid w:val="00DF7EBD"/>
    <w:rsid w:val="00E020D5"/>
    <w:rsid w:val="00E02A66"/>
    <w:rsid w:val="00E0534E"/>
    <w:rsid w:val="00E0657D"/>
    <w:rsid w:val="00E07D9C"/>
    <w:rsid w:val="00E1461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A2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271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6BAD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7B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D12449"/>
    <w:rsid w:val="199D2E85"/>
    <w:rsid w:val="1B9B294B"/>
    <w:rsid w:val="2E59298A"/>
    <w:rsid w:val="35B1359F"/>
    <w:rsid w:val="37E50B00"/>
    <w:rsid w:val="3D9514CF"/>
    <w:rsid w:val="40B6703C"/>
    <w:rsid w:val="49DF08B3"/>
    <w:rsid w:val="4EBD659C"/>
    <w:rsid w:val="55193B78"/>
    <w:rsid w:val="65310993"/>
    <w:rsid w:val="670F4EBA"/>
    <w:rsid w:val="6E256335"/>
    <w:rsid w:val="6FBA52C9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899</Words>
  <Characters>1866</Characters>
  <Lines>15</Lines>
  <Paragraphs>4</Paragraphs>
  <TotalTime>4</TotalTime>
  <ScaleCrop>false</ScaleCrop>
  <LinksUpToDate>false</LinksUpToDate>
  <CharactersWithSpaces>2023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陶然 Edy</cp:lastModifiedBy>
  <cp:lastPrinted>2015-03-18T03:45:00Z</cp:lastPrinted>
  <dcterms:modified xsi:type="dcterms:W3CDTF">2025-09-07T13:36:36Z</dcterms:modified>
  <dc:title>上海建桥学院教学进度计划表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7F826901338041E4A6F95EEC84CF9488_12</vt:lpwstr>
  </property>
  <property fmtid="{D5CDD505-2E9C-101B-9397-08002B2CF9AE}" pid="4" name="KSOTemplateDocerSaveRecord">
    <vt:lpwstr>eyJoZGlkIjoiYmVhYzBjMGYxOWY3Mzg0MmNiNGNmMWYzYTIxZmZiM2UiLCJ1c2VySWQiOiI4NTk3NjcyOTAifQ==</vt:lpwstr>
  </property>
</Properties>
</file>