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FC1CF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日本名著导读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》专科课程教学大纲</w:t>
      </w:r>
    </w:p>
    <w:p w14:paraId="702ADAC4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7D49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371796B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FE2B6C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（中文）日本名著导读</w:t>
            </w:r>
          </w:p>
        </w:tc>
      </w:tr>
      <w:tr w14:paraId="0B442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2AB64C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14473836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 guide to Japanese classics</w:t>
            </w:r>
          </w:p>
        </w:tc>
      </w:tr>
      <w:tr w14:paraId="2908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1DA8C2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840A8C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0140007</w:t>
            </w:r>
          </w:p>
        </w:tc>
        <w:tc>
          <w:tcPr>
            <w:tcW w:w="2126" w:type="dxa"/>
            <w:gridSpan w:val="2"/>
            <w:vAlign w:val="center"/>
          </w:tcPr>
          <w:p w14:paraId="73980C5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B1D95C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3BA4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6C3EECA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5ACA7A8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3BA89D9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EB18CB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0C70BF9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C73060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641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B7990C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1B52D2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7E92878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6668675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商日三年级</w:t>
            </w:r>
          </w:p>
        </w:tc>
      </w:tr>
      <w:tr w14:paraId="5E5B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BB7B3A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173509A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选修课</w:t>
            </w:r>
          </w:p>
        </w:tc>
        <w:tc>
          <w:tcPr>
            <w:tcW w:w="2126" w:type="dxa"/>
            <w:gridSpan w:val="2"/>
            <w:vAlign w:val="center"/>
          </w:tcPr>
          <w:p w14:paraId="4FE7FC6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1CC1C06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</w:t>
            </w:r>
          </w:p>
        </w:tc>
      </w:tr>
      <w:tr w14:paraId="67A44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14794E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2273A28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/>
                <w:sz w:val="20"/>
                <w:szCs w:val="20"/>
              </w:rPr>
              <w:t>教师选用部分文学作品</w:t>
            </w:r>
          </w:p>
        </w:tc>
        <w:tc>
          <w:tcPr>
            <w:tcW w:w="1413" w:type="dxa"/>
            <w:gridSpan w:val="2"/>
            <w:vAlign w:val="center"/>
          </w:tcPr>
          <w:p w14:paraId="25EECFC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55A5A99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F68196D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6FD4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44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543DE7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7B9D95D">
            <w:pPr>
              <w:pStyle w:val="14"/>
              <w:widowControl w:val="0"/>
              <w:jc w:val="both"/>
              <w:rPr>
                <w:rFonts w:eastAsia="黑体"/>
              </w:rPr>
            </w:pPr>
            <w:r>
              <w:rPr>
                <w:rFonts w:hint="eastAsia" w:ascii="宋体" w:hAnsi="宋体" w:cs="Times New Roman"/>
                <w:sz w:val="20"/>
                <w:szCs w:val="20"/>
              </w:rPr>
              <w:t xml:space="preserve">综合日语IV </w:t>
            </w:r>
            <w:r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014001</w:t>
            </w: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3（10）</w:t>
            </w:r>
          </w:p>
        </w:tc>
      </w:tr>
      <w:tr w14:paraId="33A6C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A40B88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5B58C6D9">
            <w:pPr>
              <w:widowControl w:val="0"/>
              <w:snapToGrid w:val="0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</w:p>
          <w:p w14:paraId="0F19E0B7">
            <w:pPr>
              <w:pStyle w:val="14"/>
              <w:widowControl w:val="0"/>
              <w:ind w:firstLine="420"/>
              <w:jc w:val="left"/>
            </w:pPr>
            <w:r>
              <w:rPr>
                <w:rFonts w:hint="eastAsia"/>
              </w:rPr>
              <w:t>本课程是商务日语专业高年级的选修课程。其课程的</w:t>
            </w:r>
            <w:r>
              <w:t>目的在于培养</w:t>
            </w:r>
            <w:r>
              <w:rPr>
                <w:rFonts w:hint="eastAsia"/>
              </w:rPr>
              <w:t>专科</w:t>
            </w:r>
            <w:r>
              <w:t>学生</w:t>
            </w:r>
            <w:r>
              <w:rPr>
                <w:rFonts w:hint="eastAsia"/>
              </w:rPr>
              <w:t>在教师的带领指导下</w:t>
            </w:r>
            <w:r>
              <w:t>阅读、欣赏、理解</w:t>
            </w:r>
            <w:r>
              <w:rPr>
                <w:rFonts w:hint="eastAsia"/>
              </w:rPr>
              <w:t>日本</w:t>
            </w:r>
            <w:r>
              <w:t>文学原著的能力，</w:t>
            </w:r>
            <w:r>
              <w:rPr>
                <w:rFonts w:hint="eastAsia"/>
              </w:rPr>
              <w:t>了解</w:t>
            </w:r>
            <w:r>
              <w:t>文学批评的基本知识和方法。通过阅读</w:t>
            </w:r>
            <w:r>
              <w:rPr>
                <w:rFonts w:hint="eastAsia"/>
              </w:rPr>
              <w:t>日本</w:t>
            </w:r>
            <w:r>
              <w:t>文学</w:t>
            </w:r>
            <w:r>
              <w:rPr>
                <w:rFonts w:hint="eastAsia"/>
              </w:rPr>
              <w:t>的经典</w:t>
            </w:r>
            <w:r>
              <w:t>作品，促进学生语言基本功和人文素质的提高，增强学生对</w:t>
            </w:r>
            <w:r>
              <w:rPr>
                <w:rFonts w:hint="eastAsia"/>
              </w:rPr>
              <w:t>日本</w:t>
            </w:r>
            <w:r>
              <w:t>文学及文化的了解</w:t>
            </w:r>
            <w:r>
              <w:rPr>
                <w:rFonts w:hint="eastAsia"/>
              </w:rPr>
              <w:t>，为将来进一步深造，例如专升本或留学日本打下基础</w:t>
            </w:r>
            <w:r>
              <w:t>。</w:t>
            </w:r>
            <w:r>
              <w:rPr>
                <w:rFonts w:hint="eastAsia"/>
              </w:rPr>
              <w:t>选材方面着力于介绍芥川龙之介、夏目漱石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森鸥外</w:t>
            </w:r>
            <w:r>
              <w:rPr>
                <w:rFonts w:hint="eastAsia"/>
              </w:rPr>
              <w:t>等几位风格、时代不同的小说大家的作品，如《</w:t>
            </w:r>
            <w:r>
              <w:rPr>
                <w:rFonts w:hint="eastAsia"/>
                <w:lang w:val="en-US" w:eastAsia="zh-CN"/>
              </w:rPr>
              <w:t>舞女</w:t>
            </w:r>
            <w:r>
              <w:rPr>
                <w:rFonts w:hint="eastAsia"/>
              </w:rPr>
              <w:t>》、《罗生门》、《</w:t>
            </w:r>
            <w:r>
              <w:rPr>
                <w:rFonts w:hint="eastAsia"/>
                <w:lang w:val="en-US" w:eastAsia="zh-CN"/>
              </w:rPr>
              <w:t>公子哥</w:t>
            </w:r>
            <w:r>
              <w:rPr>
                <w:rFonts w:hint="eastAsia"/>
              </w:rPr>
              <w:t>》、《</w:t>
            </w:r>
            <w:r>
              <w:rPr>
                <w:rFonts w:hint="eastAsia"/>
                <w:lang w:val="en-US" w:eastAsia="zh-CN"/>
              </w:rPr>
              <w:t>山月记</w:t>
            </w:r>
            <w:r>
              <w:rPr>
                <w:rFonts w:hint="eastAsia"/>
              </w:rPr>
              <w:t>》等。让学生更加深入的了解日本文化与社会心理，拓宽学生的文化视野，提升审美情趣。</w:t>
            </w:r>
          </w:p>
          <w:p w14:paraId="2FF3B656">
            <w:pPr>
              <w:pStyle w:val="14"/>
              <w:widowControl w:val="0"/>
              <w:ind w:firstLine="400" w:firstLineChars="200"/>
              <w:jc w:val="left"/>
              <w:rPr>
                <w:sz w:val="20"/>
                <w:szCs w:val="20"/>
              </w:rPr>
            </w:pPr>
          </w:p>
        </w:tc>
      </w:tr>
      <w:tr w14:paraId="4EA32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114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209D43E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0634665A">
            <w:pPr>
              <w:widowControl w:val="0"/>
              <w:snapToGrid w:val="0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</w:p>
          <w:p w14:paraId="4C435866">
            <w:pPr>
              <w:widowControl w:val="0"/>
              <w:snapToGrid w:val="0"/>
              <w:ind w:firstLine="400" w:firstLineChars="200"/>
              <w:jc w:val="both"/>
            </w:pPr>
            <w:r>
              <w:rPr>
                <w:rFonts w:hint="eastAsia"/>
                <w:color w:val="000000"/>
                <w:sz w:val="20"/>
                <w:szCs w:val="20"/>
              </w:rPr>
              <w:t>本课程适合国际教育学院商日中日班级日语专业第5学期开设。要求具备一定的日语水平。</w:t>
            </w:r>
          </w:p>
        </w:tc>
      </w:tr>
      <w:tr w14:paraId="1D07B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64F1F65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318459DF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422275" cy="313690"/>
                  <wp:effectExtent l="0" t="0" r="9525" b="3810"/>
                  <wp:docPr id="2" name="图片 2" descr="3eedc4600c173ae3e085709201c20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eedc4600c173ae3e085709201c201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D7899ED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6B5F1BD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9.1</w:t>
            </w:r>
          </w:p>
        </w:tc>
      </w:tr>
      <w:tr w14:paraId="3E61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BB4DD0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491770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540385" cy="426720"/>
                  <wp:effectExtent l="0" t="0" r="5715" b="5080"/>
                  <wp:docPr id="201476411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764117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688" cy="429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0B90BEBC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AF1EEC3">
            <w:pPr>
              <w:widowControl w:val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</w:tr>
      <w:tr w14:paraId="61BE4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220C63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7E6100CC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A6883A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68E7228">
            <w:pPr>
              <w:widowControl w:val="0"/>
              <w:jc w:val="center"/>
              <w:rPr>
                <w:rFonts w:hint="eastAsia" w:ascii="Times New Roman" w:hAnsi="Times New Roman" w:eastAsia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黑体" w:hAnsi="黑体" w:eastAsia="黑体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5C4F994F">
      <w:pPr>
        <w:spacing w:line="100" w:lineRule="exact"/>
        <w:rPr>
          <w:rFonts w:ascii="Arial" w:hAnsi="Arial" w:eastAsia="黑体"/>
        </w:rPr>
      </w:pPr>
      <w:r>
        <w:br w:type="page"/>
      </w:r>
    </w:p>
    <w:p w14:paraId="74B95DE3">
      <w:pPr>
        <w:pStyle w:val="16"/>
        <w:tabs>
          <w:tab w:val="right" w:pos="8306"/>
        </w:tabs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35486F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Align w:val="center"/>
          </w:tcPr>
          <w:p w14:paraId="0653C6C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56FD76C4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0" w:type="dxa"/>
            <w:vAlign w:val="center"/>
          </w:tcPr>
          <w:p w14:paraId="54C2191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53A6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Align w:val="center"/>
          </w:tcPr>
          <w:p w14:paraId="36DDEE8F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B15BC4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0" w:type="dxa"/>
          </w:tcPr>
          <w:p w14:paraId="0BE542A5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配合高级综合日语阶段的讲授提高学生的文学阅读理解水平，学会使用工具查阅资料。</w:t>
            </w:r>
          </w:p>
        </w:tc>
      </w:tr>
      <w:tr w14:paraId="2BD18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9" w:type="dxa"/>
            <w:vAlign w:val="center"/>
          </w:tcPr>
          <w:p w14:paraId="2175B8CF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C3FAB6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0" w:type="dxa"/>
            <w:vAlign w:val="center"/>
          </w:tcPr>
          <w:p w14:paraId="71A04059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丰富、拓展学生的日本文学常识，提高阅读和欣赏优秀日语作品的能力。</w:t>
            </w:r>
          </w:p>
        </w:tc>
      </w:tr>
      <w:tr w14:paraId="2B5C3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31" w:hRule="atLeast"/>
          <w:jc w:val="center"/>
        </w:trPr>
        <w:tc>
          <w:tcPr>
            <w:tcW w:w="1209" w:type="dxa"/>
            <w:vAlign w:val="center"/>
          </w:tcPr>
          <w:p w14:paraId="2E6A42E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3D94B4DD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CEB572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0" w:type="dxa"/>
            <w:vAlign w:val="center"/>
          </w:tcPr>
          <w:p w14:paraId="3B7C51D5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  <w:sz w:val="20"/>
                <w:szCs w:val="20"/>
              </w:rPr>
              <w:t>深化学生的对语言及其乘载物文化的理解，探索鉴赏文学之美。</w:t>
            </w:r>
          </w:p>
        </w:tc>
      </w:tr>
    </w:tbl>
    <w:p w14:paraId="0B725AD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3D13DE78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7"/>
        <w:tblW w:w="8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645"/>
        <w:gridCol w:w="2333"/>
        <w:gridCol w:w="4015"/>
      </w:tblGrid>
      <w:tr w14:paraId="2A72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03" w:type="dxa"/>
            <w:vAlign w:val="center"/>
          </w:tcPr>
          <w:p w14:paraId="3E4A7EC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单元</w:t>
            </w:r>
          </w:p>
        </w:tc>
        <w:tc>
          <w:tcPr>
            <w:tcW w:w="1645" w:type="dxa"/>
            <w:vAlign w:val="center"/>
          </w:tcPr>
          <w:p w14:paraId="4AEF7D2D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2333" w:type="dxa"/>
            <w:vAlign w:val="center"/>
          </w:tcPr>
          <w:p w14:paraId="60A2071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知识点构成</w:t>
            </w:r>
          </w:p>
        </w:tc>
        <w:tc>
          <w:tcPr>
            <w:tcW w:w="4015" w:type="dxa"/>
            <w:vAlign w:val="center"/>
          </w:tcPr>
          <w:p w14:paraId="42F775E5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教学重难点</w:t>
            </w:r>
          </w:p>
        </w:tc>
      </w:tr>
      <w:tr w14:paraId="37715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</w:tcPr>
          <w:p w14:paraId="0961818F">
            <w:pPr>
              <w:spacing w:before="163" w:beforeLines="50" w:after="163" w:afterLines="50" w:line="288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645" w:type="dxa"/>
            <w:vAlign w:val="center"/>
          </w:tcPr>
          <w:p w14:paraId="7CB40D08">
            <w:pPr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第一单元（</w:t>
            </w:r>
            <w:r>
              <w:rPr>
                <w:bCs/>
                <w:sz w:val="21"/>
                <w:szCs w:val="21"/>
              </w:rPr>
              <w:t>L1~L4）</w:t>
            </w:r>
          </w:p>
        </w:tc>
        <w:tc>
          <w:tcPr>
            <w:tcW w:w="2333" w:type="dxa"/>
            <w:vAlign w:val="center"/>
          </w:tcPr>
          <w:p w14:paraId="2264F40E">
            <w:pPr>
              <w:ind w:left="-50" w:right="-50"/>
              <w:rPr>
                <w:bCs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基本能够独立完成朗读、翻译日语文学作品。</w:t>
            </w:r>
          </w:p>
        </w:tc>
        <w:tc>
          <w:tcPr>
            <w:tcW w:w="4015" w:type="dxa"/>
          </w:tcPr>
          <w:p w14:paraId="7ABE749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重点：</w:t>
            </w:r>
            <w:r>
              <w:rPr>
                <w:rFonts w:cs="Times New Roman"/>
                <w:sz w:val="21"/>
                <w:szCs w:val="21"/>
              </w:rPr>
              <w:t>了解日本几大</w:t>
            </w:r>
            <w:r>
              <w:rPr>
                <w:rFonts w:hint="eastAsia" w:cs="Times New Roman"/>
                <w:sz w:val="21"/>
                <w:szCs w:val="21"/>
              </w:rPr>
              <w:t>名家</w:t>
            </w:r>
            <w:r>
              <w:rPr>
                <w:rFonts w:cs="Times New Roman"/>
                <w:sz w:val="21"/>
                <w:szCs w:val="21"/>
              </w:rPr>
              <w:t>的</w:t>
            </w:r>
            <w:r>
              <w:rPr>
                <w:rFonts w:hint="eastAsia" w:cs="Times New Roman"/>
                <w:sz w:val="21"/>
                <w:szCs w:val="21"/>
              </w:rPr>
              <w:t>写作</w:t>
            </w:r>
            <w:r>
              <w:rPr>
                <w:rFonts w:cs="Times New Roman"/>
                <w:sz w:val="21"/>
                <w:szCs w:val="21"/>
              </w:rPr>
              <w:t>特色</w:t>
            </w:r>
            <w:r>
              <w:rPr>
                <w:rFonts w:hint="eastAsia" w:cs="Times New Roman"/>
                <w:sz w:val="21"/>
                <w:szCs w:val="21"/>
              </w:rPr>
              <w:t>及</w:t>
            </w:r>
            <w:r>
              <w:rPr>
                <w:rFonts w:cs="Times New Roman"/>
                <w:sz w:val="21"/>
                <w:szCs w:val="21"/>
              </w:rPr>
              <w:t>其特有的</w:t>
            </w:r>
            <w:r>
              <w:rPr>
                <w:rFonts w:hint="eastAsia" w:cs="Times New Roman"/>
                <w:sz w:val="21"/>
                <w:szCs w:val="21"/>
              </w:rPr>
              <w:t>日语</w:t>
            </w:r>
            <w:r>
              <w:rPr>
                <w:rFonts w:cs="Times New Roman"/>
                <w:sz w:val="21"/>
                <w:szCs w:val="21"/>
              </w:rPr>
              <w:t>表达</w:t>
            </w:r>
            <w:r>
              <w:rPr>
                <w:rFonts w:hint="eastAsia" w:cs="Times New Roman"/>
                <w:sz w:val="21"/>
                <w:szCs w:val="21"/>
              </w:rPr>
              <w:t>方式。</w:t>
            </w:r>
          </w:p>
          <w:p w14:paraId="15F37237">
            <w:pPr>
              <w:rPr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难点：能够独立且较为准确地进行翻译。</w:t>
            </w:r>
          </w:p>
        </w:tc>
      </w:tr>
      <w:tr w14:paraId="6AA68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</w:tcPr>
          <w:p w14:paraId="118F5789">
            <w:pPr>
              <w:spacing w:before="163" w:beforeLines="50" w:after="163" w:afterLines="50" w:line="288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645" w:type="dxa"/>
            <w:vAlign w:val="center"/>
          </w:tcPr>
          <w:p w14:paraId="431DD2E0">
            <w:pPr>
              <w:rPr>
                <w:bCs/>
                <w:sz w:val="21"/>
                <w:szCs w:val="21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第二单元（L5~L8）</w:t>
            </w:r>
          </w:p>
        </w:tc>
        <w:tc>
          <w:tcPr>
            <w:tcW w:w="2333" w:type="dxa"/>
            <w:vAlign w:val="center"/>
          </w:tcPr>
          <w:p w14:paraId="6A2FA660">
            <w:pPr>
              <w:widowControl w:val="0"/>
              <w:snapToGrid w:val="0"/>
              <w:spacing w:line="288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能够很快地分辨出哪本或段落出自何位作家之手。</w:t>
            </w:r>
          </w:p>
        </w:tc>
        <w:tc>
          <w:tcPr>
            <w:tcW w:w="4015" w:type="dxa"/>
          </w:tcPr>
          <w:p w14:paraId="2B77BC93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重点：提供分辨能力和日语阅读能力。</w:t>
            </w:r>
          </w:p>
          <w:p w14:paraId="410EAA42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难点：开始建立独立思考能力，慢慢提出问题。</w:t>
            </w:r>
          </w:p>
        </w:tc>
      </w:tr>
      <w:tr w14:paraId="2526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</w:tcPr>
          <w:p w14:paraId="11FDB588">
            <w:pPr>
              <w:spacing w:before="163" w:beforeLines="50" w:after="163" w:afterLines="50" w:line="288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645" w:type="dxa"/>
            <w:vAlign w:val="center"/>
          </w:tcPr>
          <w:p w14:paraId="4D29CE8A">
            <w:pPr>
              <w:rPr>
                <w:bCs/>
                <w:sz w:val="21"/>
                <w:szCs w:val="21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第三单元（L9~L12）</w:t>
            </w:r>
          </w:p>
        </w:tc>
        <w:tc>
          <w:tcPr>
            <w:tcW w:w="2333" w:type="dxa"/>
            <w:vAlign w:val="center"/>
          </w:tcPr>
          <w:p w14:paraId="57E55D72">
            <w:pPr>
              <w:widowControl w:val="0"/>
              <w:snapToGrid w:val="0"/>
              <w:spacing w:line="288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在理解作品内容的基础上，总结自己对其的意见和感想，并且能用日语简单进行口头发表。</w:t>
            </w:r>
          </w:p>
        </w:tc>
        <w:tc>
          <w:tcPr>
            <w:tcW w:w="4015" w:type="dxa"/>
          </w:tcPr>
          <w:p w14:paraId="4B4767C0">
            <w:pPr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重点：</w:t>
            </w:r>
            <w:r>
              <w:rPr>
                <w:rFonts w:hint="eastAsia"/>
                <w:sz w:val="21"/>
                <w:szCs w:val="21"/>
              </w:rPr>
              <w:t>理解作者的主张并具有思辨能力。</w:t>
            </w:r>
          </w:p>
          <w:p w14:paraId="153ECC0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难点：用日语从自己的视角去表达自己对作品、作家的想法，而非用人工智能或者网络搜索。</w:t>
            </w:r>
          </w:p>
        </w:tc>
      </w:tr>
      <w:tr w14:paraId="27D2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</w:tcPr>
          <w:p w14:paraId="4837680B">
            <w:pPr>
              <w:spacing w:before="163" w:beforeLines="50" w:after="163" w:afterLines="50" w:line="288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645" w:type="dxa"/>
            <w:vAlign w:val="center"/>
          </w:tcPr>
          <w:p w14:paraId="109F5267">
            <w:pPr>
              <w:rPr>
                <w:bCs/>
                <w:sz w:val="21"/>
                <w:szCs w:val="21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第四单元（L13~L</w:t>
            </w:r>
            <w:r>
              <w:rPr>
                <w:rFonts w:hint="eastAsia" w:cs="Times New Roman" w:eastAsiaTheme="minorEastAsia"/>
                <w:bCs/>
                <w:color w:val="000000"/>
                <w:sz w:val="21"/>
                <w:szCs w:val="21"/>
              </w:rPr>
              <w:t>1</w:t>
            </w: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6）</w:t>
            </w:r>
          </w:p>
        </w:tc>
        <w:tc>
          <w:tcPr>
            <w:tcW w:w="2333" w:type="dxa"/>
            <w:vAlign w:val="center"/>
          </w:tcPr>
          <w:p w14:paraId="4B28FC2E">
            <w:pPr>
              <w:widowControl w:val="0"/>
              <w:snapToGrid w:val="0"/>
              <w:spacing w:line="288" w:lineRule="auto"/>
              <w:rPr>
                <w:bCs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能口头发表自己的想法和感想，并且尽量用日语展开辩论。</w:t>
            </w:r>
          </w:p>
        </w:tc>
        <w:tc>
          <w:tcPr>
            <w:tcW w:w="4015" w:type="dxa"/>
          </w:tcPr>
          <w:p w14:paraId="5ADCA78E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重点：站在客观视角去评判作品，“质疑”不代表“批判”，质疑是睿智。</w:t>
            </w:r>
          </w:p>
          <w:p w14:paraId="7E5F447A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难点：组织辩论赛，每个学生必须组队参与，选出学生自己思考出的对某部作品“矛盾点”进行辩论。</w:t>
            </w:r>
          </w:p>
        </w:tc>
      </w:tr>
    </w:tbl>
    <w:p w14:paraId="339DCD4B">
      <w:pPr>
        <w:pStyle w:val="17"/>
        <w:spacing w:before="81" w:after="163"/>
      </w:pPr>
    </w:p>
    <w:p w14:paraId="47D985D2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3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859"/>
        <w:gridCol w:w="1253"/>
        <w:gridCol w:w="1253"/>
        <w:gridCol w:w="1252"/>
      </w:tblGrid>
      <w:tr w14:paraId="67BB3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075" w:hRule="atLeast"/>
          <w:jc w:val="center"/>
        </w:trPr>
        <w:tc>
          <w:tcPr>
            <w:tcW w:w="2857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7EEF9F61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49C24120">
            <w:pPr>
              <w:pStyle w:val="13"/>
              <w:ind w:right="210"/>
              <w:jc w:val="left"/>
              <w:rPr>
                <w:szCs w:val="16"/>
              </w:rPr>
            </w:pPr>
          </w:p>
          <w:p w14:paraId="3C495040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251" w:type="dxa"/>
            <w:tcBorders>
              <w:top w:val="single" w:color="auto" w:sz="12" w:space="0"/>
            </w:tcBorders>
            <w:vAlign w:val="center"/>
          </w:tcPr>
          <w:p w14:paraId="6398891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51" w:type="dxa"/>
            <w:tcBorders>
              <w:top w:val="single" w:color="auto" w:sz="12" w:space="0"/>
            </w:tcBorders>
            <w:vAlign w:val="center"/>
          </w:tcPr>
          <w:p w14:paraId="6DD0B33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5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75FF80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</w:tr>
      <w:tr w14:paraId="0F17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70" w:hRule="atLeast"/>
          <w:jc w:val="center"/>
        </w:trPr>
        <w:tc>
          <w:tcPr>
            <w:tcW w:w="2857" w:type="dxa"/>
            <w:tcBorders>
              <w:left w:val="single" w:color="auto" w:sz="12" w:space="0"/>
            </w:tcBorders>
            <w:vAlign w:val="center"/>
          </w:tcPr>
          <w:p w14:paraId="13800DEA">
            <w:pPr>
              <w:rPr>
                <w:rFonts w:ascii="MS Mincho" w:hAnsi="MS Mincho" w:eastAsia="MS Mincho" w:cs="MS Mincho"/>
                <w:color w:val="000000"/>
                <w:sz w:val="21"/>
                <w:szCs w:val="21"/>
                <w:lang w:eastAsia="ja-JP"/>
              </w:rPr>
            </w:pPr>
            <w:r>
              <w:rPr>
                <w:rFonts w:hint="eastAsia"/>
                <w:bCs/>
                <w:sz w:val="21"/>
                <w:szCs w:val="21"/>
              </w:rPr>
              <w:t>第一单元（</w:t>
            </w:r>
            <w:r>
              <w:rPr>
                <w:bCs/>
                <w:sz w:val="21"/>
                <w:szCs w:val="21"/>
              </w:rPr>
              <w:t>L1~L4）</w:t>
            </w:r>
          </w:p>
        </w:tc>
        <w:tc>
          <w:tcPr>
            <w:tcW w:w="1251" w:type="dxa"/>
            <w:vAlign w:val="center"/>
          </w:tcPr>
          <w:p w14:paraId="32A2744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1" w:type="dxa"/>
            <w:vAlign w:val="center"/>
          </w:tcPr>
          <w:p w14:paraId="1D533FA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0" w:type="dxa"/>
            <w:tcBorders>
              <w:right w:val="single" w:color="auto" w:sz="12" w:space="0"/>
            </w:tcBorders>
            <w:vAlign w:val="center"/>
          </w:tcPr>
          <w:p w14:paraId="35B22A8C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1E8B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39" w:hRule="atLeast"/>
          <w:jc w:val="center"/>
        </w:trPr>
        <w:tc>
          <w:tcPr>
            <w:tcW w:w="2857" w:type="dxa"/>
            <w:tcBorders>
              <w:left w:val="single" w:color="auto" w:sz="12" w:space="0"/>
            </w:tcBorders>
            <w:vAlign w:val="center"/>
          </w:tcPr>
          <w:p w14:paraId="0219B65C">
            <w:pPr>
              <w:rPr>
                <w:rFonts w:ascii="MS Mincho" w:hAnsi="MS Mincho" w:eastAsia="MS Mincho" w:cs="MS Mincho"/>
                <w:bCs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第二单元（L5~L8）</w:t>
            </w:r>
          </w:p>
        </w:tc>
        <w:tc>
          <w:tcPr>
            <w:tcW w:w="1251" w:type="dxa"/>
            <w:vAlign w:val="center"/>
          </w:tcPr>
          <w:p w14:paraId="2F75A70A">
            <w:pPr>
              <w:pStyle w:val="14"/>
            </w:pPr>
            <w:r>
              <w:rPr>
                <w:rFonts w:hint="eastAsia"/>
              </w:rPr>
              <w:t>√</w:t>
            </w:r>
            <w:bookmarkStart w:id="4" w:name="_GoBack"/>
            <w:bookmarkEnd w:id="4"/>
          </w:p>
        </w:tc>
        <w:tc>
          <w:tcPr>
            <w:tcW w:w="1251" w:type="dxa"/>
            <w:vAlign w:val="center"/>
          </w:tcPr>
          <w:p w14:paraId="4F95E64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0" w:type="dxa"/>
            <w:tcBorders>
              <w:right w:val="single" w:color="auto" w:sz="12" w:space="0"/>
            </w:tcBorders>
            <w:vAlign w:val="center"/>
          </w:tcPr>
          <w:p w14:paraId="00A394B0">
            <w:pPr>
              <w:pStyle w:val="14"/>
            </w:pPr>
          </w:p>
        </w:tc>
      </w:tr>
      <w:tr w14:paraId="5963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99" w:hRule="atLeast"/>
          <w:jc w:val="center"/>
        </w:trPr>
        <w:tc>
          <w:tcPr>
            <w:tcW w:w="2857" w:type="dxa"/>
            <w:tcBorders>
              <w:left w:val="single" w:color="auto" w:sz="12" w:space="0"/>
            </w:tcBorders>
            <w:vAlign w:val="center"/>
          </w:tcPr>
          <w:p w14:paraId="73ABE802">
            <w:pPr>
              <w:rPr>
                <w:rFonts w:ascii="MS Mincho" w:hAnsi="MS Mincho" w:eastAsia="MS Mincho" w:cs="MS Mincho"/>
                <w:bCs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第三单元（L9~L12）</w:t>
            </w:r>
          </w:p>
        </w:tc>
        <w:tc>
          <w:tcPr>
            <w:tcW w:w="1251" w:type="dxa"/>
            <w:vAlign w:val="center"/>
          </w:tcPr>
          <w:p w14:paraId="24F0919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1" w:type="dxa"/>
            <w:vAlign w:val="center"/>
          </w:tcPr>
          <w:p w14:paraId="3C0E560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0" w:type="dxa"/>
            <w:tcBorders>
              <w:right w:val="single" w:color="auto" w:sz="12" w:space="0"/>
            </w:tcBorders>
            <w:vAlign w:val="center"/>
          </w:tcPr>
          <w:p w14:paraId="1766AF6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AC27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28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DAA9DC4">
            <w:pPr>
              <w:rPr>
                <w:rFonts w:ascii="MS Mincho" w:hAnsi="MS Mincho" w:eastAsia="MS Mincho" w:cs="MS Mincho"/>
                <w:bCs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第四单元（L13~L6）</w:t>
            </w:r>
          </w:p>
        </w:tc>
        <w:tc>
          <w:tcPr>
            <w:tcW w:w="1251" w:type="dxa"/>
            <w:tcBorders>
              <w:bottom w:val="single" w:color="auto" w:sz="12" w:space="0"/>
            </w:tcBorders>
            <w:vAlign w:val="center"/>
          </w:tcPr>
          <w:p w14:paraId="75735AB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1" w:type="dxa"/>
            <w:tcBorders>
              <w:bottom w:val="single" w:color="auto" w:sz="12" w:space="0"/>
            </w:tcBorders>
            <w:vAlign w:val="center"/>
          </w:tcPr>
          <w:p w14:paraId="656B271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5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DAD8F8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11C03582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49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39"/>
        <w:gridCol w:w="2940"/>
        <w:gridCol w:w="1683"/>
        <w:gridCol w:w="714"/>
        <w:gridCol w:w="656"/>
        <w:gridCol w:w="706"/>
      </w:tblGrid>
      <w:tr w14:paraId="23CB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5D17BF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933" w:type="dxa"/>
            <w:vMerge w:val="restart"/>
            <w:tcBorders>
              <w:top w:val="single" w:color="auto" w:sz="12" w:space="0"/>
            </w:tcBorders>
            <w:vAlign w:val="center"/>
          </w:tcPr>
          <w:p w14:paraId="208E88DB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79" w:type="dxa"/>
            <w:vMerge w:val="restart"/>
            <w:tcBorders>
              <w:top w:val="single" w:color="auto" w:sz="12" w:space="0"/>
            </w:tcBorders>
            <w:vAlign w:val="center"/>
          </w:tcPr>
          <w:p w14:paraId="1724FB46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70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0C86B60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68C9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36" w:type="dxa"/>
            <w:vMerge w:val="continue"/>
            <w:tcBorders>
              <w:left w:val="single" w:color="auto" w:sz="12" w:space="0"/>
            </w:tcBorders>
          </w:tcPr>
          <w:p w14:paraId="60236B4D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933" w:type="dxa"/>
            <w:vMerge w:val="continue"/>
          </w:tcPr>
          <w:p w14:paraId="49D855A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79" w:type="dxa"/>
            <w:vMerge w:val="continue"/>
          </w:tcPr>
          <w:p w14:paraId="0B5AE6C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395309A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4" w:type="dxa"/>
            <w:vAlign w:val="center"/>
          </w:tcPr>
          <w:p w14:paraId="41A5099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4" w:type="dxa"/>
            <w:tcBorders>
              <w:right w:val="single" w:color="auto" w:sz="12" w:space="0"/>
            </w:tcBorders>
            <w:vAlign w:val="center"/>
          </w:tcPr>
          <w:p w14:paraId="736E47E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6DDD2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36" w:type="dxa"/>
            <w:tcBorders>
              <w:left w:val="single" w:color="auto" w:sz="12" w:space="0"/>
            </w:tcBorders>
            <w:vAlign w:val="center"/>
          </w:tcPr>
          <w:p w14:paraId="1D6076DC">
            <w:pPr>
              <w:widowControl/>
              <w:jc w:val="both"/>
              <w:rPr>
                <w:rFonts w:ascii="MS Mincho" w:hAnsi="MS Mincho" w:eastAsia="MS Mincho" w:cs="MS Mincho"/>
                <w:color w:val="00000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MS Mincho"/>
                <w:color w:val="000000"/>
                <w:sz w:val="21"/>
                <w:szCs w:val="21"/>
                <w:lang w:eastAsia="ja-JP"/>
              </w:rPr>
              <w:t>第一</w:t>
            </w:r>
            <w:r>
              <w:rPr>
                <w:rFonts w:hint="eastAsia"/>
                <w:color w:val="000000"/>
                <w:sz w:val="21"/>
                <w:szCs w:val="21"/>
                <w:lang w:eastAsia="ja-JP"/>
              </w:rPr>
              <w:t>单</w:t>
            </w:r>
            <w:r>
              <w:rPr>
                <w:rFonts w:hint="eastAsia" w:ascii="MS Mincho" w:hAnsi="MS Mincho" w:eastAsia="MS Mincho" w:cs="MS Mincho"/>
                <w:color w:val="000000"/>
                <w:sz w:val="21"/>
                <w:szCs w:val="21"/>
                <w:lang w:eastAsia="ja-JP"/>
              </w:rPr>
              <w:t>元（</w:t>
            </w:r>
            <w:r>
              <w:rPr>
                <w:rFonts w:ascii="MS Mincho" w:hAnsi="MS Mincho" w:eastAsia="MS Mincho" w:cs="MS Mincho"/>
                <w:color w:val="000000"/>
                <w:sz w:val="21"/>
                <w:szCs w:val="21"/>
                <w:lang w:eastAsia="ja-JP"/>
              </w:rPr>
              <w:t>L1~L4）</w:t>
            </w:r>
          </w:p>
        </w:tc>
        <w:tc>
          <w:tcPr>
            <w:tcW w:w="2933" w:type="dxa"/>
            <w:vAlign w:val="center"/>
          </w:tcPr>
          <w:p w14:paraId="18BC9AB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讲述教学法，讨论教学法，多媒体教学法，问题导向学习</w:t>
            </w:r>
          </w:p>
        </w:tc>
        <w:tc>
          <w:tcPr>
            <w:tcW w:w="1679" w:type="dxa"/>
            <w:vAlign w:val="center"/>
          </w:tcPr>
          <w:p w14:paraId="75F048B3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课堂提问＋课后作业＋闭卷笔试</w:t>
            </w:r>
          </w:p>
        </w:tc>
        <w:tc>
          <w:tcPr>
            <w:tcW w:w="712" w:type="dxa"/>
            <w:vAlign w:val="center"/>
          </w:tcPr>
          <w:p w14:paraId="1E21F96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4" w:type="dxa"/>
            <w:vAlign w:val="center"/>
          </w:tcPr>
          <w:p w14:paraId="186ADB4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4" w:type="dxa"/>
            <w:tcBorders>
              <w:right w:val="single" w:color="auto" w:sz="12" w:space="0"/>
            </w:tcBorders>
            <w:vAlign w:val="center"/>
          </w:tcPr>
          <w:p w14:paraId="566B4FB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4BDED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36" w:type="dxa"/>
            <w:tcBorders>
              <w:left w:val="single" w:color="auto" w:sz="12" w:space="0"/>
            </w:tcBorders>
            <w:vAlign w:val="center"/>
          </w:tcPr>
          <w:p w14:paraId="573F4636">
            <w:pPr>
              <w:widowControl/>
              <w:jc w:val="both"/>
              <w:rPr>
                <w:rFonts w:ascii="MS Mincho" w:hAnsi="MS Mincho" w:eastAsia="MS Mincho" w:cs="MS Mincho"/>
                <w:bCs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第二单元（L5~L8）</w:t>
            </w:r>
          </w:p>
        </w:tc>
        <w:tc>
          <w:tcPr>
            <w:tcW w:w="2933" w:type="dxa"/>
            <w:vAlign w:val="center"/>
          </w:tcPr>
          <w:p w14:paraId="3175703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讲述教学法，讨论教学法，多媒体教学法，问题导向学习</w:t>
            </w:r>
          </w:p>
        </w:tc>
        <w:tc>
          <w:tcPr>
            <w:tcW w:w="1679" w:type="dxa"/>
            <w:vAlign w:val="center"/>
          </w:tcPr>
          <w:p w14:paraId="515D883F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课堂提问＋课后作业＋情景剧</w:t>
            </w:r>
          </w:p>
        </w:tc>
        <w:tc>
          <w:tcPr>
            <w:tcW w:w="712" w:type="dxa"/>
            <w:vAlign w:val="center"/>
          </w:tcPr>
          <w:p w14:paraId="0C40AE4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4" w:type="dxa"/>
            <w:vAlign w:val="center"/>
          </w:tcPr>
          <w:p w14:paraId="286BCE5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4" w:type="dxa"/>
            <w:tcBorders>
              <w:right w:val="single" w:color="auto" w:sz="12" w:space="0"/>
            </w:tcBorders>
            <w:vAlign w:val="center"/>
          </w:tcPr>
          <w:p w14:paraId="4AD7979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6EE0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36" w:type="dxa"/>
            <w:tcBorders>
              <w:left w:val="single" w:color="auto" w:sz="12" w:space="0"/>
            </w:tcBorders>
            <w:vAlign w:val="center"/>
          </w:tcPr>
          <w:p w14:paraId="3ED95ACD">
            <w:pPr>
              <w:widowControl/>
              <w:jc w:val="both"/>
              <w:rPr>
                <w:rFonts w:ascii="MS Mincho" w:hAnsi="MS Mincho" w:eastAsia="MS Mincho" w:cs="MS Mincho"/>
                <w:bCs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第三单元（L9~L12）</w:t>
            </w:r>
          </w:p>
        </w:tc>
        <w:tc>
          <w:tcPr>
            <w:tcW w:w="2933" w:type="dxa"/>
            <w:vAlign w:val="center"/>
          </w:tcPr>
          <w:p w14:paraId="337D4F2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讲述教学法，讨论教学法，多媒体教学法，问题导向学习</w:t>
            </w:r>
          </w:p>
        </w:tc>
        <w:tc>
          <w:tcPr>
            <w:tcW w:w="1679" w:type="dxa"/>
            <w:vAlign w:val="center"/>
          </w:tcPr>
          <w:p w14:paraId="3C3039D5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课堂提问＋课后作业＋辩论赛（记录员记录）</w:t>
            </w:r>
          </w:p>
        </w:tc>
        <w:tc>
          <w:tcPr>
            <w:tcW w:w="712" w:type="dxa"/>
            <w:vAlign w:val="center"/>
          </w:tcPr>
          <w:p w14:paraId="21277E9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4" w:type="dxa"/>
            <w:vAlign w:val="center"/>
          </w:tcPr>
          <w:p w14:paraId="032F408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4" w:type="dxa"/>
            <w:tcBorders>
              <w:right w:val="single" w:color="auto" w:sz="12" w:space="0"/>
            </w:tcBorders>
            <w:vAlign w:val="center"/>
          </w:tcPr>
          <w:p w14:paraId="46CAD88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198D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36" w:type="dxa"/>
            <w:tcBorders>
              <w:left w:val="single" w:color="auto" w:sz="12" w:space="0"/>
            </w:tcBorders>
            <w:vAlign w:val="center"/>
          </w:tcPr>
          <w:p w14:paraId="372C80D2">
            <w:pPr>
              <w:widowControl/>
              <w:jc w:val="both"/>
              <w:rPr>
                <w:rFonts w:ascii="MS Mincho" w:hAnsi="MS Mincho" w:eastAsia="MS Mincho" w:cs="MS Mincho"/>
                <w:bCs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Cs/>
                <w:color w:val="000000"/>
                <w:sz w:val="21"/>
                <w:szCs w:val="21"/>
              </w:rPr>
              <w:t>第四单元（L13~L6）</w:t>
            </w:r>
          </w:p>
        </w:tc>
        <w:tc>
          <w:tcPr>
            <w:tcW w:w="2933" w:type="dxa"/>
            <w:vAlign w:val="center"/>
          </w:tcPr>
          <w:p w14:paraId="4156DBB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讲述教学法，讨论教学法，多媒体教学法，问题导向学习</w:t>
            </w:r>
          </w:p>
        </w:tc>
        <w:tc>
          <w:tcPr>
            <w:tcW w:w="1679" w:type="dxa"/>
            <w:vAlign w:val="center"/>
          </w:tcPr>
          <w:p w14:paraId="4AF5D7CA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课堂提问＋课后作业＋闭卷笔试</w:t>
            </w:r>
          </w:p>
        </w:tc>
        <w:tc>
          <w:tcPr>
            <w:tcW w:w="712" w:type="dxa"/>
            <w:vAlign w:val="center"/>
          </w:tcPr>
          <w:p w14:paraId="5464383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4" w:type="dxa"/>
            <w:vAlign w:val="center"/>
          </w:tcPr>
          <w:p w14:paraId="23CCD1D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4" w:type="dxa"/>
            <w:tcBorders>
              <w:right w:val="single" w:color="auto" w:sz="12" w:space="0"/>
            </w:tcBorders>
            <w:vAlign w:val="center"/>
          </w:tcPr>
          <w:p w14:paraId="039C2D9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4332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148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FC56331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12" w:type="dxa"/>
            <w:tcBorders>
              <w:bottom w:val="single" w:color="auto" w:sz="12" w:space="0"/>
            </w:tcBorders>
            <w:vAlign w:val="center"/>
          </w:tcPr>
          <w:p w14:paraId="027B487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4" w:type="dxa"/>
            <w:tcBorders>
              <w:bottom w:val="single" w:color="auto" w:sz="12" w:space="0"/>
            </w:tcBorders>
            <w:vAlign w:val="center"/>
          </w:tcPr>
          <w:p w14:paraId="4E98964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ECA552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</w:tr>
    </w:tbl>
    <w:p w14:paraId="7F327CB4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0" w:name="OLE_LINK1"/>
      <w:bookmarkStart w:id="1" w:name="OLE_LINK2"/>
      <w:r>
        <w:rPr>
          <w:rFonts w:hint="eastAsia" w:ascii="黑体" w:hAnsi="宋体"/>
        </w:rPr>
        <w:t>四、课程思政教学设计</w:t>
      </w:r>
    </w:p>
    <w:bookmarkEnd w:id="0"/>
    <w:bookmarkEnd w:id="1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358339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277" w:hRule="atLeast"/>
        </w:trPr>
        <w:tc>
          <w:tcPr>
            <w:tcW w:w="8276" w:type="dxa"/>
          </w:tcPr>
          <w:p w14:paraId="120A704F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 xml:space="preserve">   本课程的思政建设重点在于通过日本文学教学，使学生增强对中国的文化自信。在辩证比较的视角下，讲授日本经典作品与代表性作家，通过引入相关的中国经典作品以及优秀文化，使学生不仅在理解日本文化审美方面受益，同时也能够全面客观认识中国的特色、看待中日文化交流。</w:t>
            </w:r>
          </w:p>
        </w:tc>
      </w:tr>
    </w:tbl>
    <w:p w14:paraId="063643B4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2" w:name="OLE_LINK4"/>
      <w:bookmarkStart w:id="3" w:name="OLE_LINK3"/>
    </w:p>
    <w:bookmarkEnd w:id="2"/>
    <w:bookmarkEnd w:id="3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1190"/>
        <w:gridCol w:w="993"/>
        <w:gridCol w:w="877"/>
        <w:gridCol w:w="706"/>
      </w:tblGrid>
      <w:tr w14:paraId="3BA85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AD012A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4B6773D8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AD3F8B6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60" w:type="dxa"/>
            <w:gridSpan w:val="3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10F956C1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81EE86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3870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45367EB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56A85560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12E0195F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190" w:type="dxa"/>
            <w:tcBorders>
              <w:left w:val="double" w:color="auto" w:sz="4" w:space="0"/>
            </w:tcBorders>
            <w:vAlign w:val="center"/>
          </w:tcPr>
          <w:p w14:paraId="3A3A0EA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1E4F9C6B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877" w:type="dxa"/>
            <w:vAlign w:val="center"/>
          </w:tcPr>
          <w:p w14:paraId="2EE0B2D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7D3A162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6A11D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EA2CC63">
            <w:pPr>
              <w:widowControl w:val="0"/>
              <w:snapToGrid w:val="0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X4</w:t>
            </w:r>
          </w:p>
        </w:tc>
        <w:tc>
          <w:tcPr>
            <w:tcW w:w="709" w:type="dxa"/>
            <w:vAlign w:val="center"/>
          </w:tcPr>
          <w:p w14:paraId="2687EB33">
            <w:pPr>
              <w:pStyle w:val="14"/>
              <w:widowControl w:val="0"/>
            </w:pPr>
            <w:r>
              <w:rPr>
                <w:rFonts w:hint="eastAsia"/>
              </w:rPr>
              <w:t>60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756D952">
            <w:pPr>
              <w:pStyle w:val="14"/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报告</w:t>
            </w:r>
          </w:p>
        </w:tc>
        <w:tc>
          <w:tcPr>
            <w:tcW w:w="1190" w:type="dxa"/>
            <w:tcBorders>
              <w:left w:val="double" w:color="auto" w:sz="4" w:space="0"/>
            </w:tcBorders>
            <w:vAlign w:val="center"/>
          </w:tcPr>
          <w:p w14:paraId="69DBF7CD">
            <w:pPr>
              <w:pStyle w:val="14"/>
              <w:widowControl w:val="0"/>
            </w:pPr>
            <w:r>
              <w:t>40</w:t>
            </w:r>
          </w:p>
        </w:tc>
        <w:tc>
          <w:tcPr>
            <w:tcW w:w="993" w:type="dxa"/>
            <w:vAlign w:val="center"/>
          </w:tcPr>
          <w:p w14:paraId="4232137D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877" w:type="dxa"/>
            <w:vAlign w:val="center"/>
          </w:tcPr>
          <w:p w14:paraId="41A9D015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AA07E1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67D4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A88D37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E2519E6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705F8A0F">
            <w:pPr>
              <w:pStyle w:val="14"/>
              <w:widowControl w:val="0"/>
            </w:pPr>
            <w:r>
              <w:rPr>
                <w:rFonts w:hint="eastAsia" w:ascii="宋体" w:hAnsi="宋体"/>
                <w:bCs/>
                <w:szCs w:val="20"/>
                <w:lang w:val="en-US" w:eastAsia="zh-CN"/>
              </w:rPr>
              <w:t>课堂发表</w:t>
            </w:r>
            <w:r>
              <w:rPr>
                <w:rFonts w:hint="eastAsia" w:ascii="宋体" w:hAnsi="宋体"/>
                <w:bCs/>
                <w:szCs w:val="20"/>
              </w:rPr>
              <w:t>+课堂表现</w:t>
            </w:r>
          </w:p>
        </w:tc>
        <w:tc>
          <w:tcPr>
            <w:tcW w:w="1190" w:type="dxa"/>
            <w:tcBorders>
              <w:left w:val="double" w:color="auto" w:sz="4" w:space="0"/>
            </w:tcBorders>
            <w:vAlign w:val="center"/>
          </w:tcPr>
          <w:p w14:paraId="1C4044E2">
            <w:pPr>
              <w:pStyle w:val="14"/>
              <w:widowControl w:val="0"/>
            </w:pPr>
            <w:r>
              <w:t>30</w:t>
            </w:r>
          </w:p>
        </w:tc>
        <w:tc>
          <w:tcPr>
            <w:tcW w:w="993" w:type="dxa"/>
            <w:vAlign w:val="center"/>
          </w:tcPr>
          <w:p w14:paraId="41768DDA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877" w:type="dxa"/>
            <w:vAlign w:val="center"/>
          </w:tcPr>
          <w:p w14:paraId="5A977B8B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06B7BE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E398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F6C16C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70B31C78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225826C0">
            <w:pPr>
              <w:pStyle w:val="14"/>
              <w:widowControl w:val="0"/>
            </w:pPr>
            <w:r>
              <w:rPr>
                <w:rFonts w:hint="eastAsia" w:ascii="宋体" w:hAnsi="宋体"/>
                <w:bCs/>
                <w:szCs w:val="20"/>
                <w:lang w:val="en-US" w:eastAsia="zh-CN"/>
              </w:rPr>
              <w:t>课堂发表</w:t>
            </w:r>
            <w:r>
              <w:rPr>
                <w:rFonts w:hint="eastAsia" w:ascii="宋体" w:hAnsi="宋体"/>
                <w:bCs/>
                <w:szCs w:val="20"/>
              </w:rPr>
              <w:t>+课堂表现</w:t>
            </w:r>
          </w:p>
        </w:tc>
        <w:tc>
          <w:tcPr>
            <w:tcW w:w="1190" w:type="dxa"/>
            <w:tcBorders>
              <w:left w:val="double" w:color="auto" w:sz="4" w:space="0"/>
            </w:tcBorders>
            <w:vAlign w:val="center"/>
          </w:tcPr>
          <w:p w14:paraId="2AD350AB">
            <w:pPr>
              <w:pStyle w:val="14"/>
              <w:widowControl w:val="0"/>
            </w:pPr>
            <w:r>
              <w:t>35</w:t>
            </w:r>
          </w:p>
        </w:tc>
        <w:tc>
          <w:tcPr>
            <w:tcW w:w="993" w:type="dxa"/>
            <w:vAlign w:val="center"/>
          </w:tcPr>
          <w:p w14:paraId="7E3B69A2">
            <w:pPr>
              <w:pStyle w:val="14"/>
              <w:widowControl w:val="0"/>
            </w:pPr>
            <w:r>
              <w:t>35</w:t>
            </w:r>
          </w:p>
        </w:tc>
        <w:tc>
          <w:tcPr>
            <w:tcW w:w="877" w:type="dxa"/>
            <w:vAlign w:val="center"/>
          </w:tcPr>
          <w:p w14:paraId="4FE3CBB1">
            <w:pPr>
              <w:pStyle w:val="14"/>
              <w:widowControl w:val="0"/>
            </w:pPr>
            <w:r>
              <w:t>30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710A2BA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412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F8FA7F4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752B2908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13D21F9B">
            <w:pPr>
              <w:pStyle w:val="14"/>
              <w:widowControl w:val="0"/>
            </w:pPr>
            <w:r>
              <w:rPr>
                <w:rFonts w:hint="eastAsia" w:ascii="宋体" w:hAnsi="宋体"/>
                <w:bCs/>
                <w:szCs w:val="20"/>
                <w:lang w:val="en-US" w:eastAsia="zh-CN"/>
              </w:rPr>
              <w:t>课堂发表</w:t>
            </w:r>
            <w:r>
              <w:rPr>
                <w:rFonts w:hint="eastAsia" w:ascii="宋体" w:hAnsi="宋体"/>
                <w:bCs/>
                <w:szCs w:val="20"/>
              </w:rPr>
              <w:t>+课堂表现</w:t>
            </w:r>
          </w:p>
        </w:tc>
        <w:tc>
          <w:tcPr>
            <w:tcW w:w="1190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F132EFC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3" w:type="dxa"/>
            <w:tcBorders>
              <w:bottom w:val="single" w:color="auto" w:sz="12" w:space="0"/>
            </w:tcBorders>
            <w:vAlign w:val="center"/>
          </w:tcPr>
          <w:p w14:paraId="43475277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877" w:type="dxa"/>
            <w:tcBorders>
              <w:bottom w:val="single" w:color="auto" w:sz="12" w:space="0"/>
            </w:tcBorders>
            <w:vAlign w:val="center"/>
          </w:tcPr>
          <w:p w14:paraId="2AB8A4B9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 xml:space="preserve">   </w:t>
            </w:r>
            <w:r>
              <w:t>20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9415BE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F65848D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B8734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9A2CC9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  <w:p w14:paraId="5D128BB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</w:tc>
      </w:tr>
    </w:tbl>
    <w:p w14:paraId="7CFF0C26">
      <w:pPr>
        <w:pStyle w:val="16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B1992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4FAFD5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54FAFD5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yYjIwMGI1ZDliNTdjMDIzOWNiNjdjMGUzYThkNTcifQ=="/>
  </w:docVars>
  <w:rsids>
    <w:rsidRoot w:val="00B7651F"/>
    <w:rsid w:val="000023B2"/>
    <w:rsid w:val="000203E0"/>
    <w:rsid w:val="000210E0"/>
    <w:rsid w:val="00033082"/>
    <w:rsid w:val="00051F53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3E1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4C38"/>
    <w:rsid w:val="001E5A17"/>
    <w:rsid w:val="001E681F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0A9A"/>
    <w:rsid w:val="002A4649"/>
    <w:rsid w:val="002A5CD1"/>
    <w:rsid w:val="002A7227"/>
    <w:rsid w:val="002B0773"/>
    <w:rsid w:val="002B0C48"/>
    <w:rsid w:val="002B13CA"/>
    <w:rsid w:val="002B3650"/>
    <w:rsid w:val="002B7322"/>
    <w:rsid w:val="002C5125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0677"/>
    <w:rsid w:val="00373C8A"/>
    <w:rsid w:val="00377C10"/>
    <w:rsid w:val="00384A1F"/>
    <w:rsid w:val="00384D60"/>
    <w:rsid w:val="00385D41"/>
    <w:rsid w:val="003861BA"/>
    <w:rsid w:val="00392EA0"/>
    <w:rsid w:val="00397815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3F5A62"/>
    <w:rsid w:val="004019DB"/>
    <w:rsid w:val="00402B67"/>
    <w:rsid w:val="0040433E"/>
    <w:rsid w:val="00404974"/>
    <w:rsid w:val="0040726A"/>
    <w:rsid w:val="004100B0"/>
    <w:rsid w:val="0041267F"/>
    <w:rsid w:val="00414037"/>
    <w:rsid w:val="00424BA5"/>
    <w:rsid w:val="00425431"/>
    <w:rsid w:val="004277B0"/>
    <w:rsid w:val="00431829"/>
    <w:rsid w:val="00437B60"/>
    <w:rsid w:val="004405E6"/>
    <w:rsid w:val="00443C84"/>
    <w:rsid w:val="0044546A"/>
    <w:rsid w:val="004540AA"/>
    <w:rsid w:val="00456BD8"/>
    <w:rsid w:val="00456DC8"/>
    <w:rsid w:val="0046549D"/>
    <w:rsid w:val="00471668"/>
    <w:rsid w:val="004758F4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4F6389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65865"/>
    <w:rsid w:val="0057496F"/>
    <w:rsid w:val="00586DDE"/>
    <w:rsid w:val="0059045B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07FAD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005"/>
    <w:rsid w:val="006E5CA9"/>
    <w:rsid w:val="006E5E98"/>
    <w:rsid w:val="006F3151"/>
    <w:rsid w:val="006F4F68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6044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7F39A8"/>
    <w:rsid w:val="0080066B"/>
    <w:rsid w:val="00803578"/>
    <w:rsid w:val="00815B8E"/>
    <w:rsid w:val="00816D99"/>
    <w:rsid w:val="0082324C"/>
    <w:rsid w:val="00823D71"/>
    <w:rsid w:val="008245AF"/>
    <w:rsid w:val="008256B9"/>
    <w:rsid w:val="00826358"/>
    <w:rsid w:val="0083705D"/>
    <w:rsid w:val="0084242F"/>
    <w:rsid w:val="00847437"/>
    <w:rsid w:val="00875288"/>
    <w:rsid w:val="00882E15"/>
    <w:rsid w:val="008901A2"/>
    <w:rsid w:val="008A08B0"/>
    <w:rsid w:val="008B0385"/>
    <w:rsid w:val="008B188E"/>
    <w:rsid w:val="008B397C"/>
    <w:rsid w:val="008B47F4"/>
    <w:rsid w:val="008B498C"/>
    <w:rsid w:val="008B7448"/>
    <w:rsid w:val="008B7E1E"/>
    <w:rsid w:val="008C0C9A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56CC"/>
    <w:rsid w:val="00970E8C"/>
    <w:rsid w:val="00971671"/>
    <w:rsid w:val="00981A37"/>
    <w:rsid w:val="00982DAA"/>
    <w:rsid w:val="009830B2"/>
    <w:rsid w:val="0099063E"/>
    <w:rsid w:val="00992356"/>
    <w:rsid w:val="00994793"/>
    <w:rsid w:val="00996AE3"/>
    <w:rsid w:val="009A0450"/>
    <w:rsid w:val="009A1E27"/>
    <w:rsid w:val="009A6B3B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04A4C"/>
    <w:rsid w:val="00A16159"/>
    <w:rsid w:val="00A17885"/>
    <w:rsid w:val="00A2337D"/>
    <w:rsid w:val="00A25A31"/>
    <w:rsid w:val="00A26885"/>
    <w:rsid w:val="00A31BBE"/>
    <w:rsid w:val="00A31D34"/>
    <w:rsid w:val="00A333EF"/>
    <w:rsid w:val="00A70C5B"/>
    <w:rsid w:val="00A769B1"/>
    <w:rsid w:val="00A77DA3"/>
    <w:rsid w:val="00A837D5"/>
    <w:rsid w:val="00A83E04"/>
    <w:rsid w:val="00A90738"/>
    <w:rsid w:val="00A91091"/>
    <w:rsid w:val="00A93EE3"/>
    <w:rsid w:val="00A94BA9"/>
    <w:rsid w:val="00AA4970"/>
    <w:rsid w:val="00AA536D"/>
    <w:rsid w:val="00AA649D"/>
    <w:rsid w:val="00AB22C0"/>
    <w:rsid w:val="00AB28FC"/>
    <w:rsid w:val="00AC2AAC"/>
    <w:rsid w:val="00AC386C"/>
    <w:rsid w:val="00AC40F1"/>
    <w:rsid w:val="00AC4C45"/>
    <w:rsid w:val="00AD1085"/>
    <w:rsid w:val="00AD5B40"/>
    <w:rsid w:val="00AF289F"/>
    <w:rsid w:val="00AF2F4E"/>
    <w:rsid w:val="00AF30B9"/>
    <w:rsid w:val="00AF43DF"/>
    <w:rsid w:val="00AF4661"/>
    <w:rsid w:val="00AF67A4"/>
    <w:rsid w:val="00AF7510"/>
    <w:rsid w:val="00B12D31"/>
    <w:rsid w:val="00B15F6E"/>
    <w:rsid w:val="00B21BEE"/>
    <w:rsid w:val="00B23284"/>
    <w:rsid w:val="00B3305B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E101A"/>
    <w:rsid w:val="00BF3C20"/>
    <w:rsid w:val="00C011BC"/>
    <w:rsid w:val="00C03DBA"/>
    <w:rsid w:val="00C05987"/>
    <w:rsid w:val="00C112E7"/>
    <w:rsid w:val="00C11CD4"/>
    <w:rsid w:val="00C15061"/>
    <w:rsid w:val="00C1713D"/>
    <w:rsid w:val="00C20D9D"/>
    <w:rsid w:val="00C2134F"/>
    <w:rsid w:val="00C21F86"/>
    <w:rsid w:val="00C24718"/>
    <w:rsid w:val="00C30AEE"/>
    <w:rsid w:val="00C33362"/>
    <w:rsid w:val="00C353AE"/>
    <w:rsid w:val="00C4194E"/>
    <w:rsid w:val="00C41EE4"/>
    <w:rsid w:val="00C5350C"/>
    <w:rsid w:val="00C56E09"/>
    <w:rsid w:val="00C61B1B"/>
    <w:rsid w:val="00C6606F"/>
    <w:rsid w:val="00C673D1"/>
    <w:rsid w:val="00C746CB"/>
    <w:rsid w:val="00C77BBF"/>
    <w:rsid w:val="00C81564"/>
    <w:rsid w:val="00C9080C"/>
    <w:rsid w:val="00CA18FD"/>
    <w:rsid w:val="00CA27E5"/>
    <w:rsid w:val="00CA4897"/>
    <w:rsid w:val="00CA62ED"/>
    <w:rsid w:val="00CA6928"/>
    <w:rsid w:val="00CB3D3F"/>
    <w:rsid w:val="00CB5A1A"/>
    <w:rsid w:val="00CC59E6"/>
    <w:rsid w:val="00CD2F8C"/>
    <w:rsid w:val="00CD5BDD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6619"/>
    <w:rsid w:val="00D93E7C"/>
    <w:rsid w:val="00DA3B78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2CDA"/>
    <w:rsid w:val="00E86772"/>
    <w:rsid w:val="00E90B8B"/>
    <w:rsid w:val="00E93ADD"/>
    <w:rsid w:val="00E952D8"/>
    <w:rsid w:val="00EA5260"/>
    <w:rsid w:val="00EB00E4"/>
    <w:rsid w:val="00EB0189"/>
    <w:rsid w:val="00EB28DA"/>
    <w:rsid w:val="00EB3812"/>
    <w:rsid w:val="00EB44EB"/>
    <w:rsid w:val="00EB66B8"/>
    <w:rsid w:val="00EB791E"/>
    <w:rsid w:val="00EC70A9"/>
    <w:rsid w:val="00ED4C3A"/>
    <w:rsid w:val="00EE1C85"/>
    <w:rsid w:val="00EE2633"/>
    <w:rsid w:val="00EF21D9"/>
    <w:rsid w:val="00EF2A94"/>
    <w:rsid w:val="00EF32E1"/>
    <w:rsid w:val="00EF32FB"/>
    <w:rsid w:val="00EF44B1"/>
    <w:rsid w:val="00EF4865"/>
    <w:rsid w:val="00EF5954"/>
    <w:rsid w:val="00EF5ACF"/>
    <w:rsid w:val="00F02BC6"/>
    <w:rsid w:val="00F100D2"/>
    <w:rsid w:val="00F12942"/>
    <w:rsid w:val="00F14886"/>
    <w:rsid w:val="00F16421"/>
    <w:rsid w:val="00F201EE"/>
    <w:rsid w:val="00F35AA0"/>
    <w:rsid w:val="00F43C49"/>
    <w:rsid w:val="00F45C12"/>
    <w:rsid w:val="00F468FB"/>
    <w:rsid w:val="00F544A2"/>
    <w:rsid w:val="00F76722"/>
    <w:rsid w:val="00F76CB9"/>
    <w:rsid w:val="00F77A73"/>
    <w:rsid w:val="00F80E46"/>
    <w:rsid w:val="00F96236"/>
    <w:rsid w:val="00FA10CE"/>
    <w:rsid w:val="00FA222F"/>
    <w:rsid w:val="00FA2891"/>
    <w:rsid w:val="00FA4B51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3221"/>
    <w:rsid w:val="00FE4892"/>
    <w:rsid w:val="00FE571F"/>
    <w:rsid w:val="00FF47F6"/>
    <w:rsid w:val="016E63C2"/>
    <w:rsid w:val="024B0C39"/>
    <w:rsid w:val="078C2DA0"/>
    <w:rsid w:val="0A8128A6"/>
    <w:rsid w:val="0BF32A1B"/>
    <w:rsid w:val="10BD2C22"/>
    <w:rsid w:val="15034E08"/>
    <w:rsid w:val="22987C80"/>
    <w:rsid w:val="24192CCC"/>
    <w:rsid w:val="27737B67"/>
    <w:rsid w:val="28F45255"/>
    <w:rsid w:val="2B6C794F"/>
    <w:rsid w:val="39A66CD4"/>
    <w:rsid w:val="3CD52CE1"/>
    <w:rsid w:val="410F2E6A"/>
    <w:rsid w:val="41DD63F0"/>
    <w:rsid w:val="4430136C"/>
    <w:rsid w:val="496E783D"/>
    <w:rsid w:val="4AB0382B"/>
    <w:rsid w:val="569868B5"/>
    <w:rsid w:val="5BF23E7C"/>
    <w:rsid w:val="611F6817"/>
    <w:rsid w:val="652F332F"/>
    <w:rsid w:val="66CA1754"/>
    <w:rsid w:val="6F1E65D4"/>
    <w:rsid w:val="6F266C86"/>
    <w:rsid w:val="6F5042C2"/>
    <w:rsid w:val="74316312"/>
    <w:rsid w:val="780F13C8"/>
    <w:rsid w:val="7C385448"/>
    <w:rsid w:val="7CB3663D"/>
    <w:rsid w:val="7E2272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unhideWhenUsed/>
    <w:uiPriority w:val="99"/>
    <w:pPr>
      <w:spacing w:before="100" w:beforeAutospacing="1" w:after="100" w:afterAutospacing="1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  <w:style w:type="character" w:styleId="22">
    <w:name w:val="Placeholder Text"/>
    <w:basedOn w:val="9"/>
    <w:autoRedefine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192AC7-D5B4-4067-A49F-39C96E537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1022</Words>
  <Characters>1098</Characters>
  <Lines>14</Lines>
  <Paragraphs>4</Paragraphs>
  <TotalTime>1</TotalTime>
  <ScaleCrop>false</ScaleCrop>
  <LinksUpToDate>false</LinksUpToDate>
  <CharactersWithSpaces>1109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2023-10-21T07:24:00Z</dcterms:created>
  <dc:creator>juvg</dc:creator>
  <cp:lastModifiedBy>鄭芳</cp:lastModifiedBy>
  <cp:lastPrinted>2023-10-23T04:11:00Z</cp:lastPrinted>
  <dcterms:modified xsi:type="dcterms:W3CDTF">2026-10-11T09:09:29Z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51C35F52668C42F0A278F190B87C29BA_13</vt:lpwstr>
  </property>
  <property fmtid="{D5CDD505-2E9C-101B-9397-08002B2CF9AE}" pid="4" name="KSOTemplateDocerSaveRecord">
    <vt:lpwstr>eyJoZGlkIjoiMTFiMzAxNGVmZWMwNDdkYTU0NmE0MDQ2MWFlNWRlMzYiLCJ1c2VySWQiOiI4OTkxMzYyMjcifQ==</vt:lpwstr>
  </property>
</Properties>
</file>