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568469">
      <w:pPr>
        <w:jc w:val="center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 xml:space="preserve">《 </w:t>
      </w:r>
      <w:r>
        <w:rPr>
          <w:rFonts w:ascii="黑体" w:hAnsi="黑体" w:eastAsia="黑体"/>
          <w:bCs/>
          <w:sz w:val="32"/>
          <w:szCs w:val="32"/>
        </w:rPr>
        <w:t xml:space="preserve">  </w:t>
      </w:r>
      <w:r>
        <w:rPr>
          <w:rFonts w:hint="eastAsia" w:ascii="黑体" w:hAnsi="黑体" w:eastAsia="黑体"/>
          <w:bCs/>
          <w:sz w:val="32"/>
          <w:szCs w:val="32"/>
        </w:rPr>
        <w:t>实用日语翻译Ⅱ</w:t>
      </w:r>
      <w:r>
        <w:rPr>
          <w:rFonts w:ascii="黑体" w:hAnsi="黑体" w:eastAsia="黑体"/>
          <w:bCs/>
          <w:sz w:val="32"/>
          <w:szCs w:val="32"/>
        </w:rPr>
        <w:t xml:space="preserve">  </w:t>
      </w:r>
      <w:r>
        <w:rPr>
          <w:rFonts w:hint="eastAsia" w:ascii="黑体" w:hAnsi="黑体" w:eastAsia="黑体"/>
          <w:bCs/>
          <w:sz w:val="32"/>
          <w:szCs w:val="32"/>
        </w:rPr>
        <w:t>》专科课程教学大纲</w:t>
      </w:r>
    </w:p>
    <w:p w14:paraId="6ECD5700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ascii="黑体" w:hAnsi="宋体"/>
        </w:rPr>
        <w:t>一</w:t>
      </w:r>
      <w:r>
        <w:rPr>
          <w:rFonts w:hint="eastAsia" w:ascii="黑体" w:hAnsi="宋体"/>
        </w:rPr>
        <w:t>、课程</w:t>
      </w:r>
      <w:r>
        <w:rPr>
          <w:rFonts w:ascii="黑体" w:hAnsi="宋体"/>
        </w:rPr>
        <w:t>基本信息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14:paraId="117E1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restart"/>
            <w:tcBorders>
              <w:top w:val="single" w:color="auto" w:sz="12" w:space="0"/>
              <w:left w:val="single" w:color="auto" w:sz="12" w:space="0"/>
            </w:tcBorders>
            <w:shd w:val="clear" w:color="auto" w:fill="auto"/>
            <w:vAlign w:val="center"/>
          </w:tcPr>
          <w:p w14:paraId="537AA95A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3BFD5E9">
            <w:pPr>
              <w:widowControl w:val="0"/>
              <w:jc w:val="lef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（中文）实用日语翻译Ⅱ</w:t>
            </w:r>
          </w:p>
        </w:tc>
      </w:tr>
      <w:tr w14:paraId="1F18A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continue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2DDB89F5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5A4834A6">
            <w:pPr>
              <w:widowControl w:val="0"/>
              <w:jc w:val="lef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（英文）</w:t>
            </w: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Practical Japanese translationⅡ</w:t>
            </w:r>
          </w:p>
        </w:tc>
      </w:tr>
      <w:tr w14:paraId="7EF26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104F2DE8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48A0DEFE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sz w:val="20"/>
                <w:szCs w:val="20"/>
              </w:rPr>
              <w:t>0140018</w:t>
            </w:r>
          </w:p>
        </w:tc>
        <w:tc>
          <w:tcPr>
            <w:tcW w:w="2126" w:type="dxa"/>
            <w:gridSpan w:val="2"/>
            <w:vAlign w:val="center"/>
          </w:tcPr>
          <w:p w14:paraId="5E979B93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7938466B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4E736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343CA331">
            <w:pPr>
              <w:widowControl w:val="0"/>
              <w:jc w:val="center"/>
              <w:rPr>
                <w:sz w:val="21"/>
                <w:szCs w:val="18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154D58E8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272" w:type="dxa"/>
            <w:vAlign w:val="center"/>
          </w:tcPr>
          <w:p w14:paraId="53588868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理论学时</w:t>
            </w:r>
          </w:p>
        </w:tc>
        <w:tc>
          <w:tcPr>
            <w:tcW w:w="854" w:type="dxa"/>
            <w:vAlign w:val="center"/>
          </w:tcPr>
          <w:p w14:paraId="0675EC9B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13" w:type="dxa"/>
            <w:gridSpan w:val="2"/>
            <w:vAlign w:val="center"/>
          </w:tcPr>
          <w:p w14:paraId="75029C38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实践学时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00300D1B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0A9A4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3B98BFB3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开课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2260" w:type="dxa"/>
            <w:vAlign w:val="center"/>
          </w:tcPr>
          <w:p w14:paraId="6DFEFD48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20"/>
                <w:szCs w:val="20"/>
                <w:lang w:val="en-US" w:eastAsia="zh-CN"/>
              </w:rPr>
              <w:t>外语与</w:t>
            </w:r>
            <w:bookmarkStart w:id="6" w:name="_GoBack"/>
            <w:bookmarkEnd w:id="6"/>
            <w:r>
              <w:rPr>
                <w:rFonts w:hint="eastAsia"/>
                <w:color w:val="000000"/>
                <w:sz w:val="20"/>
                <w:szCs w:val="20"/>
              </w:rPr>
              <w:t>国际教育学院</w:t>
            </w:r>
          </w:p>
        </w:tc>
        <w:tc>
          <w:tcPr>
            <w:tcW w:w="2126" w:type="dxa"/>
            <w:gridSpan w:val="2"/>
            <w:vAlign w:val="center"/>
          </w:tcPr>
          <w:p w14:paraId="6A47A964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适用</w:t>
            </w: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5A3A534B">
            <w:pPr>
              <w:widowControl w:val="0"/>
              <w:jc w:val="both"/>
              <w:rPr>
                <w:sz w:val="20"/>
              </w:rPr>
            </w:pPr>
            <w:r>
              <w:rPr>
                <w:rFonts w:hint="eastAsia"/>
                <w:sz w:val="20"/>
              </w:rPr>
              <w:t>本课程适合商日</w:t>
            </w:r>
            <w:r>
              <w:rPr>
                <w:rFonts w:hint="eastAsia"/>
                <w:color w:val="000000"/>
                <w:sz w:val="20"/>
                <w:szCs w:val="20"/>
              </w:rPr>
              <w:t>专业</w:t>
            </w:r>
            <w:r>
              <w:rPr>
                <w:rFonts w:hint="eastAsia"/>
                <w:sz w:val="20"/>
              </w:rPr>
              <w:t>第5学期开设</w:t>
            </w:r>
          </w:p>
        </w:tc>
      </w:tr>
      <w:tr w14:paraId="1D067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5BE1F16D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05F7DCBC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专业必修课</w:t>
            </w:r>
          </w:p>
        </w:tc>
        <w:tc>
          <w:tcPr>
            <w:tcW w:w="2126" w:type="dxa"/>
            <w:gridSpan w:val="2"/>
            <w:vAlign w:val="center"/>
          </w:tcPr>
          <w:p w14:paraId="10DBCEA0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5B9277B0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考试</w:t>
            </w:r>
          </w:p>
        </w:tc>
      </w:tr>
      <w:tr w14:paraId="6BD51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1B30CE2D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3A624D5E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0"/>
                <w:szCs w:val="20"/>
              </w:rPr>
              <w:t xml:space="preserve">《翻译教程》 张鸿成 </w:t>
            </w:r>
            <w:r>
              <w:rPr>
                <w:sz w:val="20"/>
                <w:szCs w:val="20"/>
              </w:rPr>
              <w:t xml:space="preserve">ISBN 978-7-5685-2384-4 </w:t>
            </w:r>
            <w:r>
              <w:rPr>
                <w:rFonts w:hint="eastAsia"/>
                <w:sz w:val="20"/>
                <w:szCs w:val="20"/>
              </w:rPr>
              <w:t xml:space="preserve">大连理工大学出版社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第4版</w:t>
            </w:r>
          </w:p>
        </w:tc>
        <w:tc>
          <w:tcPr>
            <w:tcW w:w="1413" w:type="dxa"/>
            <w:gridSpan w:val="2"/>
            <w:vAlign w:val="center"/>
          </w:tcPr>
          <w:p w14:paraId="683EF1C0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是否为</w:t>
            </w:r>
          </w:p>
          <w:p w14:paraId="51CD5473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马工程教材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4D2DA9BA">
            <w:pPr>
              <w:widowControl w:val="0"/>
              <w:ind w:left="120" w:leftChars="5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 w14:paraId="5F322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68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6910BE6B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42660748">
            <w:pPr>
              <w:pStyle w:val="14"/>
              <w:widowControl w:val="0"/>
            </w:pPr>
            <w:r>
              <w:rPr>
                <w:rFonts w:hint="eastAsia" w:ascii="宋体" w:hAnsi="宋体"/>
                <w:sz w:val="20"/>
                <w:szCs w:val="20"/>
              </w:rPr>
              <w:t>实用日语翻译Ⅰ</w:t>
            </w:r>
            <w:r>
              <w:rPr>
                <w:rFonts w:ascii="宋体" w:hAnsi="宋体"/>
                <w:sz w:val="20"/>
                <w:szCs w:val="20"/>
              </w:rPr>
              <w:t>0140017（2）</w:t>
            </w:r>
          </w:p>
        </w:tc>
      </w:tr>
      <w:tr w14:paraId="683FC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912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22A9652A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</w:tcPr>
          <w:p w14:paraId="4FA2185D">
            <w:pPr>
              <w:widowControl w:val="0"/>
              <w:snapToGrid w:val="0"/>
              <w:spacing w:line="288" w:lineRule="auto"/>
              <w:ind w:firstLine="400" w:firstLineChars="200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实用日语翻译是商务日语专业的学生必须掌握的技能之一。本课程通过课堂讲授，通过大量的例句分析、实例翻译和比较，让学生去体会、感悟翻译的规律，从而达到掌握它的目的。本课程属于日语专业学生的必修课程，是作为外语类专业学生必须掌握的听、说、读、写、译等5项技能中的一个重要环节，旨在培养学生的阅读和翻译能力，其中又以培养和提高笔译能力为主。</w:t>
            </w:r>
          </w:p>
          <w:p w14:paraId="188D885F">
            <w:pPr>
              <w:widowControl w:val="0"/>
              <w:snapToGrid w:val="0"/>
              <w:spacing w:line="288" w:lineRule="auto"/>
              <w:ind w:firstLine="400" w:firstLineChars="200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通过本课程的学习，学生对于翻译理论、翻译方法、翻译技巧等，能够有一个初步的了解，能够独立翻译一些难度在中等及以下水平的日语文章，并初步掌握翻译中各个环节的基本要领，从而提高翻译能力和水平。</w:t>
            </w:r>
          </w:p>
          <w:p w14:paraId="579AC9E2">
            <w:pPr>
              <w:widowControl w:val="0"/>
              <w:snapToGrid w:val="0"/>
              <w:spacing w:line="288" w:lineRule="auto"/>
              <w:ind w:firstLine="400" w:firstLineChars="200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本课程每周2学时，共计32学时，均为课堂理论教学，但课堂也可采用课堂操练的形式。教材采用张鸿成等人编撰、由大连理工大学出版社出版的《日语翻译》。本书由15课课文组成，每课附有练习一和练习二，书后还附有练习的参考答案。每课教学时间为2-4课时，也可根据教学需要做适当的调整。</w:t>
            </w:r>
          </w:p>
        </w:tc>
      </w:tr>
      <w:tr w14:paraId="61180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611" w:hRule="atLeast"/>
        </w:trPr>
        <w:tc>
          <w:tcPr>
            <w:tcW w:w="1691" w:type="dxa"/>
            <w:tcBorders>
              <w:left w:val="single" w:color="auto" w:sz="12" w:space="0"/>
              <w:bottom w:val="double" w:color="auto" w:sz="4" w:space="0"/>
            </w:tcBorders>
            <w:shd w:val="clear" w:color="auto" w:fill="auto"/>
            <w:vAlign w:val="center"/>
          </w:tcPr>
          <w:p w14:paraId="7148AF52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选课建议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color="auto" w:sz="4" w:space="0"/>
              <w:right w:val="single" w:color="auto" w:sz="12" w:space="0"/>
            </w:tcBorders>
          </w:tcPr>
          <w:p w14:paraId="0C7AE10A">
            <w:pPr>
              <w:pStyle w:val="14"/>
              <w:widowControl w:val="0"/>
              <w:jc w:val="both"/>
            </w:pPr>
            <w:r>
              <w:rPr>
                <w:rFonts w:hint="eastAsia" w:ascii="宋体" w:hAnsi="宋体"/>
                <w:sz w:val="20"/>
              </w:rPr>
              <w:t>本课程适合商日中日</w:t>
            </w:r>
            <w:r>
              <w:rPr>
                <w:rFonts w:hint="eastAsia" w:ascii="宋体" w:hAnsi="宋体"/>
                <w:sz w:val="20"/>
                <w:szCs w:val="20"/>
              </w:rPr>
              <w:t>专业</w:t>
            </w:r>
            <w:r>
              <w:rPr>
                <w:rFonts w:hint="eastAsia" w:ascii="宋体" w:hAnsi="宋体"/>
                <w:sz w:val="20"/>
              </w:rPr>
              <w:t>第5学期开设</w:t>
            </w:r>
          </w:p>
        </w:tc>
      </w:tr>
      <w:tr w14:paraId="1C643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top w:val="double" w:color="auto" w:sz="4" w:space="0"/>
              <w:left w:val="single" w:color="auto" w:sz="12" w:space="0"/>
            </w:tcBorders>
            <w:shd w:val="clear" w:color="auto" w:fill="auto"/>
            <w:vAlign w:val="center"/>
          </w:tcPr>
          <w:p w14:paraId="71D2CC44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color="auto" w:sz="4" w:space="0"/>
            </w:tcBorders>
            <w:vAlign w:val="center"/>
          </w:tcPr>
          <w:p w14:paraId="3EF35167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1"/>
                <w:szCs w:val="21"/>
              </w:rPr>
              <w:t>鲁峥</w:t>
            </w:r>
          </w:p>
        </w:tc>
        <w:tc>
          <w:tcPr>
            <w:tcW w:w="1425" w:type="dxa"/>
            <w:gridSpan w:val="2"/>
            <w:tcBorders>
              <w:top w:val="double" w:color="auto" w:sz="4" w:space="0"/>
            </w:tcBorders>
            <w:vAlign w:val="center"/>
          </w:tcPr>
          <w:p w14:paraId="1786AA45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243EE858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2024.1.10</w:t>
            </w:r>
          </w:p>
        </w:tc>
      </w:tr>
      <w:tr w14:paraId="236F6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4AE63A72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7D5D0D8A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drawing>
                <wp:inline distT="0" distB="0" distL="0" distR="0">
                  <wp:extent cx="484505" cy="347980"/>
                  <wp:effectExtent l="0" t="0" r="0" b="0"/>
                  <wp:docPr id="2" name="图片 2" descr="E:\赵萍签名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E:\赵萍签名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4505" cy="347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vAlign w:val="center"/>
          </w:tcPr>
          <w:p w14:paraId="75DD5713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color="auto" w:sz="12" w:space="0"/>
            </w:tcBorders>
            <w:vAlign w:val="center"/>
          </w:tcPr>
          <w:p w14:paraId="47625BFA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2024.2.20</w:t>
            </w:r>
          </w:p>
        </w:tc>
      </w:tr>
      <w:tr w14:paraId="7119E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04705427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color="auto" w:sz="12" w:space="0"/>
            </w:tcBorders>
            <w:vAlign w:val="center"/>
          </w:tcPr>
          <w:p w14:paraId="645920BA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drawing>
                <wp:inline distT="0" distB="0" distL="0" distR="0">
                  <wp:extent cx="614045" cy="354965"/>
                  <wp:effectExtent l="0" t="0" r="0" b="6985"/>
                  <wp:docPr id="3" name="图片 3" descr="E:\孔辉签名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E:\孔辉签名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045" cy="354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bottom w:val="single" w:color="auto" w:sz="12" w:space="0"/>
            </w:tcBorders>
            <w:vAlign w:val="center"/>
          </w:tcPr>
          <w:p w14:paraId="4A496120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C1FF57E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2024.2.20</w:t>
            </w:r>
          </w:p>
        </w:tc>
      </w:tr>
    </w:tbl>
    <w:p w14:paraId="0E671D4E">
      <w:pPr>
        <w:spacing w:line="100" w:lineRule="exact"/>
        <w:rPr>
          <w:rFonts w:ascii="Arial" w:hAnsi="Arial" w:eastAsia="黑体"/>
        </w:rPr>
      </w:pPr>
      <w:r>
        <w:br w:type="page"/>
      </w:r>
    </w:p>
    <w:p w14:paraId="6A27BE0A">
      <w:pPr>
        <w:pStyle w:val="16"/>
        <w:tabs>
          <w:tab w:val="right" w:pos="8306"/>
        </w:tabs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二、课程目标</w:t>
      </w:r>
    </w:p>
    <w:tbl>
      <w:tblPr>
        <w:tblStyle w:val="7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206"/>
        <w:gridCol w:w="764"/>
        <w:gridCol w:w="6306"/>
      </w:tblGrid>
      <w:tr w14:paraId="3A0019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06" w:type="dxa"/>
            <w:vAlign w:val="center"/>
          </w:tcPr>
          <w:p w14:paraId="6126F376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2E56EC7B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306" w:type="dxa"/>
            <w:vAlign w:val="center"/>
          </w:tcPr>
          <w:p w14:paraId="57BAF2C3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内容</w:t>
            </w:r>
          </w:p>
        </w:tc>
      </w:tr>
      <w:tr w14:paraId="7F399C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restart"/>
            <w:vAlign w:val="center"/>
          </w:tcPr>
          <w:p w14:paraId="30CC0000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1D28C22A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306" w:type="dxa"/>
            <w:vAlign w:val="center"/>
          </w:tcPr>
          <w:p w14:paraId="3FAD87A5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能搜集、获取达到目标所需要的学习资源，实施学习计划、反思学习计划、持续改进，达到学习目标。</w:t>
            </w:r>
          </w:p>
        </w:tc>
      </w:tr>
      <w:tr w14:paraId="48E4CD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continue"/>
            <w:vAlign w:val="center"/>
          </w:tcPr>
          <w:p w14:paraId="602B74B9">
            <w:pPr>
              <w:pStyle w:val="14"/>
              <w:rPr>
                <w:bCs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7E29CF9E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306" w:type="dxa"/>
            <w:vAlign w:val="center"/>
          </w:tcPr>
          <w:p w14:paraId="250EEE9D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透彻分析日语语素、词汇及语法结构，能对语法现象进行分析归纳与总结。</w:t>
            </w:r>
          </w:p>
        </w:tc>
      </w:tr>
      <w:tr w14:paraId="3E71DB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restart"/>
            <w:vAlign w:val="center"/>
          </w:tcPr>
          <w:p w14:paraId="0CA9F158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6E9C8486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306" w:type="dxa"/>
            <w:vAlign w:val="center"/>
          </w:tcPr>
          <w:p w14:paraId="0594F46E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掌握日语阅读技能，包括细读、泛读、评读等能力，提高分析归纳、推理检验等逻辑思维能力。</w:t>
            </w:r>
          </w:p>
        </w:tc>
      </w:tr>
      <w:tr w14:paraId="3169CC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continue"/>
            <w:vAlign w:val="center"/>
          </w:tcPr>
          <w:p w14:paraId="30EE742B">
            <w:pPr>
              <w:pStyle w:val="14"/>
              <w:rPr>
                <w:rFonts w:ascii="宋体" w:hAnsi="宋体"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46EB70A9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4</w:t>
            </w:r>
          </w:p>
        </w:tc>
        <w:tc>
          <w:tcPr>
            <w:tcW w:w="6306" w:type="dxa"/>
            <w:vAlign w:val="center"/>
          </w:tcPr>
          <w:p w14:paraId="514DD178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了解并掌握翻译技巧，了解不同文体的语言特点和翻译方法，能使用中日两种语言进行各种翻译活动。</w:t>
            </w:r>
          </w:p>
        </w:tc>
      </w:tr>
      <w:tr w14:paraId="24A08A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Align w:val="center"/>
          </w:tcPr>
          <w:p w14:paraId="42E19C26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素养目标</w:t>
            </w:r>
          </w:p>
          <w:p w14:paraId="64303DF0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(含课程思政目标</w:t>
            </w:r>
            <w:r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29C4FBC0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5</w:t>
            </w:r>
          </w:p>
        </w:tc>
        <w:tc>
          <w:tcPr>
            <w:tcW w:w="6306" w:type="dxa"/>
            <w:vAlign w:val="center"/>
          </w:tcPr>
          <w:p w14:paraId="04FACD3F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sz w:val="20"/>
                <w:szCs w:val="20"/>
              </w:rPr>
              <w:t>爱党爱国，坚决拥护党的领导，热爱祖国的大好河山、悠久历史、灿烂文化，自觉维护民族利益和国家尊严。</w:t>
            </w:r>
          </w:p>
        </w:tc>
      </w:tr>
    </w:tbl>
    <w:p w14:paraId="26C79895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三、</w:t>
      </w:r>
      <w:r>
        <w:rPr>
          <w:rFonts w:ascii="黑体" w:hAnsi="宋体"/>
        </w:rPr>
        <w:t>课程内容</w:t>
      </w:r>
      <w:r>
        <w:rPr>
          <w:rFonts w:hint="eastAsia" w:ascii="黑体" w:hAnsi="宋体"/>
        </w:rPr>
        <w:t>与教学设计</w:t>
      </w:r>
    </w:p>
    <w:p w14:paraId="3DE4CAB0">
      <w:pPr>
        <w:pStyle w:val="17"/>
        <w:spacing w:before="81" w:after="163"/>
      </w:pPr>
      <w:r>
        <w:rPr>
          <w:rFonts w:hint="eastAsia"/>
        </w:rPr>
        <w:t>（一）各教学单元预期学习成果与教学内容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6"/>
      </w:tblGrid>
      <w:tr w14:paraId="000ADE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tbl>
            <w:tblPr>
              <w:tblStyle w:val="8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610"/>
              <w:gridCol w:w="1610"/>
              <w:gridCol w:w="1610"/>
              <w:gridCol w:w="1610"/>
              <w:gridCol w:w="1610"/>
            </w:tblGrid>
            <w:tr w14:paraId="532817D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610" w:type="dxa"/>
                </w:tcPr>
                <w:p w14:paraId="10C7FD5F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bookmarkStart w:id="0" w:name="OLE_LINK6"/>
                  <w:bookmarkStart w:id="1" w:name="OLE_LINK5"/>
                </w:p>
              </w:tc>
              <w:tc>
                <w:tcPr>
                  <w:tcW w:w="1610" w:type="dxa"/>
                </w:tcPr>
                <w:p w14:paraId="634FDDC8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sz w:val="20"/>
                      <w:szCs w:val="20"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预期学习成果</w:t>
                  </w:r>
                </w:p>
              </w:tc>
              <w:tc>
                <w:tcPr>
                  <w:tcW w:w="1610" w:type="dxa"/>
                </w:tcPr>
                <w:p w14:paraId="09FC2B4F">
                  <w:pPr>
                    <w:pStyle w:val="14"/>
                    <w:widowControl w:val="0"/>
                    <w:rPr>
                      <w:rFonts w:ascii="宋体" w:hAnsi="宋体"/>
                      <w:sz w:val="20"/>
                      <w:szCs w:val="20"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核心知识点</w:t>
                  </w:r>
                </w:p>
              </w:tc>
              <w:tc>
                <w:tcPr>
                  <w:tcW w:w="1610" w:type="dxa"/>
                </w:tcPr>
                <w:p w14:paraId="2A162D86">
                  <w:pPr>
                    <w:pStyle w:val="14"/>
                    <w:widowControl w:val="0"/>
                    <w:rPr>
                      <w:rFonts w:ascii="宋体" w:hAnsi="宋体"/>
                      <w:sz w:val="20"/>
                      <w:szCs w:val="20"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能力要求</w:t>
                  </w:r>
                </w:p>
              </w:tc>
              <w:tc>
                <w:tcPr>
                  <w:tcW w:w="1610" w:type="dxa"/>
                </w:tcPr>
                <w:p w14:paraId="2FDD2D85">
                  <w:pPr>
                    <w:pStyle w:val="14"/>
                    <w:widowControl w:val="0"/>
                    <w:rPr>
                      <w:rFonts w:ascii="宋体" w:hAnsi="宋体"/>
                      <w:sz w:val="20"/>
                      <w:szCs w:val="20"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教学难点</w:t>
                  </w:r>
                </w:p>
              </w:tc>
            </w:tr>
            <w:tr w14:paraId="616C91F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3" w:hRule="atLeast"/>
              </w:trPr>
              <w:tc>
                <w:tcPr>
                  <w:tcW w:w="1610" w:type="dxa"/>
                </w:tcPr>
                <w:p w14:paraId="44285D3D">
                  <w:pPr>
                    <w:pStyle w:val="14"/>
                    <w:widowControl w:val="0"/>
                    <w:rPr>
                      <w:rFonts w:ascii="宋体" w:hAnsi="宋体"/>
                      <w:sz w:val="20"/>
                      <w:szCs w:val="20"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综合分析（一）</w:t>
                  </w:r>
                </w:p>
              </w:tc>
              <w:tc>
                <w:tcPr>
                  <w:tcW w:w="1610" w:type="dxa"/>
                </w:tcPr>
                <w:p w14:paraId="5B8DD2D6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sz w:val="20"/>
                      <w:szCs w:val="20"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理解主语、谓语、宾语、补语、状语中有主谓语的句子</w:t>
                  </w:r>
                </w:p>
              </w:tc>
              <w:tc>
                <w:tcPr>
                  <w:tcW w:w="1610" w:type="dxa"/>
                </w:tcPr>
                <w:p w14:paraId="6ADE483C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sz w:val="20"/>
                      <w:szCs w:val="20"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学会先找出主谓语，然后以谓语为中心去分析剩下部分和谓语之间的关系</w:t>
                  </w:r>
                </w:p>
              </w:tc>
              <w:tc>
                <w:tcPr>
                  <w:tcW w:w="1610" w:type="dxa"/>
                </w:tcPr>
                <w:p w14:paraId="6C862699">
                  <w:pPr>
                    <w:pStyle w:val="14"/>
                    <w:widowControl w:val="0"/>
                    <w:rPr>
                      <w:rFonts w:ascii="宋体" w:hAnsi="宋体"/>
                      <w:sz w:val="20"/>
                      <w:szCs w:val="20"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运用</w:t>
                  </w:r>
                </w:p>
              </w:tc>
              <w:tc>
                <w:tcPr>
                  <w:tcW w:w="1610" w:type="dxa"/>
                </w:tcPr>
                <w:p w14:paraId="71839EB6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sz w:val="20"/>
                      <w:szCs w:val="20"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利用目前学习到的翻译技巧进行翻译训练</w:t>
                  </w:r>
                </w:p>
              </w:tc>
            </w:tr>
            <w:tr w14:paraId="5FF7881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2" w:hRule="atLeast"/>
              </w:trPr>
              <w:tc>
                <w:tcPr>
                  <w:tcW w:w="1610" w:type="dxa"/>
                </w:tcPr>
                <w:p w14:paraId="20D921EC">
                  <w:pPr>
                    <w:pStyle w:val="14"/>
                    <w:widowControl w:val="0"/>
                    <w:rPr>
                      <w:rFonts w:ascii="宋体" w:hAnsi="宋体"/>
                      <w:sz w:val="20"/>
                      <w:szCs w:val="20"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综合分析（二）</w:t>
                  </w:r>
                </w:p>
              </w:tc>
              <w:tc>
                <w:tcPr>
                  <w:tcW w:w="1610" w:type="dxa"/>
                </w:tcPr>
                <w:p w14:paraId="44F72FC7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sz w:val="20"/>
                      <w:szCs w:val="20"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学会利用接续助词将长句变成短句后再翻译</w:t>
                  </w:r>
                </w:p>
              </w:tc>
              <w:tc>
                <w:tcPr>
                  <w:tcW w:w="1610" w:type="dxa"/>
                </w:tcPr>
                <w:p w14:paraId="59F0C55A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sz w:val="20"/>
                      <w:szCs w:val="20"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长句变短句翻译法</w:t>
                  </w:r>
                </w:p>
              </w:tc>
              <w:tc>
                <w:tcPr>
                  <w:tcW w:w="1610" w:type="dxa"/>
                </w:tcPr>
                <w:p w14:paraId="04CFE24B">
                  <w:pPr>
                    <w:pStyle w:val="14"/>
                    <w:widowControl w:val="0"/>
                    <w:rPr>
                      <w:rFonts w:ascii="宋体" w:hAnsi="宋体"/>
                      <w:sz w:val="20"/>
                      <w:szCs w:val="20"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运用</w:t>
                  </w:r>
                </w:p>
              </w:tc>
              <w:tc>
                <w:tcPr>
                  <w:tcW w:w="1610" w:type="dxa"/>
                </w:tcPr>
                <w:p w14:paraId="36290D7F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sz w:val="20"/>
                      <w:szCs w:val="20"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利用翻译技巧综合分析日语长句</w:t>
                  </w:r>
                </w:p>
              </w:tc>
            </w:tr>
            <w:tr w14:paraId="65EA88C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610" w:type="dxa"/>
                </w:tcPr>
                <w:p w14:paraId="1D27C510">
                  <w:pPr>
                    <w:pStyle w:val="14"/>
                    <w:widowControl w:val="0"/>
                    <w:rPr>
                      <w:rFonts w:ascii="宋体" w:hAnsi="宋体"/>
                      <w:sz w:val="20"/>
                      <w:szCs w:val="20"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综合分析（三）</w:t>
                  </w:r>
                </w:p>
              </w:tc>
              <w:tc>
                <w:tcPr>
                  <w:tcW w:w="1610" w:type="dxa"/>
                </w:tcPr>
                <w:p w14:paraId="19BFA99E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学会翻译包含多层次的长宾语句节的谓语</w:t>
                  </w:r>
                </w:p>
              </w:tc>
              <w:tc>
                <w:tcPr>
                  <w:tcW w:w="1610" w:type="dxa"/>
                </w:tcPr>
                <w:p w14:paraId="68DACBB7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学会先理清复杂句中各个句子成分再进行翻译</w:t>
                  </w:r>
                </w:p>
              </w:tc>
              <w:tc>
                <w:tcPr>
                  <w:tcW w:w="1610" w:type="dxa"/>
                </w:tcPr>
                <w:p w14:paraId="2CC629F6">
                  <w:pPr>
                    <w:pStyle w:val="14"/>
                    <w:widowControl w:val="0"/>
                    <w:rPr>
                      <w:rFonts w:ascii="宋体" w:hAnsi="宋体"/>
                      <w:sz w:val="20"/>
                      <w:szCs w:val="20"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运用</w:t>
                  </w:r>
                </w:p>
              </w:tc>
              <w:tc>
                <w:tcPr>
                  <w:tcW w:w="1610" w:type="dxa"/>
                </w:tcPr>
                <w:p w14:paraId="49448D38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sz w:val="20"/>
                      <w:szCs w:val="20"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分清长句中的各个句子成分</w:t>
                  </w:r>
                </w:p>
              </w:tc>
            </w:tr>
            <w:tr w14:paraId="7C0BFFD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610" w:type="dxa"/>
                </w:tcPr>
                <w:p w14:paraId="718E995A">
                  <w:pPr>
                    <w:pStyle w:val="14"/>
                    <w:widowControl w:val="0"/>
                    <w:rPr>
                      <w:rFonts w:ascii="宋体" w:hAnsi="宋体"/>
                      <w:sz w:val="20"/>
                      <w:szCs w:val="20"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第十一课</w:t>
                  </w:r>
                </w:p>
              </w:tc>
              <w:tc>
                <w:tcPr>
                  <w:tcW w:w="1610" w:type="dxa"/>
                </w:tcPr>
                <w:p w14:paraId="069E0816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学习日语中否定句的分析和翻译方法</w:t>
                  </w:r>
                </w:p>
              </w:tc>
              <w:tc>
                <w:tcPr>
                  <w:tcW w:w="1610" w:type="dxa"/>
                </w:tcPr>
                <w:p w14:paraId="77A8E72A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理解含有因果、转折等关系的长句的特点</w:t>
                  </w:r>
                </w:p>
              </w:tc>
              <w:tc>
                <w:tcPr>
                  <w:tcW w:w="1610" w:type="dxa"/>
                </w:tcPr>
                <w:p w14:paraId="25B938C9">
                  <w:pPr>
                    <w:pStyle w:val="14"/>
                    <w:widowControl w:val="0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运用</w:t>
                  </w:r>
                </w:p>
              </w:tc>
              <w:tc>
                <w:tcPr>
                  <w:tcW w:w="1610" w:type="dxa"/>
                </w:tcPr>
                <w:p w14:paraId="7B003157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sz w:val="20"/>
                      <w:szCs w:val="20"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学会利用语法知识分析装运与否定谓语之间的修饰关系</w:t>
                  </w:r>
                </w:p>
                <w:p w14:paraId="4DC43AAE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</w:p>
              </w:tc>
            </w:tr>
            <w:tr w14:paraId="39CBE9C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610" w:type="dxa"/>
                </w:tcPr>
                <w:p w14:paraId="736405F8">
                  <w:pPr>
                    <w:pStyle w:val="14"/>
                    <w:widowControl w:val="0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第十二课</w:t>
                  </w:r>
                </w:p>
              </w:tc>
              <w:tc>
                <w:tcPr>
                  <w:tcW w:w="1610" w:type="dxa"/>
                </w:tcPr>
                <w:p w14:paraId="5F45F3F4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学会被动态句子的分析与翻译</w:t>
                  </w:r>
                </w:p>
              </w:tc>
              <w:tc>
                <w:tcPr>
                  <w:tcW w:w="1610" w:type="dxa"/>
                </w:tcPr>
                <w:p w14:paraId="19ACB108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sz w:val="20"/>
                      <w:szCs w:val="20"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能区分中日句中被动态的使用差别</w:t>
                  </w:r>
                </w:p>
              </w:tc>
              <w:tc>
                <w:tcPr>
                  <w:tcW w:w="1610" w:type="dxa"/>
                </w:tcPr>
                <w:p w14:paraId="11104E22">
                  <w:pPr>
                    <w:pStyle w:val="14"/>
                    <w:widowControl w:val="0"/>
                    <w:rPr>
                      <w:rFonts w:ascii="宋体" w:hAnsi="宋体"/>
                      <w:sz w:val="20"/>
                      <w:szCs w:val="20"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运用</w:t>
                  </w:r>
                </w:p>
              </w:tc>
              <w:tc>
                <w:tcPr>
                  <w:tcW w:w="1610" w:type="dxa"/>
                </w:tcPr>
                <w:p w14:paraId="39923A1B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sz w:val="20"/>
                      <w:szCs w:val="20"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理解中日句子中被动态的区别</w:t>
                  </w:r>
                </w:p>
              </w:tc>
            </w:tr>
            <w:tr w14:paraId="09343AF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610" w:type="dxa"/>
                </w:tcPr>
                <w:p w14:paraId="5ED4A4E6">
                  <w:pPr>
                    <w:pStyle w:val="14"/>
                    <w:widowControl w:val="0"/>
                    <w:rPr>
                      <w:rFonts w:ascii="宋体" w:hAnsi="宋体"/>
                      <w:sz w:val="20"/>
                      <w:szCs w:val="20"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第十三课</w:t>
                  </w:r>
                </w:p>
              </w:tc>
              <w:tc>
                <w:tcPr>
                  <w:tcW w:w="1610" w:type="dxa"/>
                </w:tcPr>
                <w:p w14:paraId="1EC70670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学会使役态句子的分析和翻译</w:t>
                  </w:r>
                </w:p>
              </w:tc>
              <w:tc>
                <w:tcPr>
                  <w:tcW w:w="1610" w:type="dxa"/>
                </w:tcPr>
                <w:p w14:paraId="544ECC54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日语句子中使役态的应用及分析</w:t>
                  </w:r>
                </w:p>
              </w:tc>
              <w:tc>
                <w:tcPr>
                  <w:tcW w:w="1610" w:type="dxa"/>
                </w:tcPr>
                <w:p w14:paraId="6E01A3F4">
                  <w:pPr>
                    <w:pStyle w:val="14"/>
                    <w:widowControl w:val="0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运用</w:t>
                  </w:r>
                </w:p>
              </w:tc>
              <w:tc>
                <w:tcPr>
                  <w:tcW w:w="1610" w:type="dxa"/>
                </w:tcPr>
                <w:p w14:paraId="4FFBC7FE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sz w:val="20"/>
                      <w:szCs w:val="20"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学会根据不同的语境选择正确的动词表达日语中的使役态</w:t>
                  </w:r>
                </w:p>
              </w:tc>
            </w:tr>
            <w:tr w14:paraId="317A33F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610" w:type="dxa"/>
                </w:tcPr>
                <w:p w14:paraId="33C6A11F">
                  <w:pPr>
                    <w:pStyle w:val="14"/>
                    <w:widowControl w:val="0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第十四课</w:t>
                  </w:r>
                </w:p>
              </w:tc>
              <w:tc>
                <w:tcPr>
                  <w:tcW w:w="1610" w:type="dxa"/>
                </w:tcPr>
                <w:p w14:paraId="661FED1D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学会词的增加、减少和词组的搭配</w:t>
                  </w:r>
                </w:p>
              </w:tc>
              <w:tc>
                <w:tcPr>
                  <w:tcW w:w="1610" w:type="dxa"/>
                </w:tcPr>
                <w:p w14:paraId="71D85CFB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根据不同的语境适当改变词量，并对词和词的搭配进行调整</w:t>
                  </w:r>
                </w:p>
              </w:tc>
              <w:tc>
                <w:tcPr>
                  <w:tcW w:w="1610" w:type="dxa"/>
                </w:tcPr>
                <w:p w14:paraId="1473F529">
                  <w:pPr>
                    <w:pStyle w:val="14"/>
                    <w:widowControl w:val="0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运用</w:t>
                  </w:r>
                </w:p>
              </w:tc>
              <w:tc>
                <w:tcPr>
                  <w:tcW w:w="1610" w:type="dxa"/>
                </w:tcPr>
                <w:p w14:paraId="3F90CFA1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sz w:val="20"/>
                      <w:szCs w:val="20"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学会分析语境，适当调整词量及其搭配</w:t>
                  </w:r>
                </w:p>
              </w:tc>
            </w:tr>
            <w:tr w14:paraId="113642C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610" w:type="dxa"/>
                </w:tcPr>
                <w:p w14:paraId="39FACACC">
                  <w:pPr>
                    <w:pStyle w:val="14"/>
                    <w:widowControl w:val="0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第十五课</w:t>
                  </w:r>
                </w:p>
              </w:tc>
              <w:tc>
                <w:tcPr>
                  <w:tcW w:w="1610" w:type="dxa"/>
                </w:tcPr>
                <w:p w14:paraId="6542C4F4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注意区分直译与意译</w:t>
                  </w:r>
                </w:p>
              </w:tc>
              <w:tc>
                <w:tcPr>
                  <w:tcW w:w="1610" w:type="dxa"/>
                </w:tcPr>
                <w:p w14:paraId="4D8AC478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sz w:val="20"/>
                      <w:szCs w:val="20"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了解全文的意境，选择直译或意译的方法</w:t>
                  </w:r>
                </w:p>
              </w:tc>
              <w:tc>
                <w:tcPr>
                  <w:tcW w:w="1610" w:type="dxa"/>
                </w:tcPr>
                <w:p w14:paraId="5FA004C9">
                  <w:pPr>
                    <w:pStyle w:val="14"/>
                    <w:widowControl w:val="0"/>
                    <w:rPr>
                      <w:rFonts w:ascii="宋体" w:hAnsi="宋体"/>
                      <w:sz w:val="20"/>
                      <w:szCs w:val="20"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运用</w:t>
                  </w:r>
                </w:p>
              </w:tc>
              <w:tc>
                <w:tcPr>
                  <w:tcW w:w="1610" w:type="dxa"/>
                </w:tcPr>
                <w:p w14:paraId="18E48104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掌握好直译和意译的“度”</w:t>
                  </w:r>
                </w:p>
              </w:tc>
            </w:tr>
          </w:tbl>
          <w:p w14:paraId="76824E83">
            <w:pPr>
              <w:pStyle w:val="14"/>
              <w:widowControl w:val="0"/>
              <w:jc w:val="left"/>
              <w:rPr>
                <w:rFonts w:ascii="仿宋" w:hAnsi="仿宋" w:eastAsia="仿宋" w:cs="仿宋"/>
              </w:rPr>
            </w:pPr>
          </w:p>
        </w:tc>
      </w:tr>
      <w:bookmarkEnd w:id="0"/>
      <w:bookmarkEnd w:id="1"/>
    </w:tbl>
    <w:p w14:paraId="52354DC4">
      <w:pPr>
        <w:pStyle w:val="17"/>
        <w:spacing w:before="81" w:after="163"/>
      </w:pPr>
      <w:r>
        <w:rPr>
          <w:rFonts w:hint="eastAsia"/>
        </w:rPr>
        <w:t>（二）教学单元对课程目标的支撑关系</w:t>
      </w:r>
    </w:p>
    <w:tbl>
      <w:tblPr>
        <w:tblStyle w:val="7"/>
        <w:tblW w:w="43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836"/>
        <w:gridCol w:w="1075"/>
        <w:gridCol w:w="1075"/>
        <w:gridCol w:w="1075"/>
        <w:gridCol w:w="1074"/>
        <w:gridCol w:w="1074"/>
      </w:tblGrid>
      <w:tr w14:paraId="6E136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794" w:hRule="atLeast"/>
          <w:jc w:val="center"/>
        </w:trPr>
        <w:tc>
          <w:tcPr>
            <w:tcW w:w="1834" w:type="dxa"/>
            <w:tcBorders>
              <w:top w:val="single" w:color="auto" w:sz="12" w:space="0"/>
              <w:left w:val="single" w:color="auto" w:sz="12" w:space="0"/>
              <w:tl2br w:val="single" w:color="auto" w:sz="4" w:space="0"/>
            </w:tcBorders>
          </w:tcPr>
          <w:p w14:paraId="29966259">
            <w:pPr>
              <w:pStyle w:val="13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0AE0367F">
            <w:pPr>
              <w:pStyle w:val="13"/>
              <w:ind w:right="210"/>
              <w:jc w:val="left"/>
              <w:rPr>
                <w:szCs w:val="16"/>
              </w:rPr>
            </w:pPr>
          </w:p>
          <w:p w14:paraId="7E85CCEC">
            <w:pPr>
              <w:pStyle w:val="13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教学单元</w:t>
            </w:r>
          </w:p>
        </w:tc>
        <w:tc>
          <w:tcPr>
            <w:tcW w:w="1074" w:type="dxa"/>
            <w:tcBorders>
              <w:top w:val="single" w:color="auto" w:sz="12" w:space="0"/>
            </w:tcBorders>
            <w:vAlign w:val="center"/>
          </w:tcPr>
          <w:p w14:paraId="6598841B">
            <w:pPr>
              <w:pStyle w:val="13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 xml:space="preserve"> </w:t>
            </w:r>
            <w:r>
              <w:rPr>
                <w:szCs w:val="16"/>
              </w:rPr>
              <w:t xml:space="preserve">   1</w:t>
            </w:r>
          </w:p>
        </w:tc>
        <w:tc>
          <w:tcPr>
            <w:tcW w:w="1074" w:type="dxa"/>
            <w:tcBorders>
              <w:top w:val="single" w:color="auto" w:sz="12" w:space="0"/>
            </w:tcBorders>
            <w:vAlign w:val="center"/>
          </w:tcPr>
          <w:p w14:paraId="5609833D">
            <w:pPr>
              <w:pStyle w:val="13"/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2</w:t>
            </w:r>
          </w:p>
        </w:tc>
        <w:tc>
          <w:tcPr>
            <w:tcW w:w="1074" w:type="dxa"/>
            <w:tcBorders>
              <w:top w:val="single" w:color="auto" w:sz="12" w:space="0"/>
            </w:tcBorders>
            <w:vAlign w:val="center"/>
          </w:tcPr>
          <w:p w14:paraId="23C6C844">
            <w:pPr>
              <w:pStyle w:val="13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 xml:space="preserve"> </w:t>
            </w:r>
            <w:r>
              <w:rPr>
                <w:szCs w:val="16"/>
              </w:rPr>
              <w:t xml:space="preserve">   3</w:t>
            </w:r>
          </w:p>
        </w:tc>
        <w:tc>
          <w:tcPr>
            <w:tcW w:w="1073" w:type="dxa"/>
            <w:tcBorders>
              <w:top w:val="single" w:color="auto" w:sz="12" w:space="0"/>
            </w:tcBorders>
            <w:vAlign w:val="center"/>
          </w:tcPr>
          <w:p w14:paraId="33156666">
            <w:pPr>
              <w:pStyle w:val="13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 xml:space="preserve"> </w:t>
            </w:r>
            <w:r>
              <w:rPr>
                <w:szCs w:val="16"/>
              </w:rPr>
              <w:t xml:space="preserve">   4</w:t>
            </w:r>
          </w:p>
        </w:tc>
        <w:tc>
          <w:tcPr>
            <w:tcW w:w="1073" w:type="dxa"/>
            <w:tcBorders>
              <w:top w:val="single" w:color="auto" w:sz="12" w:space="0"/>
            </w:tcBorders>
            <w:vAlign w:val="center"/>
          </w:tcPr>
          <w:p w14:paraId="45C7EE80">
            <w:pPr>
              <w:pStyle w:val="13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 xml:space="preserve"> </w:t>
            </w:r>
            <w:r>
              <w:rPr>
                <w:szCs w:val="16"/>
              </w:rPr>
              <w:t xml:space="preserve">   5</w:t>
            </w:r>
          </w:p>
        </w:tc>
      </w:tr>
      <w:tr w14:paraId="219BB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34" w:type="dxa"/>
            <w:tcBorders>
              <w:left w:val="single" w:color="auto" w:sz="12" w:space="0"/>
            </w:tcBorders>
          </w:tcPr>
          <w:p w14:paraId="2FBDDB88">
            <w:pPr>
              <w:pStyle w:val="14"/>
              <w:jc w:val="left"/>
            </w:pPr>
            <w:r>
              <w:rPr>
                <w:rFonts w:hint="eastAsia" w:ascii="宋体" w:hAnsi="宋体"/>
                <w:sz w:val="20"/>
                <w:szCs w:val="20"/>
              </w:rPr>
              <w:t>综合分析（一）</w:t>
            </w:r>
          </w:p>
        </w:tc>
        <w:tc>
          <w:tcPr>
            <w:tcW w:w="1074" w:type="dxa"/>
            <w:vAlign w:val="center"/>
          </w:tcPr>
          <w:p w14:paraId="786ED503">
            <w:pPr>
              <w:pStyle w:val="14"/>
            </w:pPr>
          </w:p>
        </w:tc>
        <w:tc>
          <w:tcPr>
            <w:tcW w:w="1074" w:type="dxa"/>
            <w:vAlign w:val="center"/>
          </w:tcPr>
          <w:p w14:paraId="37943175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vAlign w:val="center"/>
          </w:tcPr>
          <w:p w14:paraId="68F1D2A4">
            <w:pPr>
              <w:pStyle w:val="14"/>
            </w:pPr>
          </w:p>
        </w:tc>
        <w:tc>
          <w:tcPr>
            <w:tcW w:w="1073" w:type="dxa"/>
            <w:vAlign w:val="center"/>
          </w:tcPr>
          <w:p w14:paraId="20FC507B">
            <w:pPr>
              <w:pStyle w:val="14"/>
            </w:pPr>
          </w:p>
        </w:tc>
        <w:tc>
          <w:tcPr>
            <w:tcW w:w="1073" w:type="dxa"/>
            <w:vAlign w:val="center"/>
          </w:tcPr>
          <w:p w14:paraId="5A018960">
            <w:pPr>
              <w:pStyle w:val="14"/>
            </w:pPr>
          </w:p>
        </w:tc>
      </w:tr>
      <w:tr w14:paraId="2E9B5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34" w:type="dxa"/>
            <w:tcBorders>
              <w:left w:val="single" w:color="auto" w:sz="12" w:space="0"/>
            </w:tcBorders>
          </w:tcPr>
          <w:p w14:paraId="6E43803B">
            <w:pPr>
              <w:pStyle w:val="14"/>
              <w:jc w:val="left"/>
            </w:pPr>
            <w:r>
              <w:rPr>
                <w:rFonts w:hint="eastAsia" w:ascii="宋体" w:hAnsi="宋体"/>
                <w:sz w:val="20"/>
                <w:szCs w:val="20"/>
              </w:rPr>
              <w:t>综合分析（二）</w:t>
            </w:r>
          </w:p>
        </w:tc>
        <w:tc>
          <w:tcPr>
            <w:tcW w:w="1074" w:type="dxa"/>
            <w:vAlign w:val="center"/>
          </w:tcPr>
          <w:p w14:paraId="3833F6F2">
            <w:pPr>
              <w:pStyle w:val="14"/>
            </w:pPr>
          </w:p>
        </w:tc>
        <w:tc>
          <w:tcPr>
            <w:tcW w:w="1074" w:type="dxa"/>
            <w:vAlign w:val="center"/>
          </w:tcPr>
          <w:p w14:paraId="0FECAF07">
            <w:pPr>
              <w:pStyle w:val="14"/>
            </w:pPr>
          </w:p>
        </w:tc>
        <w:tc>
          <w:tcPr>
            <w:tcW w:w="1074" w:type="dxa"/>
            <w:vAlign w:val="center"/>
          </w:tcPr>
          <w:p w14:paraId="22F64818">
            <w:pPr>
              <w:pStyle w:val="14"/>
            </w:pPr>
          </w:p>
        </w:tc>
        <w:tc>
          <w:tcPr>
            <w:tcW w:w="1073" w:type="dxa"/>
            <w:vAlign w:val="center"/>
          </w:tcPr>
          <w:p w14:paraId="74FA59A3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3" w:type="dxa"/>
            <w:vAlign w:val="center"/>
          </w:tcPr>
          <w:p w14:paraId="4418E6E9">
            <w:pPr>
              <w:pStyle w:val="14"/>
            </w:pPr>
          </w:p>
        </w:tc>
      </w:tr>
      <w:tr w14:paraId="03D29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34" w:type="dxa"/>
            <w:tcBorders>
              <w:left w:val="single" w:color="auto" w:sz="12" w:space="0"/>
            </w:tcBorders>
          </w:tcPr>
          <w:p w14:paraId="185B5B84">
            <w:pPr>
              <w:pStyle w:val="14"/>
              <w:jc w:val="left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综合分析（三）</w:t>
            </w:r>
          </w:p>
        </w:tc>
        <w:tc>
          <w:tcPr>
            <w:tcW w:w="1074" w:type="dxa"/>
            <w:vAlign w:val="center"/>
          </w:tcPr>
          <w:p w14:paraId="4DEA4A96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vAlign w:val="center"/>
          </w:tcPr>
          <w:p w14:paraId="4804FEF4">
            <w:pPr>
              <w:pStyle w:val="14"/>
            </w:pPr>
          </w:p>
        </w:tc>
        <w:tc>
          <w:tcPr>
            <w:tcW w:w="1074" w:type="dxa"/>
            <w:vAlign w:val="center"/>
          </w:tcPr>
          <w:p w14:paraId="5E7FFDC7">
            <w:pPr>
              <w:pStyle w:val="14"/>
            </w:pPr>
          </w:p>
        </w:tc>
        <w:tc>
          <w:tcPr>
            <w:tcW w:w="1073" w:type="dxa"/>
            <w:vAlign w:val="center"/>
          </w:tcPr>
          <w:p w14:paraId="172B8B70">
            <w:pPr>
              <w:pStyle w:val="14"/>
            </w:pPr>
          </w:p>
        </w:tc>
        <w:tc>
          <w:tcPr>
            <w:tcW w:w="1073" w:type="dxa"/>
            <w:vAlign w:val="center"/>
          </w:tcPr>
          <w:p w14:paraId="6719AEE5">
            <w:pPr>
              <w:pStyle w:val="14"/>
            </w:pPr>
            <w:r>
              <w:rPr>
                <w:rFonts w:hint="eastAsia"/>
              </w:rPr>
              <w:t>√</w:t>
            </w:r>
          </w:p>
        </w:tc>
      </w:tr>
      <w:tr w14:paraId="74A2F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34" w:type="dxa"/>
            <w:tcBorders>
              <w:left w:val="single" w:color="auto" w:sz="12" w:space="0"/>
            </w:tcBorders>
          </w:tcPr>
          <w:p w14:paraId="26661E36">
            <w:pPr>
              <w:pStyle w:val="14"/>
              <w:jc w:val="left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第十一课 否定句的分析和翻译</w:t>
            </w:r>
          </w:p>
        </w:tc>
        <w:tc>
          <w:tcPr>
            <w:tcW w:w="1074" w:type="dxa"/>
            <w:vAlign w:val="center"/>
          </w:tcPr>
          <w:p w14:paraId="36A1D668">
            <w:pPr>
              <w:pStyle w:val="14"/>
            </w:pPr>
          </w:p>
        </w:tc>
        <w:tc>
          <w:tcPr>
            <w:tcW w:w="1074" w:type="dxa"/>
            <w:vAlign w:val="center"/>
          </w:tcPr>
          <w:p w14:paraId="79AB36FC">
            <w:pPr>
              <w:pStyle w:val="14"/>
            </w:pPr>
          </w:p>
        </w:tc>
        <w:tc>
          <w:tcPr>
            <w:tcW w:w="1074" w:type="dxa"/>
            <w:vAlign w:val="center"/>
          </w:tcPr>
          <w:p w14:paraId="38694E45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3" w:type="dxa"/>
            <w:vAlign w:val="center"/>
          </w:tcPr>
          <w:p w14:paraId="3AEC761F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3" w:type="dxa"/>
            <w:vAlign w:val="center"/>
          </w:tcPr>
          <w:p w14:paraId="1C7C60ED">
            <w:pPr>
              <w:pStyle w:val="14"/>
            </w:pPr>
          </w:p>
        </w:tc>
      </w:tr>
      <w:tr w14:paraId="25A94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34" w:type="dxa"/>
            <w:tcBorders>
              <w:left w:val="single" w:color="auto" w:sz="12" w:space="0"/>
            </w:tcBorders>
          </w:tcPr>
          <w:p w14:paraId="44331E93">
            <w:pPr>
              <w:pStyle w:val="14"/>
              <w:jc w:val="left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第十二课 被动态句子的分析与翻译</w:t>
            </w:r>
          </w:p>
        </w:tc>
        <w:tc>
          <w:tcPr>
            <w:tcW w:w="1074" w:type="dxa"/>
            <w:vAlign w:val="center"/>
          </w:tcPr>
          <w:p w14:paraId="7828BEB2">
            <w:pPr>
              <w:pStyle w:val="14"/>
            </w:pPr>
          </w:p>
        </w:tc>
        <w:tc>
          <w:tcPr>
            <w:tcW w:w="1074" w:type="dxa"/>
            <w:vAlign w:val="center"/>
          </w:tcPr>
          <w:p w14:paraId="4E28B5F0">
            <w:pPr>
              <w:pStyle w:val="14"/>
            </w:pPr>
          </w:p>
        </w:tc>
        <w:tc>
          <w:tcPr>
            <w:tcW w:w="1074" w:type="dxa"/>
            <w:vAlign w:val="center"/>
          </w:tcPr>
          <w:p w14:paraId="0AD89B06">
            <w:pPr>
              <w:pStyle w:val="14"/>
            </w:pPr>
          </w:p>
        </w:tc>
        <w:tc>
          <w:tcPr>
            <w:tcW w:w="1073" w:type="dxa"/>
            <w:vAlign w:val="center"/>
          </w:tcPr>
          <w:p w14:paraId="32BFD8B2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3" w:type="dxa"/>
            <w:vAlign w:val="center"/>
          </w:tcPr>
          <w:p w14:paraId="04E90241">
            <w:pPr>
              <w:pStyle w:val="14"/>
            </w:pPr>
          </w:p>
        </w:tc>
      </w:tr>
      <w:tr w14:paraId="502CE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34" w:type="dxa"/>
            <w:tcBorders>
              <w:left w:val="single" w:color="auto" w:sz="12" w:space="0"/>
            </w:tcBorders>
          </w:tcPr>
          <w:p w14:paraId="27F74AAD">
            <w:pPr>
              <w:pStyle w:val="14"/>
              <w:jc w:val="left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第十三课 使役态句子的分析和翻译</w:t>
            </w:r>
          </w:p>
        </w:tc>
        <w:tc>
          <w:tcPr>
            <w:tcW w:w="1074" w:type="dxa"/>
            <w:vAlign w:val="center"/>
          </w:tcPr>
          <w:p w14:paraId="54F89B59">
            <w:pPr>
              <w:pStyle w:val="14"/>
            </w:pPr>
          </w:p>
        </w:tc>
        <w:tc>
          <w:tcPr>
            <w:tcW w:w="1074" w:type="dxa"/>
            <w:vAlign w:val="center"/>
          </w:tcPr>
          <w:p w14:paraId="606C90A1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vAlign w:val="center"/>
          </w:tcPr>
          <w:p w14:paraId="3FF54E86">
            <w:pPr>
              <w:pStyle w:val="14"/>
            </w:pPr>
          </w:p>
        </w:tc>
        <w:tc>
          <w:tcPr>
            <w:tcW w:w="1073" w:type="dxa"/>
            <w:vAlign w:val="center"/>
          </w:tcPr>
          <w:p w14:paraId="40D242F2">
            <w:pPr>
              <w:pStyle w:val="14"/>
            </w:pPr>
          </w:p>
        </w:tc>
        <w:tc>
          <w:tcPr>
            <w:tcW w:w="1073" w:type="dxa"/>
            <w:vAlign w:val="center"/>
          </w:tcPr>
          <w:p w14:paraId="5D5F16B4">
            <w:pPr>
              <w:pStyle w:val="14"/>
            </w:pPr>
            <w:r>
              <w:rPr>
                <w:rFonts w:hint="eastAsia"/>
              </w:rPr>
              <w:t>√</w:t>
            </w:r>
          </w:p>
        </w:tc>
      </w:tr>
      <w:tr w14:paraId="715A9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34" w:type="dxa"/>
            <w:tcBorders>
              <w:left w:val="single" w:color="auto" w:sz="12" w:space="0"/>
            </w:tcBorders>
          </w:tcPr>
          <w:p w14:paraId="2057E7DC">
            <w:pPr>
              <w:pStyle w:val="14"/>
              <w:jc w:val="left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第十四课 词的增加、减少和词组的搭配</w:t>
            </w:r>
          </w:p>
        </w:tc>
        <w:tc>
          <w:tcPr>
            <w:tcW w:w="1074" w:type="dxa"/>
            <w:vAlign w:val="center"/>
          </w:tcPr>
          <w:p w14:paraId="676694D2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vAlign w:val="center"/>
          </w:tcPr>
          <w:p w14:paraId="65683B71">
            <w:pPr>
              <w:pStyle w:val="14"/>
            </w:pPr>
          </w:p>
        </w:tc>
        <w:tc>
          <w:tcPr>
            <w:tcW w:w="1074" w:type="dxa"/>
            <w:vAlign w:val="center"/>
          </w:tcPr>
          <w:p w14:paraId="6ABD4141">
            <w:pPr>
              <w:pStyle w:val="14"/>
            </w:pPr>
          </w:p>
        </w:tc>
        <w:tc>
          <w:tcPr>
            <w:tcW w:w="1073" w:type="dxa"/>
            <w:vAlign w:val="center"/>
          </w:tcPr>
          <w:p w14:paraId="797D4755">
            <w:pPr>
              <w:pStyle w:val="14"/>
            </w:pPr>
          </w:p>
        </w:tc>
        <w:tc>
          <w:tcPr>
            <w:tcW w:w="1073" w:type="dxa"/>
            <w:vAlign w:val="center"/>
          </w:tcPr>
          <w:p w14:paraId="56267739">
            <w:pPr>
              <w:pStyle w:val="14"/>
            </w:pPr>
          </w:p>
        </w:tc>
      </w:tr>
      <w:tr w14:paraId="3B239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34" w:type="dxa"/>
            <w:tcBorders>
              <w:left w:val="single" w:color="auto" w:sz="12" w:space="0"/>
              <w:bottom w:val="single" w:color="auto" w:sz="12" w:space="0"/>
            </w:tcBorders>
          </w:tcPr>
          <w:p w14:paraId="1AC1F49D">
            <w:pPr>
              <w:pStyle w:val="14"/>
              <w:jc w:val="left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第十五课 直译与意译</w:t>
            </w:r>
          </w:p>
        </w:tc>
        <w:tc>
          <w:tcPr>
            <w:tcW w:w="1074" w:type="dxa"/>
            <w:tcBorders>
              <w:bottom w:val="single" w:color="auto" w:sz="12" w:space="0"/>
            </w:tcBorders>
            <w:vAlign w:val="center"/>
          </w:tcPr>
          <w:p w14:paraId="1DD1E7BB">
            <w:pPr>
              <w:pStyle w:val="14"/>
            </w:pPr>
          </w:p>
        </w:tc>
        <w:tc>
          <w:tcPr>
            <w:tcW w:w="1074" w:type="dxa"/>
            <w:tcBorders>
              <w:bottom w:val="single" w:color="auto" w:sz="12" w:space="0"/>
            </w:tcBorders>
            <w:vAlign w:val="center"/>
          </w:tcPr>
          <w:p w14:paraId="18B3A95B">
            <w:pPr>
              <w:pStyle w:val="14"/>
            </w:pPr>
          </w:p>
        </w:tc>
        <w:tc>
          <w:tcPr>
            <w:tcW w:w="1074" w:type="dxa"/>
            <w:tcBorders>
              <w:bottom w:val="single" w:color="auto" w:sz="12" w:space="0"/>
            </w:tcBorders>
            <w:vAlign w:val="center"/>
          </w:tcPr>
          <w:p w14:paraId="3F74D948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3" w:type="dxa"/>
            <w:tcBorders>
              <w:bottom w:val="single" w:color="auto" w:sz="12" w:space="0"/>
            </w:tcBorders>
            <w:vAlign w:val="center"/>
          </w:tcPr>
          <w:p w14:paraId="00C0751A">
            <w:pPr>
              <w:pStyle w:val="14"/>
            </w:pPr>
          </w:p>
        </w:tc>
        <w:tc>
          <w:tcPr>
            <w:tcW w:w="1073" w:type="dxa"/>
            <w:tcBorders>
              <w:bottom w:val="single" w:color="auto" w:sz="12" w:space="0"/>
            </w:tcBorders>
            <w:vAlign w:val="center"/>
          </w:tcPr>
          <w:p w14:paraId="72592708">
            <w:pPr>
              <w:pStyle w:val="14"/>
            </w:pPr>
            <w:r>
              <w:rPr>
                <w:rFonts w:hint="eastAsia"/>
              </w:rPr>
              <w:t>√</w:t>
            </w:r>
          </w:p>
        </w:tc>
      </w:tr>
    </w:tbl>
    <w:p w14:paraId="74B44632">
      <w:pPr>
        <w:pStyle w:val="17"/>
        <w:spacing w:before="326" w:beforeLines="100" w:after="163"/>
      </w:pPr>
    </w:p>
    <w:p w14:paraId="42F5D4EA">
      <w:pPr>
        <w:pStyle w:val="17"/>
        <w:spacing w:before="326" w:beforeLines="100" w:after="163"/>
      </w:pPr>
    </w:p>
    <w:p w14:paraId="5ABFEF30">
      <w:pPr>
        <w:pStyle w:val="17"/>
        <w:spacing w:before="326" w:beforeLines="100" w:after="163"/>
      </w:pPr>
      <w:r>
        <w:rPr>
          <w:rFonts w:hint="eastAsia"/>
        </w:rPr>
        <w:t>（三）课程教学方法与学时分配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85" w:type="dxa"/>
          <w:bottom w:w="0" w:type="dxa"/>
          <w:right w:w="85" w:type="dxa"/>
        </w:tblCellMar>
      </w:tblPr>
      <w:tblGrid>
        <w:gridCol w:w="1555"/>
        <w:gridCol w:w="2974"/>
        <w:gridCol w:w="1700"/>
        <w:gridCol w:w="710"/>
        <w:gridCol w:w="655"/>
        <w:gridCol w:w="702"/>
      </w:tblGrid>
      <w:tr w14:paraId="20D0C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552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1047EB9E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教学单元</w:t>
            </w:r>
          </w:p>
        </w:tc>
        <w:tc>
          <w:tcPr>
            <w:tcW w:w="2967" w:type="dxa"/>
            <w:vMerge w:val="restart"/>
            <w:tcBorders>
              <w:top w:val="single" w:color="auto" w:sz="12" w:space="0"/>
            </w:tcBorders>
            <w:vAlign w:val="center"/>
          </w:tcPr>
          <w:p w14:paraId="3226C472">
            <w:pPr>
              <w:pStyle w:val="13"/>
              <w:widowControl w:val="0"/>
              <w:rPr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教与学方式</w:t>
            </w:r>
          </w:p>
        </w:tc>
        <w:tc>
          <w:tcPr>
            <w:tcW w:w="1696" w:type="dxa"/>
            <w:vMerge w:val="restart"/>
            <w:tcBorders>
              <w:top w:val="single" w:color="auto" w:sz="12" w:space="0"/>
            </w:tcBorders>
            <w:vAlign w:val="center"/>
          </w:tcPr>
          <w:p w14:paraId="24EA7652">
            <w:pPr>
              <w:pStyle w:val="13"/>
              <w:widowControl w:val="0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考核方式</w:t>
            </w:r>
          </w:p>
        </w:tc>
        <w:tc>
          <w:tcPr>
            <w:tcW w:w="2061" w:type="dxa"/>
            <w:gridSpan w:val="3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44B1E29">
            <w:pPr>
              <w:pStyle w:val="13"/>
              <w:widowControl w:val="0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学时</w:t>
            </w:r>
            <w:r>
              <w:rPr>
                <w:rFonts w:hint="eastAsia" w:ascii="黑体" w:hAnsi="黑体"/>
                <w:bCs w:val="0"/>
                <w:szCs w:val="21"/>
              </w:rPr>
              <w:t>分配</w:t>
            </w:r>
          </w:p>
        </w:tc>
      </w:tr>
      <w:tr w14:paraId="4D513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552" w:type="dxa"/>
            <w:vMerge w:val="continue"/>
            <w:tcBorders>
              <w:left w:val="single" w:color="auto" w:sz="12" w:space="0"/>
            </w:tcBorders>
          </w:tcPr>
          <w:p w14:paraId="05A51759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2967" w:type="dxa"/>
            <w:vMerge w:val="continue"/>
          </w:tcPr>
          <w:p w14:paraId="297D6615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1696" w:type="dxa"/>
            <w:vMerge w:val="continue"/>
          </w:tcPr>
          <w:p w14:paraId="4B040DCF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4AC208AC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理论</w:t>
            </w:r>
          </w:p>
        </w:tc>
        <w:tc>
          <w:tcPr>
            <w:tcW w:w="653" w:type="dxa"/>
            <w:vAlign w:val="center"/>
          </w:tcPr>
          <w:p w14:paraId="10D38E8C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实践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1F103F18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小计</w:t>
            </w:r>
          </w:p>
        </w:tc>
      </w:tr>
      <w:tr w14:paraId="56130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552" w:type="dxa"/>
            <w:tcBorders>
              <w:left w:val="single" w:color="auto" w:sz="12" w:space="0"/>
            </w:tcBorders>
            <w:vAlign w:val="center"/>
          </w:tcPr>
          <w:p w14:paraId="3EF6BE0D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sz w:val="20"/>
                <w:szCs w:val="20"/>
              </w:rPr>
              <w:t>综合分析（一）</w:t>
            </w:r>
          </w:p>
        </w:tc>
        <w:tc>
          <w:tcPr>
            <w:tcW w:w="2967" w:type="dxa"/>
            <w:vAlign w:val="center"/>
          </w:tcPr>
          <w:p w14:paraId="1AE5D317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讲述教学法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问题导向学习</w:t>
            </w:r>
          </w:p>
        </w:tc>
        <w:tc>
          <w:tcPr>
            <w:tcW w:w="1696" w:type="dxa"/>
            <w:vAlign w:val="center"/>
          </w:tcPr>
          <w:p w14:paraId="1671CBB1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考试</w:t>
            </w:r>
          </w:p>
        </w:tc>
        <w:tc>
          <w:tcPr>
            <w:tcW w:w="708" w:type="dxa"/>
            <w:vAlign w:val="center"/>
          </w:tcPr>
          <w:p w14:paraId="7DDFCF1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4</w:t>
            </w:r>
          </w:p>
        </w:tc>
        <w:tc>
          <w:tcPr>
            <w:tcW w:w="653" w:type="dxa"/>
            <w:vAlign w:val="center"/>
          </w:tcPr>
          <w:p w14:paraId="0E18152D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4CF109D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 w14:paraId="13ACC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552" w:type="dxa"/>
            <w:tcBorders>
              <w:left w:val="single" w:color="auto" w:sz="12" w:space="0"/>
            </w:tcBorders>
            <w:vAlign w:val="center"/>
          </w:tcPr>
          <w:p w14:paraId="336D78A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sz w:val="20"/>
                <w:szCs w:val="20"/>
              </w:rPr>
              <w:t>综合分析（二）</w:t>
            </w:r>
          </w:p>
        </w:tc>
        <w:tc>
          <w:tcPr>
            <w:tcW w:w="2967" w:type="dxa"/>
            <w:vAlign w:val="center"/>
          </w:tcPr>
          <w:p w14:paraId="09BAD96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sz w:val="20"/>
                <w:szCs w:val="20"/>
              </w:rPr>
              <w:t xml:space="preserve">讲述教学法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问题导向学习</w:t>
            </w:r>
          </w:p>
        </w:tc>
        <w:tc>
          <w:tcPr>
            <w:tcW w:w="1696" w:type="dxa"/>
            <w:vAlign w:val="center"/>
          </w:tcPr>
          <w:p w14:paraId="6456A219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sz w:val="20"/>
                <w:szCs w:val="20"/>
              </w:rPr>
              <w:t>考试</w:t>
            </w:r>
          </w:p>
        </w:tc>
        <w:tc>
          <w:tcPr>
            <w:tcW w:w="708" w:type="dxa"/>
            <w:vAlign w:val="center"/>
          </w:tcPr>
          <w:p w14:paraId="60329DAE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4</w:t>
            </w:r>
          </w:p>
        </w:tc>
        <w:tc>
          <w:tcPr>
            <w:tcW w:w="653" w:type="dxa"/>
            <w:vAlign w:val="center"/>
          </w:tcPr>
          <w:p w14:paraId="10D7F99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488E3C51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 w14:paraId="42511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552" w:type="dxa"/>
            <w:tcBorders>
              <w:left w:val="single" w:color="auto" w:sz="12" w:space="0"/>
            </w:tcBorders>
            <w:vAlign w:val="center"/>
          </w:tcPr>
          <w:p w14:paraId="6658EB6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sz w:val="20"/>
                <w:szCs w:val="20"/>
              </w:rPr>
              <w:t>综合分析（三）</w:t>
            </w:r>
          </w:p>
        </w:tc>
        <w:tc>
          <w:tcPr>
            <w:tcW w:w="2967" w:type="dxa"/>
            <w:vAlign w:val="center"/>
          </w:tcPr>
          <w:p w14:paraId="7C4AF4A7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讲述教学法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问题导向学习</w:t>
            </w:r>
          </w:p>
        </w:tc>
        <w:tc>
          <w:tcPr>
            <w:tcW w:w="1696" w:type="dxa"/>
            <w:vAlign w:val="center"/>
          </w:tcPr>
          <w:p w14:paraId="054C380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sz w:val="20"/>
                <w:szCs w:val="20"/>
              </w:rPr>
              <w:t>考试</w:t>
            </w:r>
          </w:p>
        </w:tc>
        <w:tc>
          <w:tcPr>
            <w:tcW w:w="708" w:type="dxa"/>
            <w:vAlign w:val="center"/>
          </w:tcPr>
          <w:p w14:paraId="629893A4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4</w:t>
            </w:r>
          </w:p>
        </w:tc>
        <w:tc>
          <w:tcPr>
            <w:tcW w:w="653" w:type="dxa"/>
            <w:vAlign w:val="center"/>
          </w:tcPr>
          <w:p w14:paraId="1264E6D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43F8FEB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 w14:paraId="4A267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35" w:hRule="atLeast"/>
          <w:jc w:val="center"/>
        </w:trPr>
        <w:tc>
          <w:tcPr>
            <w:tcW w:w="1552" w:type="dxa"/>
            <w:tcBorders>
              <w:left w:val="single" w:color="auto" w:sz="12" w:space="0"/>
            </w:tcBorders>
            <w:vAlign w:val="center"/>
          </w:tcPr>
          <w:p w14:paraId="3B9F0B92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sz w:val="20"/>
                <w:szCs w:val="20"/>
              </w:rPr>
              <w:t xml:space="preserve">第十一课 </w:t>
            </w:r>
            <w:r>
              <w:rPr>
                <w:rFonts w:hint="eastAsia"/>
                <w:color w:val="000000"/>
                <w:sz w:val="20"/>
                <w:szCs w:val="20"/>
              </w:rPr>
              <w:t>否定句的分析和翻译</w:t>
            </w:r>
          </w:p>
        </w:tc>
        <w:tc>
          <w:tcPr>
            <w:tcW w:w="2967" w:type="dxa"/>
            <w:vAlign w:val="center"/>
          </w:tcPr>
          <w:p w14:paraId="5F8BBBD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sz w:val="20"/>
                <w:szCs w:val="20"/>
              </w:rPr>
              <w:t>讨论教学法 专题学习</w:t>
            </w:r>
          </w:p>
        </w:tc>
        <w:tc>
          <w:tcPr>
            <w:tcW w:w="1696" w:type="dxa"/>
            <w:vAlign w:val="center"/>
          </w:tcPr>
          <w:p w14:paraId="484DAE86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sz w:val="20"/>
                <w:szCs w:val="20"/>
              </w:rPr>
              <w:t>考试</w:t>
            </w:r>
          </w:p>
        </w:tc>
        <w:tc>
          <w:tcPr>
            <w:tcW w:w="708" w:type="dxa"/>
            <w:vAlign w:val="center"/>
          </w:tcPr>
          <w:p w14:paraId="0EB17B0D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4</w:t>
            </w:r>
          </w:p>
        </w:tc>
        <w:tc>
          <w:tcPr>
            <w:tcW w:w="653" w:type="dxa"/>
            <w:vAlign w:val="center"/>
          </w:tcPr>
          <w:p w14:paraId="49CA5CB1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7352CA44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 w14:paraId="7D79E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35" w:hRule="atLeast"/>
          <w:jc w:val="center"/>
        </w:trPr>
        <w:tc>
          <w:tcPr>
            <w:tcW w:w="1552" w:type="dxa"/>
            <w:tcBorders>
              <w:left w:val="single" w:color="auto" w:sz="12" w:space="0"/>
            </w:tcBorders>
            <w:vAlign w:val="center"/>
          </w:tcPr>
          <w:p w14:paraId="74E44B68">
            <w:pPr>
              <w:widowControl w:val="0"/>
              <w:snapToGrid w:val="0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第十二课 被动态句子的分析与翻译</w:t>
            </w:r>
          </w:p>
        </w:tc>
        <w:tc>
          <w:tcPr>
            <w:tcW w:w="2967" w:type="dxa"/>
            <w:vAlign w:val="center"/>
          </w:tcPr>
          <w:p w14:paraId="752DBE21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讨论教学法 专题学习</w:t>
            </w:r>
          </w:p>
        </w:tc>
        <w:tc>
          <w:tcPr>
            <w:tcW w:w="1696" w:type="dxa"/>
            <w:vAlign w:val="center"/>
          </w:tcPr>
          <w:p w14:paraId="76E3E0CF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考试</w:t>
            </w:r>
          </w:p>
        </w:tc>
        <w:tc>
          <w:tcPr>
            <w:tcW w:w="708" w:type="dxa"/>
            <w:vAlign w:val="center"/>
          </w:tcPr>
          <w:p w14:paraId="1F3469E6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4</w:t>
            </w:r>
          </w:p>
        </w:tc>
        <w:tc>
          <w:tcPr>
            <w:tcW w:w="653" w:type="dxa"/>
            <w:vAlign w:val="center"/>
          </w:tcPr>
          <w:p w14:paraId="38CF6A68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0831E70F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 w14:paraId="28086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35" w:hRule="atLeast"/>
          <w:jc w:val="center"/>
        </w:trPr>
        <w:tc>
          <w:tcPr>
            <w:tcW w:w="1552" w:type="dxa"/>
            <w:tcBorders>
              <w:left w:val="single" w:color="auto" w:sz="12" w:space="0"/>
            </w:tcBorders>
            <w:vAlign w:val="center"/>
          </w:tcPr>
          <w:p w14:paraId="5DBDAF56">
            <w:pPr>
              <w:widowControl w:val="0"/>
              <w:snapToGrid w:val="0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第十三课 使役态句子的分析和翻译</w:t>
            </w:r>
          </w:p>
        </w:tc>
        <w:tc>
          <w:tcPr>
            <w:tcW w:w="2967" w:type="dxa"/>
            <w:vAlign w:val="center"/>
          </w:tcPr>
          <w:p w14:paraId="50FC59F9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讲述教学法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问题导向学习</w:t>
            </w:r>
          </w:p>
        </w:tc>
        <w:tc>
          <w:tcPr>
            <w:tcW w:w="1696" w:type="dxa"/>
            <w:vAlign w:val="center"/>
          </w:tcPr>
          <w:p w14:paraId="7C14763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考试</w:t>
            </w:r>
          </w:p>
        </w:tc>
        <w:tc>
          <w:tcPr>
            <w:tcW w:w="708" w:type="dxa"/>
            <w:vAlign w:val="center"/>
          </w:tcPr>
          <w:p w14:paraId="380887EE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4</w:t>
            </w:r>
          </w:p>
        </w:tc>
        <w:tc>
          <w:tcPr>
            <w:tcW w:w="653" w:type="dxa"/>
            <w:vAlign w:val="center"/>
          </w:tcPr>
          <w:p w14:paraId="3A538ED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329C0F6C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 w14:paraId="205C5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35" w:hRule="atLeast"/>
          <w:jc w:val="center"/>
        </w:trPr>
        <w:tc>
          <w:tcPr>
            <w:tcW w:w="1552" w:type="dxa"/>
            <w:tcBorders>
              <w:left w:val="single" w:color="auto" w:sz="12" w:space="0"/>
            </w:tcBorders>
            <w:vAlign w:val="center"/>
          </w:tcPr>
          <w:p w14:paraId="714B0C98">
            <w:pPr>
              <w:widowControl w:val="0"/>
              <w:snapToGrid w:val="0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第十四课 词的增加、减少和词组的搭配</w:t>
            </w:r>
          </w:p>
        </w:tc>
        <w:tc>
          <w:tcPr>
            <w:tcW w:w="2967" w:type="dxa"/>
            <w:vAlign w:val="center"/>
          </w:tcPr>
          <w:p w14:paraId="672F0FB6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讨论教学法 专题学习</w:t>
            </w:r>
          </w:p>
        </w:tc>
        <w:tc>
          <w:tcPr>
            <w:tcW w:w="1696" w:type="dxa"/>
            <w:vAlign w:val="center"/>
          </w:tcPr>
          <w:p w14:paraId="137AB9EC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考试</w:t>
            </w:r>
          </w:p>
        </w:tc>
        <w:tc>
          <w:tcPr>
            <w:tcW w:w="708" w:type="dxa"/>
            <w:vAlign w:val="center"/>
          </w:tcPr>
          <w:p w14:paraId="663B4F6D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4</w:t>
            </w:r>
          </w:p>
        </w:tc>
        <w:tc>
          <w:tcPr>
            <w:tcW w:w="653" w:type="dxa"/>
            <w:vAlign w:val="center"/>
          </w:tcPr>
          <w:p w14:paraId="0C62E76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49536BD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 w14:paraId="36F2B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35" w:hRule="atLeast"/>
          <w:jc w:val="center"/>
        </w:trPr>
        <w:tc>
          <w:tcPr>
            <w:tcW w:w="1552" w:type="dxa"/>
            <w:tcBorders>
              <w:left w:val="single" w:color="auto" w:sz="12" w:space="0"/>
            </w:tcBorders>
            <w:vAlign w:val="center"/>
          </w:tcPr>
          <w:p w14:paraId="24CC1DB0">
            <w:pPr>
              <w:widowControl w:val="0"/>
              <w:snapToGrid w:val="0"/>
              <w:jc w:val="both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第十五课 直译与意译</w:t>
            </w:r>
          </w:p>
        </w:tc>
        <w:tc>
          <w:tcPr>
            <w:tcW w:w="2967" w:type="dxa"/>
            <w:vAlign w:val="center"/>
          </w:tcPr>
          <w:p w14:paraId="459BBCB5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讨论教学法 专题学习</w:t>
            </w:r>
          </w:p>
        </w:tc>
        <w:tc>
          <w:tcPr>
            <w:tcW w:w="1696" w:type="dxa"/>
            <w:vAlign w:val="center"/>
          </w:tcPr>
          <w:p w14:paraId="02A34872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考试</w:t>
            </w:r>
          </w:p>
        </w:tc>
        <w:tc>
          <w:tcPr>
            <w:tcW w:w="708" w:type="dxa"/>
            <w:vAlign w:val="center"/>
          </w:tcPr>
          <w:p w14:paraId="4D1EE4F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4</w:t>
            </w:r>
          </w:p>
        </w:tc>
        <w:tc>
          <w:tcPr>
            <w:tcW w:w="653" w:type="dxa"/>
            <w:vAlign w:val="center"/>
          </w:tcPr>
          <w:p w14:paraId="35432111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6B585646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 w14:paraId="34816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6215" w:type="dxa"/>
            <w:gridSpan w:val="3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994175A">
            <w:pPr>
              <w:pStyle w:val="13"/>
              <w:widowControl w:val="0"/>
            </w:pPr>
            <w:r>
              <w:rPr>
                <w:rFonts w:hint="eastAsia"/>
              </w:rPr>
              <w:t>合计</w:t>
            </w:r>
          </w:p>
        </w:tc>
        <w:tc>
          <w:tcPr>
            <w:tcW w:w="708" w:type="dxa"/>
            <w:tcBorders>
              <w:bottom w:val="single" w:color="auto" w:sz="12" w:space="0"/>
            </w:tcBorders>
            <w:vAlign w:val="center"/>
          </w:tcPr>
          <w:p w14:paraId="1554EAD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32</w:t>
            </w:r>
          </w:p>
        </w:tc>
        <w:tc>
          <w:tcPr>
            <w:tcW w:w="653" w:type="dxa"/>
            <w:tcBorders>
              <w:bottom w:val="single" w:color="auto" w:sz="12" w:space="0"/>
            </w:tcBorders>
            <w:vAlign w:val="center"/>
          </w:tcPr>
          <w:p w14:paraId="75C137E1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0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089986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</w:tbl>
    <w:p w14:paraId="4A6079A1">
      <w:pPr>
        <w:pStyle w:val="16"/>
        <w:spacing w:before="326" w:beforeLines="100" w:line="360" w:lineRule="auto"/>
        <w:ind w:firstLine="140" w:firstLineChars="50"/>
        <w:rPr>
          <w:rFonts w:ascii="黑体" w:hAnsi="宋体"/>
        </w:rPr>
      </w:pPr>
      <w:bookmarkStart w:id="2" w:name="OLE_LINK2"/>
      <w:bookmarkStart w:id="3" w:name="OLE_LINK1"/>
      <w:r>
        <w:rPr>
          <w:rFonts w:hint="eastAsia" w:ascii="黑体" w:hAnsi="宋体"/>
        </w:rPr>
        <w:t>四、课程思政教学设计</w:t>
      </w:r>
    </w:p>
    <w:bookmarkEnd w:id="2"/>
    <w:bookmarkEnd w:id="3"/>
    <w:tbl>
      <w:tblPr>
        <w:tblStyle w:val="8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276"/>
      </w:tblGrid>
      <w:tr w14:paraId="25E923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1277" w:hRule="atLeast"/>
        </w:trPr>
        <w:tc>
          <w:tcPr>
            <w:tcW w:w="8276" w:type="dxa"/>
          </w:tcPr>
          <w:p w14:paraId="67464FF0">
            <w:pPr>
              <w:pStyle w:val="14"/>
              <w:widowControl w:val="0"/>
              <w:jc w:val="both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选择与中国历史、政治、经济相关的句子或者文章让学生翻译，从而达到以下思政目标：</w:t>
            </w:r>
            <w:r>
              <w:rPr>
                <w:rFonts w:ascii="宋体" w:hAnsi="宋体"/>
                <w:sz w:val="20"/>
                <w:szCs w:val="20"/>
              </w:rPr>
              <w:t>爱党爱国，坚决拥护党的领导，热爱祖国的大好河山、悠久历史、灿烂文化，自觉维护民族利益和国家尊严。</w:t>
            </w:r>
          </w:p>
          <w:p w14:paraId="2DE77931">
            <w:pPr>
              <w:pStyle w:val="14"/>
              <w:widowControl w:val="0"/>
              <w:jc w:val="both"/>
              <w:rPr>
                <w:rFonts w:ascii="宋体" w:hAnsi="宋体"/>
                <w:bCs/>
              </w:rPr>
            </w:pPr>
          </w:p>
          <w:p w14:paraId="5A1D022B">
            <w:pPr>
              <w:pStyle w:val="14"/>
              <w:widowControl w:val="0"/>
              <w:jc w:val="both"/>
              <w:rPr>
                <w:rFonts w:ascii="宋体" w:hAnsi="宋体"/>
                <w:bCs/>
              </w:rPr>
            </w:pPr>
          </w:p>
        </w:tc>
      </w:tr>
    </w:tbl>
    <w:p w14:paraId="78BF3A61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五、课程考核</w:t>
      </w:r>
      <w:bookmarkStart w:id="4" w:name="OLE_LINK4"/>
      <w:bookmarkStart w:id="5" w:name="OLE_LINK3"/>
    </w:p>
    <w:bookmarkEnd w:id="4"/>
    <w:bookmarkEnd w:id="5"/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709"/>
        <w:gridCol w:w="2353"/>
        <w:gridCol w:w="765"/>
        <w:gridCol w:w="709"/>
        <w:gridCol w:w="709"/>
        <w:gridCol w:w="708"/>
        <w:gridCol w:w="781"/>
        <w:gridCol w:w="706"/>
      </w:tblGrid>
      <w:tr w14:paraId="37B52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5B2F8B2E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color="auto" w:sz="12" w:space="0"/>
            </w:tcBorders>
            <w:vAlign w:val="center"/>
          </w:tcPr>
          <w:p w14:paraId="49FB4BC9">
            <w:pPr>
              <w:pStyle w:val="16"/>
              <w:widowControl w:val="0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color="auto" w:sz="12" w:space="0"/>
              <w:right w:val="double" w:color="auto" w:sz="4" w:space="0"/>
            </w:tcBorders>
            <w:vAlign w:val="center"/>
          </w:tcPr>
          <w:p w14:paraId="48974353">
            <w:pPr>
              <w:pStyle w:val="16"/>
              <w:widowControl w:val="0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考核方式</w:t>
            </w:r>
          </w:p>
        </w:tc>
        <w:tc>
          <w:tcPr>
            <w:tcW w:w="3672" w:type="dxa"/>
            <w:gridSpan w:val="5"/>
            <w:tcBorders>
              <w:top w:val="single" w:color="auto" w:sz="12" w:space="0"/>
              <w:left w:val="double" w:color="auto" w:sz="4" w:space="0"/>
            </w:tcBorders>
            <w:vAlign w:val="center"/>
          </w:tcPr>
          <w:p w14:paraId="6DFE90CE">
            <w:pPr>
              <w:pStyle w:val="16"/>
              <w:widowControl w:val="0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课程目标</w:t>
            </w:r>
          </w:p>
        </w:tc>
        <w:tc>
          <w:tcPr>
            <w:tcW w:w="706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A061DE1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合计</w:t>
            </w:r>
          </w:p>
        </w:tc>
      </w:tr>
      <w:tr w14:paraId="2BB10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vMerge w:val="continue"/>
            <w:tcBorders>
              <w:left w:val="single" w:color="auto" w:sz="12" w:space="0"/>
            </w:tcBorders>
          </w:tcPr>
          <w:p w14:paraId="3AE324C4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709" w:type="dxa"/>
            <w:vMerge w:val="continue"/>
          </w:tcPr>
          <w:p w14:paraId="3706385D">
            <w:pPr>
              <w:pStyle w:val="16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2353" w:type="dxa"/>
            <w:vMerge w:val="continue"/>
            <w:tcBorders>
              <w:right w:val="double" w:color="auto" w:sz="4" w:space="0"/>
            </w:tcBorders>
          </w:tcPr>
          <w:p w14:paraId="04AD145E">
            <w:pPr>
              <w:pStyle w:val="16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765" w:type="dxa"/>
            <w:tcBorders>
              <w:left w:val="double" w:color="auto" w:sz="4" w:space="0"/>
            </w:tcBorders>
            <w:vAlign w:val="center"/>
          </w:tcPr>
          <w:p w14:paraId="7EF2FFAF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/>
                <w:bCs/>
                <w:sz w:val="21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14:paraId="4B47DCDA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/>
                <w:bCs/>
                <w:sz w:val="21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14:paraId="1EF06FD6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/>
                <w:bCs/>
                <w:sz w:val="21"/>
                <w:szCs w:val="21"/>
              </w:rPr>
              <w:t>3</w:t>
            </w:r>
          </w:p>
        </w:tc>
        <w:tc>
          <w:tcPr>
            <w:tcW w:w="708" w:type="dxa"/>
            <w:vAlign w:val="center"/>
          </w:tcPr>
          <w:p w14:paraId="08FF3A04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/>
                <w:bCs/>
                <w:sz w:val="21"/>
                <w:szCs w:val="21"/>
              </w:rPr>
              <w:t>4</w:t>
            </w:r>
          </w:p>
        </w:tc>
        <w:tc>
          <w:tcPr>
            <w:tcW w:w="781" w:type="dxa"/>
            <w:vAlign w:val="center"/>
          </w:tcPr>
          <w:p w14:paraId="2AD47589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/>
                <w:bCs/>
                <w:sz w:val="21"/>
                <w:szCs w:val="21"/>
              </w:rPr>
              <w:t>5</w:t>
            </w:r>
          </w:p>
        </w:tc>
        <w:tc>
          <w:tcPr>
            <w:tcW w:w="706" w:type="dxa"/>
            <w:vMerge w:val="continue"/>
            <w:tcBorders>
              <w:right w:val="single" w:color="auto" w:sz="12" w:space="0"/>
            </w:tcBorders>
          </w:tcPr>
          <w:p w14:paraId="33ADC025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</w:tr>
      <w:tr w14:paraId="37D73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41865FA7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14:paraId="5B106B60">
            <w:pPr>
              <w:pStyle w:val="14"/>
              <w:widowControl w:val="0"/>
            </w:pPr>
            <w:r>
              <w:t>60%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1FF41652">
            <w:pPr>
              <w:pStyle w:val="14"/>
              <w:widowControl w:val="0"/>
            </w:pPr>
            <w:r>
              <w:rPr>
                <w:rFonts w:hint="eastAsia"/>
              </w:rPr>
              <w:t>笔试</w:t>
            </w:r>
          </w:p>
        </w:tc>
        <w:tc>
          <w:tcPr>
            <w:tcW w:w="765" w:type="dxa"/>
            <w:tcBorders>
              <w:left w:val="double" w:color="auto" w:sz="4" w:space="0"/>
            </w:tcBorders>
            <w:vAlign w:val="center"/>
          </w:tcPr>
          <w:p w14:paraId="72091676">
            <w:pPr>
              <w:pStyle w:val="14"/>
              <w:widowControl w:val="0"/>
            </w:pPr>
            <w:r>
              <w:t>20</w:t>
            </w:r>
          </w:p>
        </w:tc>
        <w:tc>
          <w:tcPr>
            <w:tcW w:w="709" w:type="dxa"/>
            <w:vAlign w:val="center"/>
          </w:tcPr>
          <w:p w14:paraId="61AFA26E">
            <w:pPr>
              <w:pStyle w:val="14"/>
              <w:widowControl w:val="0"/>
            </w:pPr>
            <w:r>
              <w:t>20</w:t>
            </w:r>
          </w:p>
        </w:tc>
        <w:tc>
          <w:tcPr>
            <w:tcW w:w="709" w:type="dxa"/>
            <w:vAlign w:val="center"/>
          </w:tcPr>
          <w:p w14:paraId="29F72FA7">
            <w:pPr>
              <w:pStyle w:val="14"/>
              <w:widowControl w:val="0"/>
            </w:pPr>
            <w:r>
              <w:t>20</w:t>
            </w:r>
          </w:p>
        </w:tc>
        <w:tc>
          <w:tcPr>
            <w:tcW w:w="708" w:type="dxa"/>
            <w:vAlign w:val="center"/>
          </w:tcPr>
          <w:p w14:paraId="0AEBDD68">
            <w:pPr>
              <w:pStyle w:val="14"/>
              <w:widowControl w:val="0"/>
            </w:pPr>
            <w:r>
              <w:t>30</w:t>
            </w:r>
          </w:p>
        </w:tc>
        <w:tc>
          <w:tcPr>
            <w:tcW w:w="781" w:type="dxa"/>
            <w:vAlign w:val="center"/>
          </w:tcPr>
          <w:p w14:paraId="40B7B233">
            <w:pPr>
              <w:pStyle w:val="14"/>
              <w:widowControl w:val="0"/>
            </w:pPr>
            <w:r>
              <w:t>10</w:t>
            </w: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623C2152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54CE9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5724C2F5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709" w:type="dxa"/>
            <w:vAlign w:val="center"/>
          </w:tcPr>
          <w:p w14:paraId="38580260">
            <w:pPr>
              <w:pStyle w:val="14"/>
              <w:widowControl w:val="0"/>
            </w:pPr>
            <w:r>
              <w:t>20%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236000C2">
            <w:pPr>
              <w:pStyle w:val="14"/>
              <w:widowControl w:val="0"/>
            </w:pPr>
            <w:r>
              <w:rPr>
                <w:rFonts w:hint="eastAsia"/>
              </w:rPr>
              <w:t>随堂测验+作业+课堂表现</w:t>
            </w:r>
          </w:p>
        </w:tc>
        <w:tc>
          <w:tcPr>
            <w:tcW w:w="765" w:type="dxa"/>
            <w:tcBorders>
              <w:left w:val="double" w:color="auto" w:sz="4" w:space="0"/>
            </w:tcBorders>
            <w:vAlign w:val="center"/>
          </w:tcPr>
          <w:p w14:paraId="3509CAD3">
            <w:pPr>
              <w:pStyle w:val="14"/>
              <w:widowControl w:val="0"/>
            </w:pPr>
            <w:r>
              <w:t>30</w:t>
            </w:r>
          </w:p>
        </w:tc>
        <w:tc>
          <w:tcPr>
            <w:tcW w:w="709" w:type="dxa"/>
            <w:vAlign w:val="center"/>
          </w:tcPr>
          <w:p w14:paraId="53B6CAE8">
            <w:pPr>
              <w:pStyle w:val="14"/>
              <w:widowControl w:val="0"/>
            </w:pPr>
          </w:p>
        </w:tc>
        <w:tc>
          <w:tcPr>
            <w:tcW w:w="709" w:type="dxa"/>
            <w:vAlign w:val="center"/>
          </w:tcPr>
          <w:p w14:paraId="26930059">
            <w:pPr>
              <w:pStyle w:val="14"/>
              <w:widowControl w:val="0"/>
            </w:pPr>
            <w:r>
              <w:t>60</w:t>
            </w:r>
          </w:p>
        </w:tc>
        <w:tc>
          <w:tcPr>
            <w:tcW w:w="708" w:type="dxa"/>
            <w:vAlign w:val="center"/>
          </w:tcPr>
          <w:p w14:paraId="7081168B">
            <w:pPr>
              <w:pStyle w:val="14"/>
              <w:widowControl w:val="0"/>
            </w:pPr>
          </w:p>
        </w:tc>
        <w:tc>
          <w:tcPr>
            <w:tcW w:w="781" w:type="dxa"/>
            <w:vAlign w:val="center"/>
          </w:tcPr>
          <w:p w14:paraId="069664D1">
            <w:pPr>
              <w:pStyle w:val="14"/>
              <w:widowControl w:val="0"/>
            </w:pPr>
            <w:r>
              <w:t>10</w:t>
            </w: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52A6671D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6E0DA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15A07BBD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709" w:type="dxa"/>
            <w:tcBorders>
              <w:bottom w:val="single" w:color="auto" w:sz="4" w:space="0"/>
            </w:tcBorders>
            <w:vAlign w:val="center"/>
          </w:tcPr>
          <w:p w14:paraId="48B7C7B8">
            <w:pPr>
              <w:pStyle w:val="14"/>
              <w:widowControl w:val="0"/>
            </w:pPr>
            <w:r>
              <w:t>10%</w:t>
            </w:r>
          </w:p>
        </w:tc>
        <w:tc>
          <w:tcPr>
            <w:tcW w:w="2353" w:type="dxa"/>
            <w:tcBorders>
              <w:bottom w:val="single" w:color="auto" w:sz="4" w:space="0"/>
              <w:right w:val="double" w:color="auto" w:sz="4" w:space="0"/>
            </w:tcBorders>
            <w:vAlign w:val="center"/>
          </w:tcPr>
          <w:p w14:paraId="4D75B150">
            <w:pPr>
              <w:pStyle w:val="14"/>
              <w:widowControl w:val="0"/>
            </w:pPr>
            <w:r>
              <w:rPr>
                <w:rFonts w:hint="eastAsia"/>
              </w:rPr>
              <w:t>随堂测验+</w:t>
            </w:r>
            <w:r>
              <w:t>作业</w:t>
            </w:r>
            <w:r>
              <w:rPr>
                <w:rFonts w:hint="eastAsia"/>
              </w:rPr>
              <w:t>+</w:t>
            </w:r>
            <w:r>
              <w:t>课堂表现</w:t>
            </w:r>
          </w:p>
        </w:tc>
        <w:tc>
          <w:tcPr>
            <w:tcW w:w="765" w:type="dxa"/>
            <w:tcBorders>
              <w:left w:val="double" w:color="auto" w:sz="4" w:space="0"/>
              <w:bottom w:val="single" w:color="auto" w:sz="4" w:space="0"/>
            </w:tcBorders>
            <w:vAlign w:val="center"/>
          </w:tcPr>
          <w:p w14:paraId="3720313D">
            <w:pPr>
              <w:pStyle w:val="14"/>
              <w:widowControl w:val="0"/>
            </w:pPr>
          </w:p>
        </w:tc>
        <w:tc>
          <w:tcPr>
            <w:tcW w:w="709" w:type="dxa"/>
            <w:tcBorders>
              <w:bottom w:val="single" w:color="auto" w:sz="4" w:space="0"/>
            </w:tcBorders>
            <w:vAlign w:val="center"/>
          </w:tcPr>
          <w:p w14:paraId="690DCF91">
            <w:pPr>
              <w:pStyle w:val="14"/>
              <w:widowControl w:val="0"/>
            </w:pPr>
            <w:r>
              <w:t>30</w:t>
            </w:r>
          </w:p>
        </w:tc>
        <w:tc>
          <w:tcPr>
            <w:tcW w:w="709" w:type="dxa"/>
            <w:tcBorders>
              <w:bottom w:val="single" w:color="auto" w:sz="4" w:space="0"/>
            </w:tcBorders>
            <w:vAlign w:val="center"/>
          </w:tcPr>
          <w:p w14:paraId="51E0E8C8">
            <w:pPr>
              <w:pStyle w:val="14"/>
              <w:widowControl w:val="0"/>
            </w:pPr>
            <w:r>
              <w:t>30</w:t>
            </w:r>
          </w:p>
        </w:tc>
        <w:tc>
          <w:tcPr>
            <w:tcW w:w="708" w:type="dxa"/>
            <w:tcBorders>
              <w:bottom w:val="single" w:color="auto" w:sz="4" w:space="0"/>
            </w:tcBorders>
            <w:vAlign w:val="center"/>
          </w:tcPr>
          <w:p w14:paraId="3C4F2B34">
            <w:pPr>
              <w:pStyle w:val="14"/>
              <w:widowControl w:val="0"/>
            </w:pPr>
            <w:r>
              <w:t>40</w:t>
            </w:r>
          </w:p>
        </w:tc>
        <w:tc>
          <w:tcPr>
            <w:tcW w:w="781" w:type="dxa"/>
            <w:tcBorders>
              <w:bottom w:val="single" w:color="auto" w:sz="4" w:space="0"/>
            </w:tcBorders>
            <w:vAlign w:val="center"/>
          </w:tcPr>
          <w:p w14:paraId="65975B34">
            <w:pPr>
              <w:pStyle w:val="14"/>
              <w:widowControl w:val="0"/>
            </w:pPr>
          </w:p>
        </w:tc>
        <w:tc>
          <w:tcPr>
            <w:tcW w:w="706" w:type="dxa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7A92D54B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4DF5F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1C7308B8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709" w:type="dxa"/>
            <w:tcBorders>
              <w:bottom w:val="single" w:color="auto" w:sz="12" w:space="0"/>
            </w:tcBorders>
            <w:vAlign w:val="center"/>
          </w:tcPr>
          <w:p w14:paraId="0422312C">
            <w:pPr>
              <w:pStyle w:val="14"/>
              <w:widowControl w:val="0"/>
            </w:pPr>
            <w:r>
              <w:t>10%</w:t>
            </w:r>
          </w:p>
        </w:tc>
        <w:tc>
          <w:tcPr>
            <w:tcW w:w="2353" w:type="dxa"/>
            <w:tcBorders>
              <w:bottom w:val="single" w:color="auto" w:sz="12" w:space="0"/>
              <w:right w:val="double" w:color="auto" w:sz="4" w:space="0"/>
            </w:tcBorders>
            <w:vAlign w:val="center"/>
          </w:tcPr>
          <w:p w14:paraId="2EC50C8C">
            <w:pPr>
              <w:pStyle w:val="14"/>
              <w:widowControl w:val="0"/>
            </w:pPr>
            <w:r>
              <w:rPr>
                <w:rFonts w:hint="eastAsia"/>
              </w:rPr>
              <w:t>随堂测验+</w:t>
            </w:r>
            <w:r>
              <w:t>作业</w:t>
            </w:r>
            <w:r>
              <w:rPr>
                <w:rFonts w:hint="eastAsia"/>
              </w:rPr>
              <w:t>+</w:t>
            </w:r>
            <w:r>
              <w:t>课堂表现</w:t>
            </w:r>
          </w:p>
        </w:tc>
        <w:tc>
          <w:tcPr>
            <w:tcW w:w="765" w:type="dxa"/>
            <w:tcBorders>
              <w:left w:val="double" w:color="auto" w:sz="4" w:space="0"/>
              <w:bottom w:val="single" w:color="auto" w:sz="12" w:space="0"/>
            </w:tcBorders>
            <w:vAlign w:val="center"/>
          </w:tcPr>
          <w:p w14:paraId="587F2D1A">
            <w:pPr>
              <w:pStyle w:val="14"/>
              <w:widowControl w:val="0"/>
            </w:pPr>
            <w:r>
              <w:t>40</w:t>
            </w:r>
          </w:p>
        </w:tc>
        <w:tc>
          <w:tcPr>
            <w:tcW w:w="709" w:type="dxa"/>
            <w:tcBorders>
              <w:bottom w:val="single" w:color="auto" w:sz="12" w:space="0"/>
            </w:tcBorders>
            <w:vAlign w:val="center"/>
          </w:tcPr>
          <w:p w14:paraId="21F21AE9">
            <w:pPr>
              <w:pStyle w:val="14"/>
              <w:widowControl w:val="0"/>
            </w:pPr>
          </w:p>
        </w:tc>
        <w:tc>
          <w:tcPr>
            <w:tcW w:w="709" w:type="dxa"/>
            <w:tcBorders>
              <w:bottom w:val="single" w:color="auto" w:sz="12" w:space="0"/>
            </w:tcBorders>
            <w:vAlign w:val="center"/>
          </w:tcPr>
          <w:p w14:paraId="5FFF15AA">
            <w:pPr>
              <w:pStyle w:val="14"/>
              <w:widowControl w:val="0"/>
            </w:pPr>
            <w:r>
              <w:t>40</w:t>
            </w:r>
          </w:p>
        </w:tc>
        <w:tc>
          <w:tcPr>
            <w:tcW w:w="708" w:type="dxa"/>
            <w:tcBorders>
              <w:bottom w:val="single" w:color="auto" w:sz="12" w:space="0"/>
            </w:tcBorders>
            <w:vAlign w:val="center"/>
          </w:tcPr>
          <w:p w14:paraId="57EEFD5D">
            <w:pPr>
              <w:pStyle w:val="14"/>
              <w:widowControl w:val="0"/>
            </w:pPr>
          </w:p>
        </w:tc>
        <w:tc>
          <w:tcPr>
            <w:tcW w:w="781" w:type="dxa"/>
            <w:tcBorders>
              <w:bottom w:val="single" w:color="auto" w:sz="12" w:space="0"/>
            </w:tcBorders>
            <w:vAlign w:val="center"/>
          </w:tcPr>
          <w:p w14:paraId="2C5CF336">
            <w:pPr>
              <w:pStyle w:val="14"/>
              <w:widowControl w:val="0"/>
            </w:pPr>
            <w:r>
              <w:t>20</w:t>
            </w:r>
          </w:p>
        </w:tc>
        <w:tc>
          <w:tcPr>
            <w:tcW w:w="706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4EB3251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</w:tbl>
    <w:p w14:paraId="1C27EEC6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 xml:space="preserve">六、其他需要说明的问题 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6"/>
      </w:tblGrid>
      <w:tr w14:paraId="389514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42FFE67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 w:eastAsiaTheme="minorEastAsia"/>
                <w:color w:val="000000"/>
                <w:sz w:val="21"/>
                <w:szCs w:val="21"/>
              </w:rPr>
            </w:pPr>
          </w:p>
          <w:p w14:paraId="6E3A2AF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 w:eastAsiaTheme="minorEastAsia"/>
                <w:color w:val="000000"/>
                <w:sz w:val="21"/>
                <w:szCs w:val="21"/>
              </w:rPr>
            </w:pPr>
          </w:p>
          <w:p w14:paraId="488F329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黑体"/>
                <w:sz w:val="21"/>
                <w:szCs w:val="21"/>
              </w:rPr>
            </w:pPr>
          </w:p>
        </w:tc>
      </w:tr>
    </w:tbl>
    <w:p w14:paraId="769AF158">
      <w:pPr>
        <w:pStyle w:val="16"/>
        <w:spacing w:before="326" w:beforeLines="100" w:line="360" w:lineRule="auto"/>
        <w:rPr>
          <w:rFonts w:ascii="黑体" w:hAnsi="宋体"/>
        </w:rPr>
      </w:pPr>
    </w:p>
    <w:sectPr>
      <w:headerReference r:id="rId3" w:type="default"/>
      <w:pgSz w:w="11906" w:h="16838"/>
      <w:pgMar w:top="1440" w:right="1800" w:bottom="1440" w:left="1800" w:header="397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786C5A">
    <w:pPr>
      <w:jc w:val="right"/>
      <w:rPr>
        <w:rFonts w:ascii="方正小标宋简体" w:hAnsi="方正小标宋简体" w:eastAsia="方正小标宋简体"/>
      </w:rPr>
    </w:pPr>
    <w:r>
      <w:rPr>
        <w:rFonts w:ascii="方正小标宋简体" w:hAnsi="方正小标宋简体" w:eastAsia="方正小标宋简体"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8BFAD57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SJQU-QR-JW-052（A0）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50.05pt;margin-top:14.65pt;height:22.1pt;width:207.5pt;mso-position-horizontal-relative:page;mso-position-vertical-relative:page;z-index:251659264;mso-width-relative:page;mso-height-relative:page;" fillcolor="#FFFFFF" filled="t" stroked="f" coordsize="21600,21600" o:gfxdata="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L7hkpnU&#10;AAAACQEAAA8AAAAAAAAAAQAgAAAAIgAAAGRycy9kb3ducmV2LnhtbFBLAQIUABQAAAAIAIdO4kAT&#10;jzfzXQIAAKUEAAAOAAAAAAAAAAEAIAAAACMBAABkcnMvZTJvRG9jLnhtbFBLBQYAAAAABgAGAFkB&#10;AADy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68BFAD57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SJQU-QR-JW-052（A0）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1F"/>
    <w:rsid w:val="000023B2"/>
    <w:rsid w:val="000203E0"/>
    <w:rsid w:val="000210E0"/>
    <w:rsid w:val="00033082"/>
    <w:rsid w:val="0006001D"/>
    <w:rsid w:val="00061E62"/>
    <w:rsid w:val="00066041"/>
    <w:rsid w:val="00076794"/>
    <w:rsid w:val="0008122A"/>
    <w:rsid w:val="00087488"/>
    <w:rsid w:val="0009050A"/>
    <w:rsid w:val="0009721F"/>
    <w:rsid w:val="000A4E73"/>
    <w:rsid w:val="000B0BBA"/>
    <w:rsid w:val="000B1BD2"/>
    <w:rsid w:val="000C0F0D"/>
    <w:rsid w:val="000C13BC"/>
    <w:rsid w:val="000C283D"/>
    <w:rsid w:val="000D28E5"/>
    <w:rsid w:val="000D34D7"/>
    <w:rsid w:val="00100633"/>
    <w:rsid w:val="001072BC"/>
    <w:rsid w:val="00114BD6"/>
    <w:rsid w:val="001168F2"/>
    <w:rsid w:val="00123E16"/>
    <w:rsid w:val="00125A4A"/>
    <w:rsid w:val="00130F6D"/>
    <w:rsid w:val="00144082"/>
    <w:rsid w:val="001467DD"/>
    <w:rsid w:val="00163A48"/>
    <w:rsid w:val="00164E36"/>
    <w:rsid w:val="00183AA1"/>
    <w:rsid w:val="0018767C"/>
    <w:rsid w:val="001A135C"/>
    <w:rsid w:val="001B0D49"/>
    <w:rsid w:val="001B546F"/>
    <w:rsid w:val="001C16FC"/>
    <w:rsid w:val="001C2E3E"/>
    <w:rsid w:val="001C388D"/>
    <w:rsid w:val="001E1D2D"/>
    <w:rsid w:val="001E5A17"/>
    <w:rsid w:val="001E681F"/>
    <w:rsid w:val="001F332E"/>
    <w:rsid w:val="00207330"/>
    <w:rsid w:val="00211F04"/>
    <w:rsid w:val="00217861"/>
    <w:rsid w:val="002204E4"/>
    <w:rsid w:val="002211BF"/>
    <w:rsid w:val="00233F15"/>
    <w:rsid w:val="002420F1"/>
    <w:rsid w:val="00253AC8"/>
    <w:rsid w:val="00256236"/>
    <w:rsid w:val="00256B39"/>
    <w:rsid w:val="0026033C"/>
    <w:rsid w:val="0027339A"/>
    <w:rsid w:val="00274E82"/>
    <w:rsid w:val="002757AB"/>
    <w:rsid w:val="0027777C"/>
    <w:rsid w:val="00277FE7"/>
    <w:rsid w:val="002877FA"/>
    <w:rsid w:val="00290962"/>
    <w:rsid w:val="00290A9A"/>
    <w:rsid w:val="002A4649"/>
    <w:rsid w:val="002A7227"/>
    <w:rsid w:val="002B0773"/>
    <w:rsid w:val="002B0C48"/>
    <w:rsid w:val="002B13CA"/>
    <w:rsid w:val="002B3650"/>
    <w:rsid w:val="002B7322"/>
    <w:rsid w:val="002C153A"/>
    <w:rsid w:val="002C58B6"/>
    <w:rsid w:val="002D0E86"/>
    <w:rsid w:val="002D7C47"/>
    <w:rsid w:val="002E33CE"/>
    <w:rsid w:val="002E3721"/>
    <w:rsid w:val="002E764D"/>
    <w:rsid w:val="002E78A6"/>
    <w:rsid w:val="002F3157"/>
    <w:rsid w:val="002F6BD5"/>
    <w:rsid w:val="00300022"/>
    <w:rsid w:val="00305F23"/>
    <w:rsid w:val="00313BBA"/>
    <w:rsid w:val="003167CD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57DE"/>
    <w:rsid w:val="003602D9"/>
    <w:rsid w:val="00361BEB"/>
    <w:rsid w:val="00370184"/>
    <w:rsid w:val="00373C8A"/>
    <w:rsid w:val="00377C10"/>
    <w:rsid w:val="00384A1F"/>
    <w:rsid w:val="00384D60"/>
    <w:rsid w:val="00385D41"/>
    <w:rsid w:val="003861BA"/>
    <w:rsid w:val="003A1680"/>
    <w:rsid w:val="003A373C"/>
    <w:rsid w:val="003A5874"/>
    <w:rsid w:val="003B1258"/>
    <w:rsid w:val="003B4A81"/>
    <w:rsid w:val="003C61A5"/>
    <w:rsid w:val="003D1968"/>
    <w:rsid w:val="003D4994"/>
    <w:rsid w:val="003E10A5"/>
    <w:rsid w:val="003E7D72"/>
    <w:rsid w:val="003F3923"/>
    <w:rsid w:val="003F43F6"/>
    <w:rsid w:val="004019DB"/>
    <w:rsid w:val="00402B67"/>
    <w:rsid w:val="0040433E"/>
    <w:rsid w:val="00404974"/>
    <w:rsid w:val="0040726A"/>
    <w:rsid w:val="004100B0"/>
    <w:rsid w:val="0041267F"/>
    <w:rsid w:val="004137D4"/>
    <w:rsid w:val="00414037"/>
    <w:rsid w:val="00424BA5"/>
    <w:rsid w:val="00425431"/>
    <w:rsid w:val="00431829"/>
    <w:rsid w:val="00437B60"/>
    <w:rsid w:val="004405E6"/>
    <w:rsid w:val="00443C84"/>
    <w:rsid w:val="004540AA"/>
    <w:rsid w:val="00456BD8"/>
    <w:rsid w:val="00456DC8"/>
    <w:rsid w:val="004615AE"/>
    <w:rsid w:val="00463CDA"/>
    <w:rsid w:val="0046549D"/>
    <w:rsid w:val="00471668"/>
    <w:rsid w:val="00477D4A"/>
    <w:rsid w:val="00481F98"/>
    <w:rsid w:val="004852BF"/>
    <w:rsid w:val="00487A46"/>
    <w:rsid w:val="00493504"/>
    <w:rsid w:val="00494579"/>
    <w:rsid w:val="00497334"/>
    <w:rsid w:val="004A4645"/>
    <w:rsid w:val="004A6F3A"/>
    <w:rsid w:val="004B408D"/>
    <w:rsid w:val="004B6F68"/>
    <w:rsid w:val="004B73F7"/>
    <w:rsid w:val="004D4FB3"/>
    <w:rsid w:val="004D75A6"/>
    <w:rsid w:val="004E23D1"/>
    <w:rsid w:val="004E3456"/>
    <w:rsid w:val="004F3DF0"/>
    <w:rsid w:val="005074E1"/>
    <w:rsid w:val="005126F1"/>
    <w:rsid w:val="00513F2F"/>
    <w:rsid w:val="0051612A"/>
    <w:rsid w:val="00517176"/>
    <w:rsid w:val="0052192E"/>
    <w:rsid w:val="00524300"/>
    <w:rsid w:val="00541F72"/>
    <w:rsid w:val="00542388"/>
    <w:rsid w:val="00544523"/>
    <w:rsid w:val="00544786"/>
    <w:rsid w:val="00545C52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0F2F"/>
    <w:rsid w:val="0057496F"/>
    <w:rsid w:val="00586DDE"/>
    <w:rsid w:val="0059045B"/>
    <w:rsid w:val="0059661B"/>
    <w:rsid w:val="005A13AB"/>
    <w:rsid w:val="005B1150"/>
    <w:rsid w:val="005B1FFC"/>
    <w:rsid w:val="005B2B6D"/>
    <w:rsid w:val="005B4B4E"/>
    <w:rsid w:val="005C3A76"/>
    <w:rsid w:val="005D5B6F"/>
    <w:rsid w:val="005E38A5"/>
    <w:rsid w:val="005F0A2B"/>
    <w:rsid w:val="005F2CD7"/>
    <w:rsid w:val="005F5185"/>
    <w:rsid w:val="0062115C"/>
    <w:rsid w:val="0062265B"/>
    <w:rsid w:val="00624B5C"/>
    <w:rsid w:val="00624FE1"/>
    <w:rsid w:val="0062577D"/>
    <w:rsid w:val="006331EE"/>
    <w:rsid w:val="006355E6"/>
    <w:rsid w:val="00637E00"/>
    <w:rsid w:val="0064038A"/>
    <w:rsid w:val="006434F4"/>
    <w:rsid w:val="0065167D"/>
    <w:rsid w:val="00652D13"/>
    <w:rsid w:val="0066595A"/>
    <w:rsid w:val="00666206"/>
    <w:rsid w:val="00672788"/>
    <w:rsid w:val="00676183"/>
    <w:rsid w:val="00680DA3"/>
    <w:rsid w:val="0068377F"/>
    <w:rsid w:val="00691B24"/>
    <w:rsid w:val="00695B93"/>
    <w:rsid w:val="00697C16"/>
    <w:rsid w:val="006A5A89"/>
    <w:rsid w:val="006B3BB9"/>
    <w:rsid w:val="006B48AC"/>
    <w:rsid w:val="006B5977"/>
    <w:rsid w:val="006D1B59"/>
    <w:rsid w:val="006D2F9C"/>
    <w:rsid w:val="006D4351"/>
    <w:rsid w:val="006E5CA9"/>
    <w:rsid w:val="006E5E98"/>
    <w:rsid w:val="006F3151"/>
    <w:rsid w:val="007056DE"/>
    <w:rsid w:val="00706121"/>
    <w:rsid w:val="00710B6B"/>
    <w:rsid w:val="00712A2C"/>
    <w:rsid w:val="00712E84"/>
    <w:rsid w:val="00714914"/>
    <w:rsid w:val="007208D6"/>
    <w:rsid w:val="00726786"/>
    <w:rsid w:val="00732152"/>
    <w:rsid w:val="00736A93"/>
    <w:rsid w:val="00742E7A"/>
    <w:rsid w:val="0074424F"/>
    <w:rsid w:val="00774C1F"/>
    <w:rsid w:val="00786044"/>
    <w:rsid w:val="0079270F"/>
    <w:rsid w:val="007934A4"/>
    <w:rsid w:val="00795D19"/>
    <w:rsid w:val="007A0AC9"/>
    <w:rsid w:val="007A1B70"/>
    <w:rsid w:val="007A57F6"/>
    <w:rsid w:val="007B4FFB"/>
    <w:rsid w:val="007C0BCE"/>
    <w:rsid w:val="007C1D1B"/>
    <w:rsid w:val="007C3566"/>
    <w:rsid w:val="007C794A"/>
    <w:rsid w:val="007D5326"/>
    <w:rsid w:val="007D5A33"/>
    <w:rsid w:val="007E620F"/>
    <w:rsid w:val="007E663C"/>
    <w:rsid w:val="007E7795"/>
    <w:rsid w:val="007F1432"/>
    <w:rsid w:val="0080066B"/>
    <w:rsid w:val="00803578"/>
    <w:rsid w:val="00815B8E"/>
    <w:rsid w:val="00816D99"/>
    <w:rsid w:val="0082324C"/>
    <w:rsid w:val="00823CAB"/>
    <w:rsid w:val="00823D71"/>
    <w:rsid w:val="008245AF"/>
    <w:rsid w:val="008256B9"/>
    <w:rsid w:val="0083705D"/>
    <w:rsid w:val="008410B6"/>
    <w:rsid w:val="0084242F"/>
    <w:rsid w:val="00847437"/>
    <w:rsid w:val="00875288"/>
    <w:rsid w:val="00882E15"/>
    <w:rsid w:val="008901A2"/>
    <w:rsid w:val="008A08B0"/>
    <w:rsid w:val="008B0385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D3D5F"/>
    <w:rsid w:val="008D4E81"/>
    <w:rsid w:val="008D505F"/>
    <w:rsid w:val="008E0F55"/>
    <w:rsid w:val="008F253F"/>
    <w:rsid w:val="008F7F31"/>
    <w:rsid w:val="00900019"/>
    <w:rsid w:val="009023B1"/>
    <w:rsid w:val="009147D6"/>
    <w:rsid w:val="00925F8C"/>
    <w:rsid w:val="00927324"/>
    <w:rsid w:val="00932ED7"/>
    <w:rsid w:val="00941B89"/>
    <w:rsid w:val="00941DEA"/>
    <w:rsid w:val="009656CC"/>
    <w:rsid w:val="00970E8C"/>
    <w:rsid w:val="00971671"/>
    <w:rsid w:val="00981A37"/>
    <w:rsid w:val="009830B2"/>
    <w:rsid w:val="0099063E"/>
    <w:rsid w:val="00992356"/>
    <w:rsid w:val="00994793"/>
    <w:rsid w:val="00996AE3"/>
    <w:rsid w:val="009A0450"/>
    <w:rsid w:val="009A1E27"/>
    <w:rsid w:val="009B04E7"/>
    <w:rsid w:val="009B14E8"/>
    <w:rsid w:val="009B4D21"/>
    <w:rsid w:val="009B5A73"/>
    <w:rsid w:val="009C2B89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54D0"/>
    <w:rsid w:val="009F73C7"/>
    <w:rsid w:val="00A04523"/>
    <w:rsid w:val="00A16159"/>
    <w:rsid w:val="00A17885"/>
    <w:rsid w:val="00A2337D"/>
    <w:rsid w:val="00A25A31"/>
    <w:rsid w:val="00A26885"/>
    <w:rsid w:val="00A31BBE"/>
    <w:rsid w:val="00A31D34"/>
    <w:rsid w:val="00A333EF"/>
    <w:rsid w:val="00A64B83"/>
    <w:rsid w:val="00A769B1"/>
    <w:rsid w:val="00A77DA3"/>
    <w:rsid w:val="00A837D5"/>
    <w:rsid w:val="00A83E04"/>
    <w:rsid w:val="00A91091"/>
    <w:rsid w:val="00A93EE3"/>
    <w:rsid w:val="00A94BA9"/>
    <w:rsid w:val="00AA4970"/>
    <w:rsid w:val="00AA536D"/>
    <w:rsid w:val="00AB22C0"/>
    <w:rsid w:val="00AB28FC"/>
    <w:rsid w:val="00AC2AAC"/>
    <w:rsid w:val="00AC40F1"/>
    <w:rsid w:val="00AC4C45"/>
    <w:rsid w:val="00AD1085"/>
    <w:rsid w:val="00AD5B40"/>
    <w:rsid w:val="00AE6894"/>
    <w:rsid w:val="00AF289F"/>
    <w:rsid w:val="00AF30B9"/>
    <w:rsid w:val="00AF43DF"/>
    <w:rsid w:val="00AF67A4"/>
    <w:rsid w:val="00AF7510"/>
    <w:rsid w:val="00B12D31"/>
    <w:rsid w:val="00B15F6E"/>
    <w:rsid w:val="00B21BEE"/>
    <w:rsid w:val="00B23284"/>
    <w:rsid w:val="00B269E9"/>
    <w:rsid w:val="00B37D43"/>
    <w:rsid w:val="00B46F21"/>
    <w:rsid w:val="00B511A5"/>
    <w:rsid w:val="00B51CDE"/>
    <w:rsid w:val="00B56541"/>
    <w:rsid w:val="00B605ED"/>
    <w:rsid w:val="00B71F97"/>
    <w:rsid w:val="00B72538"/>
    <w:rsid w:val="00B736A7"/>
    <w:rsid w:val="00B7651F"/>
    <w:rsid w:val="00B816B8"/>
    <w:rsid w:val="00B919FA"/>
    <w:rsid w:val="00B94A16"/>
    <w:rsid w:val="00BA584F"/>
    <w:rsid w:val="00BA6044"/>
    <w:rsid w:val="00BB1A93"/>
    <w:rsid w:val="00BC2625"/>
    <w:rsid w:val="00BC3200"/>
    <w:rsid w:val="00BC338A"/>
    <w:rsid w:val="00BD7AB0"/>
    <w:rsid w:val="00BF3C20"/>
    <w:rsid w:val="00C011BC"/>
    <w:rsid w:val="00C03DBA"/>
    <w:rsid w:val="00C112E7"/>
    <w:rsid w:val="00C11CD4"/>
    <w:rsid w:val="00C15061"/>
    <w:rsid w:val="00C1713D"/>
    <w:rsid w:val="00C20D9D"/>
    <w:rsid w:val="00C2134F"/>
    <w:rsid w:val="00C24718"/>
    <w:rsid w:val="00C30AEE"/>
    <w:rsid w:val="00C33362"/>
    <w:rsid w:val="00C353AE"/>
    <w:rsid w:val="00C4194E"/>
    <w:rsid w:val="00C5350C"/>
    <w:rsid w:val="00C56E09"/>
    <w:rsid w:val="00C61B1B"/>
    <w:rsid w:val="00C6606F"/>
    <w:rsid w:val="00C673D1"/>
    <w:rsid w:val="00C746CB"/>
    <w:rsid w:val="00C77BBF"/>
    <w:rsid w:val="00C81564"/>
    <w:rsid w:val="00C9080C"/>
    <w:rsid w:val="00C93DBB"/>
    <w:rsid w:val="00CA18FD"/>
    <w:rsid w:val="00CA27E5"/>
    <w:rsid w:val="00CA4897"/>
    <w:rsid w:val="00CA6928"/>
    <w:rsid w:val="00CB3D3F"/>
    <w:rsid w:val="00CB5A1A"/>
    <w:rsid w:val="00CC59E6"/>
    <w:rsid w:val="00CD2F8C"/>
    <w:rsid w:val="00CD5BDD"/>
    <w:rsid w:val="00CE3FFB"/>
    <w:rsid w:val="00CF096B"/>
    <w:rsid w:val="00CF10F7"/>
    <w:rsid w:val="00CF5EE3"/>
    <w:rsid w:val="00CF691F"/>
    <w:rsid w:val="00D013A4"/>
    <w:rsid w:val="00D026DC"/>
    <w:rsid w:val="00D15595"/>
    <w:rsid w:val="00D37832"/>
    <w:rsid w:val="00D44860"/>
    <w:rsid w:val="00D47689"/>
    <w:rsid w:val="00D50C42"/>
    <w:rsid w:val="00D57CF5"/>
    <w:rsid w:val="00D612BC"/>
    <w:rsid w:val="00D62F98"/>
    <w:rsid w:val="00D66FD6"/>
    <w:rsid w:val="00D77381"/>
    <w:rsid w:val="00D8285B"/>
    <w:rsid w:val="00D86619"/>
    <w:rsid w:val="00D93E7C"/>
    <w:rsid w:val="00DA719E"/>
    <w:rsid w:val="00DB2BE6"/>
    <w:rsid w:val="00DB76B3"/>
    <w:rsid w:val="00DD1052"/>
    <w:rsid w:val="00DD3C7B"/>
    <w:rsid w:val="00DD48CC"/>
    <w:rsid w:val="00DE2B21"/>
    <w:rsid w:val="00DE48DE"/>
    <w:rsid w:val="00DF25F2"/>
    <w:rsid w:val="00DF4166"/>
    <w:rsid w:val="00E000F4"/>
    <w:rsid w:val="00E01231"/>
    <w:rsid w:val="00E0300B"/>
    <w:rsid w:val="00E04279"/>
    <w:rsid w:val="00E10EB8"/>
    <w:rsid w:val="00E11393"/>
    <w:rsid w:val="00E125D9"/>
    <w:rsid w:val="00E16D30"/>
    <w:rsid w:val="00E31E69"/>
    <w:rsid w:val="00E33169"/>
    <w:rsid w:val="00E34A7B"/>
    <w:rsid w:val="00E40973"/>
    <w:rsid w:val="00E545FF"/>
    <w:rsid w:val="00E6080E"/>
    <w:rsid w:val="00E64168"/>
    <w:rsid w:val="00E655B3"/>
    <w:rsid w:val="00E7081D"/>
    <w:rsid w:val="00E70904"/>
    <w:rsid w:val="00E70906"/>
    <w:rsid w:val="00E71319"/>
    <w:rsid w:val="00E75171"/>
    <w:rsid w:val="00E804B0"/>
    <w:rsid w:val="00E86772"/>
    <w:rsid w:val="00E90B8B"/>
    <w:rsid w:val="00E93ADD"/>
    <w:rsid w:val="00E952D8"/>
    <w:rsid w:val="00E970D9"/>
    <w:rsid w:val="00EB00E4"/>
    <w:rsid w:val="00EB28DA"/>
    <w:rsid w:val="00EB3812"/>
    <w:rsid w:val="00EB44EB"/>
    <w:rsid w:val="00EB66B8"/>
    <w:rsid w:val="00EB791E"/>
    <w:rsid w:val="00EC362E"/>
    <w:rsid w:val="00EC391A"/>
    <w:rsid w:val="00EC3A4D"/>
    <w:rsid w:val="00EC70A9"/>
    <w:rsid w:val="00ED4C3A"/>
    <w:rsid w:val="00EE1C85"/>
    <w:rsid w:val="00EE2633"/>
    <w:rsid w:val="00EF21D9"/>
    <w:rsid w:val="00EF2A94"/>
    <w:rsid w:val="00EF32FB"/>
    <w:rsid w:val="00EF44B1"/>
    <w:rsid w:val="00EF4865"/>
    <w:rsid w:val="00EF5954"/>
    <w:rsid w:val="00F100D2"/>
    <w:rsid w:val="00F12942"/>
    <w:rsid w:val="00F14886"/>
    <w:rsid w:val="00F16421"/>
    <w:rsid w:val="00F201EE"/>
    <w:rsid w:val="00F20DD6"/>
    <w:rsid w:val="00F35AA0"/>
    <w:rsid w:val="00F43C49"/>
    <w:rsid w:val="00F45C12"/>
    <w:rsid w:val="00F544A2"/>
    <w:rsid w:val="00F73304"/>
    <w:rsid w:val="00F76CB9"/>
    <w:rsid w:val="00F77A73"/>
    <w:rsid w:val="00F80E46"/>
    <w:rsid w:val="00F96236"/>
    <w:rsid w:val="00FA10CE"/>
    <w:rsid w:val="00FA222F"/>
    <w:rsid w:val="00FA2891"/>
    <w:rsid w:val="00FA4B51"/>
    <w:rsid w:val="00FB2DCA"/>
    <w:rsid w:val="00FB650B"/>
    <w:rsid w:val="00FB693D"/>
    <w:rsid w:val="00FB7768"/>
    <w:rsid w:val="00FC7489"/>
    <w:rsid w:val="00FD1BA8"/>
    <w:rsid w:val="00FD218F"/>
    <w:rsid w:val="00FD5663"/>
    <w:rsid w:val="00FD56C6"/>
    <w:rsid w:val="00FE3221"/>
    <w:rsid w:val="00FE571F"/>
    <w:rsid w:val="00FE71E2"/>
    <w:rsid w:val="00FF47F6"/>
    <w:rsid w:val="016E63C2"/>
    <w:rsid w:val="024B0C39"/>
    <w:rsid w:val="0A8128A6"/>
    <w:rsid w:val="0BF32A1B"/>
    <w:rsid w:val="10BD2C22"/>
    <w:rsid w:val="22987C80"/>
    <w:rsid w:val="24192CCC"/>
    <w:rsid w:val="39A66CD4"/>
    <w:rsid w:val="3CD52CE1"/>
    <w:rsid w:val="410F2E6A"/>
    <w:rsid w:val="4430136C"/>
    <w:rsid w:val="4AB0382B"/>
    <w:rsid w:val="569868B5"/>
    <w:rsid w:val="611F6817"/>
    <w:rsid w:val="66CA1754"/>
    <w:rsid w:val="68FD2AA6"/>
    <w:rsid w:val="6F1E65D4"/>
    <w:rsid w:val="6F266C86"/>
    <w:rsid w:val="6F5042C2"/>
    <w:rsid w:val="74316312"/>
    <w:rsid w:val="780F13C8"/>
    <w:rsid w:val="7C385448"/>
    <w:rsid w:val="7CB3663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iPriority="99" w:semiHidden="0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99"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8">
    <w:name w:val="Table Grid"/>
    <w:basedOn w:val="7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customStyle="1" w:styleId="11">
    <w:name w:val="页眉 Char"/>
    <w:basedOn w:val="9"/>
    <w:link w:val="5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semiHidden/>
    <w:qFormat/>
    <w:uiPriority w:val="99"/>
    <w:rPr>
      <w:sz w:val="18"/>
      <w:szCs w:val="18"/>
    </w:rPr>
  </w:style>
  <w:style w:type="paragraph" w:customStyle="1" w:styleId="13">
    <w:name w:val="表格标题DG"/>
    <w:basedOn w:val="1"/>
    <w:qFormat/>
    <w:uiPriority w:val="0"/>
    <w:pPr>
      <w:snapToGrid w:val="0"/>
      <w:jc w:val="center"/>
    </w:pPr>
    <w:rPr>
      <w:rFonts w:ascii="Arial" w:hAnsi="Arial" w:eastAsia="黑体"/>
      <w:bCs/>
      <w:color w:val="000000"/>
      <w:sz w:val="21"/>
      <w:szCs w:val="20"/>
    </w:rPr>
  </w:style>
  <w:style w:type="paragraph" w:customStyle="1" w:styleId="14">
    <w:name w:val="表格正文DG"/>
    <w:basedOn w:val="1"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6">
    <w:name w:val="一级标题DG"/>
    <w:basedOn w:val="1"/>
    <w:qFormat/>
    <w:uiPriority w:val="0"/>
    <w:pPr>
      <w:spacing w:line="480" w:lineRule="auto"/>
      <w:outlineLvl w:val="0"/>
    </w:pPr>
    <w:rPr>
      <w:rFonts w:ascii="Arial" w:hAnsi="Arial" w:eastAsia="黑体"/>
      <w:sz w:val="28"/>
    </w:rPr>
  </w:style>
  <w:style w:type="paragraph" w:customStyle="1" w:styleId="17">
    <w:name w:val="二级标题DG"/>
    <w:basedOn w:val="6"/>
    <w:qFormat/>
    <w:uiPriority w:val="0"/>
    <w:pPr>
      <w:spacing w:before="25" w:beforeLines="25" w:beforeAutospacing="0" w:after="50" w:afterLines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18">
    <w:name w:val="正文DG"/>
    <w:basedOn w:val="1"/>
    <w:qFormat/>
    <w:uiPriority w:val="0"/>
    <w:pPr>
      <w:snapToGrid w:val="0"/>
      <w:spacing w:line="440" w:lineRule="exact"/>
      <w:ind w:firstLine="480" w:firstLineChars="200"/>
    </w:pPr>
    <w:rPr>
      <w:rFonts w:ascii="Times New Roman" w:hAnsi="Times New Roman" w:cs="Times New Roman"/>
      <w:color w:val="000000"/>
    </w:rPr>
  </w:style>
  <w:style w:type="character" w:customStyle="1" w:styleId="19">
    <w:name w:val="标题 1 Char"/>
    <w:basedOn w:val="9"/>
    <w:link w:val="2"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20">
    <w:name w:val="批注文字 Char"/>
    <w:basedOn w:val="9"/>
    <w:link w:val="3"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1">
    <w:name w:val="editor-text-node"/>
    <w:basedOn w:val="9"/>
    <w:uiPriority w:val="0"/>
  </w:style>
  <w:style w:type="character" w:styleId="22">
    <w:name w:val="Placeholder Text"/>
    <w:basedOn w:val="9"/>
    <w:unhideWhenUsed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E9BACF4-23FB-442E-AA19-4D649478D61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1415</Words>
  <Characters>1503</Characters>
  <Lines>17</Lines>
  <Paragraphs>4</Paragraphs>
  <TotalTime>0</TotalTime>
  <ScaleCrop>false</ScaleCrop>
  <LinksUpToDate>false</LinksUpToDate>
  <CharactersWithSpaces>1517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2026-09-06T04:14:00Z</dcterms:created>
  <dc:creator>juvg</dc:creator>
  <cp:lastModifiedBy>AstheDew</cp:lastModifiedBy>
  <cp:lastPrinted>2023-10-23T04:11:00Z</cp:lastPrinted>
  <dcterms:modified xsi:type="dcterms:W3CDTF">2026-09-28T05:53:29Z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eyJoZGlkIjoiYmJmYjA0YjYzMGY3M2Y3OTczMTlhMjNhNjhmMmM1MGQiLCJ1c2VySWQiOiIxMzUyMzkyNzg3In0=</vt:lpwstr>
  </property>
  <property fmtid="{D5CDD505-2E9C-101B-9397-08002B2CF9AE}" pid="4" name="ICV">
    <vt:lpwstr>42E5D27B2CEF498ABEE37003C6A42EDC_12</vt:lpwstr>
  </property>
</Properties>
</file>