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基础日语3</w:t>
      </w:r>
      <w:r>
        <w:rPr>
          <w:rFonts w:ascii="黑体" w:hAnsi="黑体" w:eastAsia="黑体"/>
          <w:bCs/>
          <w:sz w:val="32"/>
          <w:szCs w:val="32"/>
        </w:rPr>
        <w:t xml:space="preserve">  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ECD5700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5"/>
        <w:gridCol w:w="2265"/>
        <w:gridCol w:w="1275"/>
        <w:gridCol w:w="857"/>
        <w:gridCol w:w="571"/>
        <w:gridCol w:w="845"/>
        <w:gridCol w:w="788"/>
      </w:tblGrid>
      <w:tr w14:paraId="1F3F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1" w:hRule="atLeast"/>
        </w:trPr>
        <w:tc>
          <w:tcPr>
            <w:tcW w:w="1695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630D10A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601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609C107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（中文）基础日语3</w:t>
            </w:r>
          </w:p>
        </w:tc>
      </w:tr>
      <w:tr w14:paraId="58C5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1" w:hRule="atLeast"/>
        </w:trPr>
        <w:tc>
          <w:tcPr>
            <w:tcW w:w="1695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DB206D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1" w:type="dxa"/>
            <w:gridSpan w:val="6"/>
            <w:tcBorders>
              <w:right w:val="single" w:color="auto" w:sz="12" w:space="0"/>
            </w:tcBorders>
            <w:vAlign w:val="center"/>
          </w:tcPr>
          <w:p w14:paraId="71BC1D85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Basic Japanese 3</w:t>
            </w:r>
          </w:p>
        </w:tc>
      </w:tr>
      <w:tr w14:paraId="4EA4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1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68F871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5" w:type="dxa"/>
            <w:vAlign w:val="center"/>
          </w:tcPr>
          <w:p w14:paraId="3042D1E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2140022</w:t>
            </w:r>
          </w:p>
        </w:tc>
        <w:tc>
          <w:tcPr>
            <w:tcW w:w="2131" w:type="dxa"/>
            <w:gridSpan w:val="2"/>
            <w:vAlign w:val="center"/>
          </w:tcPr>
          <w:p w14:paraId="066EC97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204" w:type="dxa"/>
            <w:gridSpan w:val="3"/>
            <w:tcBorders>
              <w:right w:val="single" w:color="auto" w:sz="12" w:space="0"/>
            </w:tcBorders>
            <w:vAlign w:val="center"/>
          </w:tcPr>
          <w:p w14:paraId="6333A09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44B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1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045B68D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5" w:type="dxa"/>
            <w:vAlign w:val="center"/>
          </w:tcPr>
          <w:p w14:paraId="5D7905F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275" w:type="dxa"/>
            <w:vAlign w:val="center"/>
          </w:tcPr>
          <w:p w14:paraId="6C85515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6" w:type="dxa"/>
            <w:vAlign w:val="center"/>
          </w:tcPr>
          <w:p w14:paraId="518DF9D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416" w:type="dxa"/>
            <w:gridSpan w:val="2"/>
            <w:vAlign w:val="center"/>
          </w:tcPr>
          <w:p w14:paraId="4EB60CA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7" w:type="dxa"/>
            <w:tcBorders>
              <w:right w:val="single" w:color="auto" w:sz="12" w:space="0"/>
            </w:tcBorders>
            <w:vAlign w:val="center"/>
          </w:tcPr>
          <w:p w14:paraId="4C36905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0C7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1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FBEEB0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5" w:type="dxa"/>
            <w:vAlign w:val="center"/>
          </w:tcPr>
          <w:p w14:paraId="68D61AD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31" w:type="dxa"/>
            <w:gridSpan w:val="2"/>
            <w:vAlign w:val="center"/>
          </w:tcPr>
          <w:p w14:paraId="74D5506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204" w:type="dxa"/>
            <w:gridSpan w:val="3"/>
            <w:tcBorders>
              <w:right w:val="single" w:color="auto" w:sz="12" w:space="0"/>
            </w:tcBorders>
            <w:vAlign w:val="center"/>
          </w:tcPr>
          <w:p w14:paraId="3679FC0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日语专业、二年级上</w:t>
            </w:r>
          </w:p>
        </w:tc>
      </w:tr>
      <w:tr w14:paraId="0376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1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2CF26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5" w:type="dxa"/>
            <w:vAlign w:val="center"/>
          </w:tcPr>
          <w:p w14:paraId="2B14C90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专业基础必修课</w:t>
            </w:r>
          </w:p>
        </w:tc>
        <w:tc>
          <w:tcPr>
            <w:tcW w:w="2131" w:type="dxa"/>
            <w:gridSpan w:val="2"/>
            <w:vAlign w:val="center"/>
          </w:tcPr>
          <w:p w14:paraId="4AAB6BF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204" w:type="dxa"/>
            <w:gridSpan w:val="3"/>
            <w:tcBorders>
              <w:right w:val="single" w:color="auto" w:sz="12" w:space="0"/>
            </w:tcBorders>
            <w:vAlign w:val="center"/>
          </w:tcPr>
          <w:p w14:paraId="2D5A7CE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4385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1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07F32D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97" w:type="dxa"/>
            <w:gridSpan w:val="3"/>
            <w:vAlign w:val="center"/>
          </w:tcPr>
          <w:p w14:paraId="07769783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《新编日语（重排本）》第3册、周平，陈小芬、ISBN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978-7-5446-5894-2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、上海外语教育出版社、第一版</w:t>
            </w:r>
          </w:p>
        </w:tc>
        <w:tc>
          <w:tcPr>
            <w:tcW w:w="1416" w:type="dxa"/>
            <w:gridSpan w:val="2"/>
            <w:vAlign w:val="center"/>
          </w:tcPr>
          <w:p w14:paraId="25D25D8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10C358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7" w:type="dxa"/>
            <w:tcBorders>
              <w:right w:val="single" w:color="auto" w:sz="12" w:space="0"/>
            </w:tcBorders>
            <w:vAlign w:val="center"/>
          </w:tcPr>
          <w:p w14:paraId="2ACE32F4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C56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08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B5B0D8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601" w:type="dxa"/>
            <w:gridSpan w:val="6"/>
            <w:tcBorders>
              <w:right w:val="single" w:color="auto" w:sz="12" w:space="0"/>
            </w:tcBorders>
            <w:vAlign w:val="center"/>
          </w:tcPr>
          <w:p w14:paraId="6F229263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基础日语2</w:t>
            </w:r>
            <w:r>
              <w:t xml:space="preserve"> 2140041</w:t>
            </w:r>
            <w:r>
              <w:rPr>
                <w:rFonts w:hint="eastAsia"/>
              </w:rPr>
              <w:t>（1</w:t>
            </w:r>
            <w:r>
              <w:t>0</w:t>
            </w:r>
            <w:r>
              <w:rPr>
                <w:rFonts w:hint="eastAsia"/>
              </w:rPr>
              <w:t>）</w:t>
            </w:r>
          </w:p>
        </w:tc>
      </w:tr>
      <w:tr w14:paraId="1C8B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819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964801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601" w:type="dxa"/>
            <w:gridSpan w:val="6"/>
            <w:tcBorders>
              <w:right w:val="single" w:color="auto" w:sz="12" w:space="0"/>
            </w:tcBorders>
          </w:tcPr>
          <w:p w14:paraId="2F9259C8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为日语本科专业的专业基础必修课，教学对象为日语本科大二上的学生。本课程的主要目的是在基础日语1、2的基础上，进一步加强学生对日语基本语法、词汇和发音等的理解，提升学生对于日语的灵活运用。本课程听说读写译并重，侧重于对于学生的全面训练。在此阶段，学生将进一步扩展词汇量，学习更多的日常用语和专业词汇，帮助学生更好地进行日常对话和理解日语文本；继续深入学习日语的语法结构，包括各种时态、敬语以及复合句的构造；通过听力练习和角色扮演会话等，加强学生对日语口语的理解和应对能力，帮助学生在实际对话中更流畅自然；强化学生对于阅读短文、对话或长篇文章的理解能力，帮助学生更好地理解日语文字和文化；同时帮助学生学习如何用日语进行基本的写作，包括书写日记、简短的信件或者描述性文本；学习有关日本文化的知识，比如节日、传统习俗和日常生活方式，用以帮助学生理解语言背后的背景。通过本课程的学习，学生可以进一步掌握日语基础知识，以便获取专四、N</w:t>
            </w:r>
            <w:r>
              <w:t>2</w:t>
            </w:r>
            <w:r>
              <w:rPr>
                <w:rFonts w:hint="eastAsia"/>
              </w:rPr>
              <w:t>等日语相关证书。</w:t>
            </w:r>
          </w:p>
        </w:tc>
      </w:tr>
      <w:tr w14:paraId="4D30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69" w:hRule="atLeast"/>
        </w:trPr>
        <w:tc>
          <w:tcPr>
            <w:tcW w:w="1695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1E242B1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601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C95E2F3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本课程适合日语专业二年级第一学期本科生授课，要求学生通过扩展词汇量、学习日语语法、练习听力和会话、进行阅读写作练习等，达到N</w:t>
            </w:r>
            <w:r>
              <w:t>3</w:t>
            </w:r>
            <w:r>
              <w:rPr>
                <w:rFonts w:hint="eastAsia"/>
              </w:rPr>
              <w:t>、N</w:t>
            </w:r>
            <w:r>
              <w:t>2</w:t>
            </w:r>
            <w:r>
              <w:rPr>
                <w:rFonts w:hint="eastAsia"/>
              </w:rPr>
              <w:t>水平。</w:t>
            </w:r>
          </w:p>
        </w:tc>
      </w:tr>
      <w:tr w14:paraId="3B9F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97" w:hRule="atLeast"/>
        </w:trPr>
        <w:tc>
          <w:tcPr>
            <w:tcW w:w="1695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583AA12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40" w:type="dxa"/>
            <w:gridSpan w:val="2"/>
            <w:tcBorders>
              <w:top w:val="double" w:color="auto" w:sz="4" w:space="0"/>
            </w:tcBorders>
            <w:vAlign w:val="center"/>
          </w:tcPr>
          <w:p w14:paraId="5C456D45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0" distR="0">
                  <wp:extent cx="434340" cy="230505"/>
                  <wp:effectExtent l="0" t="0" r="0" b="0"/>
                  <wp:docPr id="1517353332" name="図 1" descr="ハンガー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353332" name="図 1" descr="ハンガー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774" cy="25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8" w:type="dxa"/>
            <w:gridSpan w:val="2"/>
            <w:tcBorders>
              <w:top w:val="double" w:color="auto" w:sz="4" w:space="0"/>
            </w:tcBorders>
            <w:vAlign w:val="center"/>
          </w:tcPr>
          <w:p w14:paraId="37592E2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32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EEAAA95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023.12.20</w:t>
            </w:r>
          </w:p>
        </w:tc>
      </w:tr>
      <w:tr w14:paraId="071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97" w:hRule="atLeast"/>
        </w:trPr>
        <w:tc>
          <w:tcPr>
            <w:tcW w:w="1695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014990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4" w:name="_GoBack" w:colFirst="1" w:colLast="2"/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40" w:type="dxa"/>
            <w:gridSpan w:val="2"/>
            <w:vAlign w:val="center"/>
          </w:tcPr>
          <w:p w14:paraId="114000FB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08990" cy="327660"/>
                  <wp:effectExtent l="0" t="0" r="0" b="254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389" cy="33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8" w:type="dxa"/>
            <w:gridSpan w:val="2"/>
            <w:vAlign w:val="center"/>
          </w:tcPr>
          <w:p w14:paraId="418025EC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32" w:type="dxa"/>
            <w:gridSpan w:val="2"/>
            <w:tcBorders>
              <w:right w:val="single" w:color="auto" w:sz="12" w:space="0"/>
            </w:tcBorders>
            <w:vAlign w:val="center"/>
          </w:tcPr>
          <w:p w14:paraId="434D49DF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024.2.20</w:t>
            </w:r>
          </w:p>
        </w:tc>
      </w:tr>
      <w:tr w14:paraId="4928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97" w:hRule="atLeast"/>
        </w:trPr>
        <w:tc>
          <w:tcPr>
            <w:tcW w:w="1695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7487A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40" w:type="dxa"/>
            <w:gridSpan w:val="2"/>
            <w:tcBorders>
              <w:bottom w:val="single" w:color="auto" w:sz="12" w:space="0"/>
            </w:tcBorders>
            <w:vAlign w:val="center"/>
          </w:tcPr>
          <w:p w14:paraId="729524E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42645" cy="344805"/>
                  <wp:effectExtent l="0" t="0" r="15875" b="1905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05" cy="35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8" w:type="dxa"/>
            <w:gridSpan w:val="2"/>
            <w:tcBorders>
              <w:bottom w:val="single" w:color="auto" w:sz="12" w:space="0"/>
            </w:tcBorders>
            <w:vAlign w:val="center"/>
          </w:tcPr>
          <w:p w14:paraId="6F4A333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32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65EC58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024.2.20</w:t>
            </w:r>
          </w:p>
        </w:tc>
      </w:tr>
      <w:bookmarkEnd w:id="4"/>
    </w:tbl>
    <w:p w14:paraId="33F2E72F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4FA1CB46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9"/>
      </w:tblGrid>
      <w:tr w14:paraId="00BD7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3187CE9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20C5A2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1840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F72240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8DDD9E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1FCFD08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熟练掌握教材涉及的单词、语法。</w:t>
            </w:r>
          </w:p>
        </w:tc>
      </w:tr>
      <w:tr w14:paraId="3C59B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176EF87">
            <w:pPr>
              <w:pStyle w:val="14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7ACFF3B8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6C5C66B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能够理解日语文章，提高文章概括能力。</w:t>
            </w:r>
          </w:p>
        </w:tc>
      </w:tr>
      <w:tr w14:paraId="770DF2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081BEC4">
            <w:pPr>
              <w:pStyle w:val="14"/>
              <w:jc w:val="left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C80469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021AD9C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培养学生灵活运用日语，能够进行基础的中日互译。</w:t>
            </w:r>
          </w:p>
        </w:tc>
      </w:tr>
      <w:tr w14:paraId="28C1F2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3ABE6C48">
            <w:pPr>
              <w:pStyle w:val="14"/>
              <w:jc w:val="left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364CD55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CA1DDAC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具备基础的日语沟通交流能力。</w:t>
            </w:r>
          </w:p>
        </w:tc>
      </w:tr>
      <w:tr w14:paraId="30B14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26" w:hRule="atLeast"/>
          <w:jc w:val="center"/>
        </w:trPr>
        <w:tc>
          <w:tcPr>
            <w:tcW w:w="1206" w:type="dxa"/>
            <w:vAlign w:val="center"/>
          </w:tcPr>
          <w:p w14:paraId="4FB4ADEE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1816AA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3CE4CDA0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根据授课要求制定适合自己的学习目标和学习计划，具有一定的辩证思维能力和思维扩展能力。</w:t>
            </w:r>
          </w:p>
        </w:tc>
      </w:tr>
      <w:tr w14:paraId="43AA4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4" w:hRule="atLeast"/>
          <w:jc w:val="center"/>
        </w:trPr>
        <w:tc>
          <w:tcPr>
            <w:tcW w:w="1206" w:type="dxa"/>
            <w:vMerge w:val="restart"/>
            <w:vAlign w:val="center"/>
          </w:tcPr>
          <w:p w14:paraId="0AFC370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417F1853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3D4EFA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5AF9FEA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要求学生增强法律意识，培养法律思维。遵守校规。</w:t>
            </w:r>
          </w:p>
        </w:tc>
      </w:tr>
      <w:tr w14:paraId="46EEBF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8E248F9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4C16679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7</w:t>
            </w:r>
          </w:p>
        </w:tc>
        <w:tc>
          <w:tcPr>
            <w:tcW w:w="6306" w:type="dxa"/>
            <w:vAlign w:val="center"/>
          </w:tcPr>
          <w:p w14:paraId="12905A8E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培养终身学习的意识。</w:t>
            </w:r>
          </w:p>
        </w:tc>
      </w:tr>
    </w:tbl>
    <w:p w14:paraId="089BD5FC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3DA0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B9DB8E2">
            <w:pPr>
              <w:pStyle w:val="14"/>
              <w:widowControl w:val="0"/>
              <w:jc w:val="left"/>
              <w:rPr>
                <w:rFonts w:asciiTheme="majorEastAsia" w:hAnsiTheme="majorEastAsia" w:eastAsiaTheme="majorEastAsia"/>
                <w:bCs/>
              </w:rPr>
            </w:pPr>
            <w:r>
              <w:rPr>
                <w:rFonts w:asciiTheme="majorEastAsia" w:hAnsiTheme="majorEastAsia" w:eastAsiaTheme="majorEastAsia"/>
                <w:b/>
              </w:rPr>
              <w:t>LO1品德修养</w:t>
            </w:r>
            <w:r>
              <w:rPr>
                <w:rFonts w:asciiTheme="majorEastAsia" w:hAnsiTheme="majorEastAsia" w:eastAsiaTheme="majorEastAsia"/>
                <w:bCs/>
              </w:rPr>
              <w:t>：拥护</w:t>
            </w:r>
            <w:r>
              <w:rPr>
                <w:rFonts w:hint="eastAsia" w:asciiTheme="majorEastAsia" w:hAnsiTheme="majorEastAsia" w:eastAsiaTheme="majorEastAsia"/>
                <w:bCs/>
              </w:rPr>
              <w:t>中国共产</w:t>
            </w:r>
            <w:r>
              <w:rPr>
                <w:rFonts w:asciiTheme="majorEastAsia" w:hAnsiTheme="majorEastAsia" w:eastAsiaTheme="majorEastAsia"/>
                <w:bCs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 w:asciiTheme="majorEastAsia" w:hAnsiTheme="majorEastAsia" w:eastAsiaTheme="majorEastAsia"/>
                <w:bCs/>
              </w:rPr>
              <w:t>“感恩、回报、爱心、责任”</w:t>
            </w:r>
            <w:r>
              <w:rPr>
                <w:rFonts w:asciiTheme="majorEastAsia" w:hAnsiTheme="majorEastAsia" w:eastAsiaTheme="majorEastAsia"/>
                <w:bCs/>
              </w:rPr>
              <w:t>八字校训，积极服务他人、服务社会、诚信尽责、爱岗敬业。</w:t>
            </w:r>
          </w:p>
          <w:p w14:paraId="655BF530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  <w:t>②</w:t>
            </w:r>
            <w:r>
              <w:rPr>
                <w:rFonts w:asciiTheme="majorEastAsia" w:hAnsiTheme="majorEastAsia" w:eastAsiaTheme="majorEastAsia"/>
                <w:bCs/>
                <w:sz w:val="21"/>
                <w:szCs w:val="21"/>
              </w:rPr>
              <w:t>遵纪守法，增强法律意识，培养法律思维，自觉遵守法律法规、校纪校规。</w:t>
            </w:r>
          </w:p>
        </w:tc>
      </w:tr>
      <w:tr w14:paraId="644F6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3EA1831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 w:val="21"/>
                <w:szCs w:val="21"/>
              </w:rPr>
              <w:t>LO2专业能力</w:t>
            </w:r>
            <w:r>
              <w:rPr>
                <w:rFonts w:asciiTheme="majorEastAsia" w:hAnsiTheme="majorEastAsia" w:eastAsiaTheme="majorEastAsia"/>
                <w:bCs/>
                <w:sz w:val="21"/>
                <w:szCs w:val="21"/>
              </w:rPr>
              <w:t>：</w:t>
            </w:r>
          </w:p>
          <w:p w14:paraId="3E6C85A2">
            <w:pPr>
              <w:pStyle w:val="14"/>
              <w:widowControl w:val="0"/>
              <w:jc w:val="left"/>
              <w:rPr>
                <w:rFonts w:asciiTheme="majorEastAsia" w:hAnsiTheme="majorEastAsia" w:eastAsiaTheme="majorEastAsia"/>
                <w:bCs/>
              </w:rPr>
            </w:pPr>
            <w:r>
              <w:rPr>
                <w:rFonts w:hint="eastAsia" w:asciiTheme="majorEastAsia" w:hAnsiTheme="majorEastAsia" w:eastAsiaTheme="majorEastAsia"/>
                <w:bCs/>
              </w:rPr>
              <w:t>①掌握日语语言基础知识，具有扎实的语言基本功和听、说、读、写、译等语言应用能力。</w:t>
            </w:r>
          </w:p>
        </w:tc>
      </w:tr>
      <w:tr w14:paraId="01230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B3188DB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 w:val="21"/>
                <w:szCs w:val="21"/>
              </w:rPr>
              <w:t>LO4自主学习</w:t>
            </w:r>
            <w:r>
              <w:rPr>
                <w:rFonts w:asciiTheme="majorEastAsia" w:hAnsiTheme="majorEastAsia" w:eastAsiaTheme="majorEastAsia"/>
                <w:bCs/>
                <w:sz w:val="21"/>
                <w:szCs w:val="21"/>
              </w:rPr>
              <w:t>：能根据环境需要确定自己的学习目标，并主动地通过搜集信息、分析信息、讨论、实践、质疑、创造等方法来实现学习目标。</w:t>
            </w:r>
          </w:p>
          <w:p w14:paraId="34E2F022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  <w:t>①</w:t>
            </w:r>
            <w:r>
              <w:rPr>
                <w:rFonts w:asciiTheme="majorEastAsia" w:hAnsiTheme="majorEastAsia" w:eastAsiaTheme="majorEastAsia"/>
                <w:bCs/>
                <w:sz w:val="21"/>
                <w:szCs w:val="21"/>
              </w:rPr>
              <w:t>能根据需要确定学习目标，并设计学习计划。</w:t>
            </w:r>
          </w:p>
        </w:tc>
      </w:tr>
      <w:tr w14:paraId="50AFFB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066EF3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 w:val="21"/>
                <w:szCs w:val="21"/>
              </w:rPr>
              <w:t>LO5健康发展</w:t>
            </w:r>
            <w:r>
              <w:rPr>
                <w:rFonts w:asciiTheme="majorEastAsia" w:hAnsiTheme="majorEastAsia" w:eastAsiaTheme="majorEastAsia"/>
                <w:bCs/>
                <w:sz w:val="21"/>
                <w:szCs w:val="21"/>
              </w:rPr>
              <w:t>：懂得审美、热爱劳动、为人热忱、身心健康、耐挫折，具有可持续发展的能力。</w:t>
            </w:r>
          </w:p>
          <w:p w14:paraId="465F4A3E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  <w:t>⑤</w:t>
            </w:r>
            <w:r>
              <w:rPr>
                <w:rFonts w:asciiTheme="majorEastAsia" w:hAnsiTheme="majorEastAsia" w:eastAsiaTheme="majorEastAsia"/>
                <w:bCs/>
                <w:sz w:val="21"/>
                <w:szCs w:val="21"/>
              </w:rPr>
              <w:t>持续发展，具有爱护环境的意识，与自然和谐相处的环保理念与行动；具备终生学习的意识和能力。</w:t>
            </w:r>
          </w:p>
        </w:tc>
      </w:tr>
    </w:tbl>
    <w:p w14:paraId="6A27BE0A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49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5"/>
        <w:gridCol w:w="792"/>
        <w:gridCol w:w="792"/>
        <w:gridCol w:w="5011"/>
        <w:gridCol w:w="1084"/>
      </w:tblGrid>
      <w:tr w14:paraId="323E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81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84B0D79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3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0250B94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3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6DE1400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894" w:type="dxa"/>
            <w:tcBorders>
              <w:top w:val="single" w:color="auto" w:sz="12" w:space="0"/>
            </w:tcBorders>
            <w:vAlign w:val="center"/>
          </w:tcPr>
          <w:p w14:paraId="2D9AEFC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05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ECB08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5866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85" w:hRule="atLeast"/>
          <w:jc w:val="center"/>
        </w:trPr>
        <w:tc>
          <w:tcPr>
            <w:tcW w:w="75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94D883D">
            <w:pPr>
              <w:pStyle w:val="14"/>
            </w:pPr>
            <w:r>
              <w:rPr>
                <w:rFonts w:hint="eastAsia"/>
              </w:rPr>
              <w:t>L0</w:t>
            </w:r>
            <w:r>
              <w:t>1</w:t>
            </w:r>
          </w:p>
        </w:tc>
        <w:tc>
          <w:tcPr>
            <w:tcW w:w="773" w:type="dxa"/>
            <w:tcBorders>
              <w:left w:val="single" w:color="auto" w:sz="4" w:space="0"/>
            </w:tcBorders>
            <w:vAlign w:val="center"/>
          </w:tcPr>
          <w:p w14:paraId="4E705B2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Theme="majorEastAsia" w:hAnsiTheme="majorEastAsia" w:eastAsiaTheme="majorEastAsia"/>
                <w:bCs/>
              </w:rPr>
              <w:t>②</w:t>
            </w:r>
          </w:p>
        </w:tc>
        <w:tc>
          <w:tcPr>
            <w:tcW w:w="773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765126D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L</w:t>
            </w:r>
          </w:p>
        </w:tc>
        <w:tc>
          <w:tcPr>
            <w:tcW w:w="4894" w:type="dxa"/>
            <w:vAlign w:val="center"/>
          </w:tcPr>
          <w:p w14:paraId="61D5CC33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6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要求学生增强法律意识，培养法律思维。遵守校规。</w:t>
            </w:r>
          </w:p>
        </w:tc>
        <w:tc>
          <w:tcPr>
            <w:tcW w:w="1058" w:type="dxa"/>
            <w:tcBorders>
              <w:right w:val="single" w:color="auto" w:sz="12" w:space="0"/>
            </w:tcBorders>
            <w:vAlign w:val="center"/>
          </w:tcPr>
          <w:p w14:paraId="62079831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100</w:t>
            </w:r>
          </w:p>
        </w:tc>
      </w:tr>
      <w:tr w14:paraId="6D99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2" w:hRule="atLeast"/>
          <w:jc w:val="center"/>
        </w:trPr>
        <w:tc>
          <w:tcPr>
            <w:tcW w:w="75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5C2C345">
            <w:pPr>
              <w:pStyle w:val="14"/>
            </w:pPr>
            <w:r>
              <w:rPr>
                <w:rFonts w:hint="eastAsia"/>
              </w:rPr>
              <w:t>L02</w:t>
            </w:r>
          </w:p>
        </w:tc>
        <w:tc>
          <w:tcPr>
            <w:tcW w:w="773" w:type="dxa"/>
            <w:vMerge w:val="restart"/>
            <w:tcBorders>
              <w:left w:val="single" w:color="auto" w:sz="4" w:space="0"/>
            </w:tcBorders>
            <w:vAlign w:val="center"/>
          </w:tcPr>
          <w:p w14:paraId="4BCA33D0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bCs/>
              </w:rPr>
              <w:t>①</w:t>
            </w:r>
          </w:p>
        </w:tc>
        <w:tc>
          <w:tcPr>
            <w:tcW w:w="773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732953F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894" w:type="dxa"/>
            <w:vAlign w:val="center"/>
          </w:tcPr>
          <w:p w14:paraId="067AA3D9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熟练掌握教材涉及的单词、语法。</w:t>
            </w:r>
          </w:p>
        </w:tc>
        <w:tc>
          <w:tcPr>
            <w:tcW w:w="1058" w:type="dxa"/>
            <w:tcBorders>
              <w:right w:val="single" w:color="auto" w:sz="12" w:space="0"/>
            </w:tcBorders>
            <w:vAlign w:val="center"/>
          </w:tcPr>
          <w:p w14:paraId="29EC698A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  <w:r>
              <w:rPr>
                <w:rFonts w:ascii="宋体" w:hAnsi="宋体"/>
                <w:bCs/>
              </w:rPr>
              <w:t>5</w:t>
            </w:r>
          </w:p>
        </w:tc>
      </w:tr>
      <w:tr w14:paraId="2773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2" w:hRule="atLeast"/>
          <w:jc w:val="center"/>
        </w:trPr>
        <w:tc>
          <w:tcPr>
            <w:tcW w:w="75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A686B52">
            <w:pPr>
              <w:pStyle w:val="14"/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</w:tcBorders>
            <w:vAlign w:val="center"/>
          </w:tcPr>
          <w:p w14:paraId="52EA0087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3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6232FC7">
            <w:pPr>
              <w:pStyle w:val="14"/>
              <w:rPr>
                <w:rFonts w:ascii="宋体" w:hAnsi="宋体"/>
              </w:rPr>
            </w:pPr>
          </w:p>
        </w:tc>
        <w:tc>
          <w:tcPr>
            <w:tcW w:w="4894" w:type="dxa"/>
            <w:vAlign w:val="center"/>
          </w:tcPr>
          <w:p w14:paraId="21274B25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能够理解日语文章，提高文章概括能力。</w:t>
            </w:r>
          </w:p>
        </w:tc>
        <w:tc>
          <w:tcPr>
            <w:tcW w:w="1058" w:type="dxa"/>
            <w:tcBorders>
              <w:right w:val="single" w:color="auto" w:sz="12" w:space="0"/>
            </w:tcBorders>
            <w:vAlign w:val="center"/>
          </w:tcPr>
          <w:p w14:paraId="7B7A8CAD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  <w:r>
              <w:rPr>
                <w:rFonts w:ascii="宋体" w:hAnsi="宋体"/>
                <w:bCs/>
              </w:rPr>
              <w:t>5</w:t>
            </w:r>
          </w:p>
        </w:tc>
      </w:tr>
      <w:tr w14:paraId="6696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5" w:hRule="atLeast"/>
          <w:jc w:val="center"/>
        </w:trPr>
        <w:tc>
          <w:tcPr>
            <w:tcW w:w="75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D7C65EC">
            <w:pPr>
              <w:pStyle w:val="14"/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</w:tcBorders>
            <w:vAlign w:val="center"/>
          </w:tcPr>
          <w:p w14:paraId="485EE101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3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AEACE22">
            <w:pPr>
              <w:pStyle w:val="14"/>
              <w:rPr>
                <w:rFonts w:ascii="宋体" w:hAnsi="宋体"/>
              </w:rPr>
            </w:pPr>
          </w:p>
        </w:tc>
        <w:tc>
          <w:tcPr>
            <w:tcW w:w="4894" w:type="dxa"/>
            <w:vAlign w:val="center"/>
          </w:tcPr>
          <w:p w14:paraId="2DC7F9FE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培养学生灵活运用日语，能够进行基础的中日互译。</w:t>
            </w:r>
          </w:p>
        </w:tc>
        <w:tc>
          <w:tcPr>
            <w:tcW w:w="1058" w:type="dxa"/>
            <w:tcBorders>
              <w:right w:val="single" w:color="auto" w:sz="12" w:space="0"/>
            </w:tcBorders>
            <w:vAlign w:val="center"/>
          </w:tcPr>
          <w:p w14:paraId="6BCE5B70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  <w:r>
              <w:rPr>
                <w:rFonts w:ascii="宋体" w:hAnsi="宋体"/>
                <w:bCs/>
              </w:rPr>
              <w:t>5</w:t>
            </w:r>
          </w:p>
        </w:tc>
      </w:tr>
      <w:tr w14:paraId="0E7D3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4" w:hRule="atLeast"/>
          <w:jc w:val="center"/>
        </w:trPr>
        <w:tc>
          <w:tcPr>
            <w:tcW w:w="75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15B858E">
            <w:pPr>
              <w:pStyle w:val="14"/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</w:tcBorders>
            <w:vAlign w:val="center"/>
          </w:tcPr>
          <w:p w14:paraId="1F1F68B0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3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2FFE216">
            <w:pPr>
              <w:pStyle w:val="14"/>
              <w:rPr>
                <w:rFonts w:ascii="宋体" w:hAnsi="宋体"/>
              </w:rPr>
            </w:pPr>
          </w:p>
        </w:tc>
        <w:tc>
          <w:tcPr>
            <w:tcW w:w="4894" w:type="dxa"/>
            <w:vAlign w:val="center"/>
          </w:tcPr>
          <w:p w14:paraId="7D9117AB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具备基础的日语沟通交流能力。</w:t>
            </w:r>
          </w:p>
        </w:tc>
        <w:tc>
          <w:tcPr>
            <w:tcW w:w="1058" w:type="dxa"/>
            <w:tcBorders>
              <w:right w:val="single" w:color="auto" w:sz="12" w:space="0"/>
            </w:tcBorders>
            <w:vAlign w:val="center"/>
          </w:tcPr>
          <w:p w14:paraId="4245E55F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  <w:r>
              <w:rPr>
                <w:rFonts w:ascii="宋体" w:hAnsi="宋体"/>
                <w:bCs/>
              </w:rPr>
              <w:t>5</w:t>
            </w:r>
          </w:p>
        </w:tc>
      </w:tr>
      <w:tr w14:paraId="51D5E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2" w:hRule="atLeast"/>
          <w:jc w:val="center"/>
        </w:trPr>
        <w:tc>
          <w:tcPr>
            <w:tcW w:w="75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44549119">
            <w:pPr>
              <w:pStyle w:val="14"/>
            </w:pPr>
            <w:r>
              <w:rPr>
                <w:rFonts w:hint="eastAsia"/>
              </w:rPr>
              <w:t>L04</w:t>
            </w:r>
          </w:p>
        </w:tc>
        <w:tc>
          <w:tcPr>
            <w:tcW w:w="773" w:type="dxa"/>
            <w:tcBorders>
              <w:left w:val="single" w:color="auto" w:sz="4" w:space="0"/>
            </w:tcBorders>
            <w:vAlign w:val="center"/>
          </w:tcPr>
          <w:p w14:paraId="7B4F4F5C">
            <w:pPr>
              <w:pStyle w:val="14"/>
              <w:numPr>
                <w:ilvl w:val="0"/>
                <w:numId w:val="1"/>
              </w:numPr>
              <w:rPr>
                <w:rFonts w:cs="Times New Roman"/>
                <w:bCs/>
              </w:rPr>
            </w:pPr>
          </w:p>
        </w:tc>
        <w:tc>
          <w:tcPr>
            <w:tcW w:w="773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CA4701D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894" w:type="dxa"/>
            <w:vAlign w:val="center"/>
          </w:tcPr>
          <w:p w14:paraId="7E6D72C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根据授课要求制定适合自己的学习目标和学习计划，具有一定的辩证思维能力和思维扩展能力。</w:t>
            </w:r>
          </w:p>
        </w:tc>
        <w:tc>
          <w:tcPr>
            <w:tcW w:w="1058" w:type="dxa"/>
            <w:tcBorders>
              <w:right w:val="single" w:color="auto" w:sz="12" w:space="0"/>
            </w:tcBorders>
            <w:vAlign w:val="center"/>
          </w:tcPr>
          <w:p w14:paraId="47D858DD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</w:p>
        </w:tc>
      </w:tr>
      <w:tr w14:paraId="514D2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2" w:hRule="atLeast"/>
          <w:jc w:val="center"/>
        </w:trPr>
        <w:tc>
          <w:tcPr>
            <w:tcW w:w="757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261CB734">
            <w:pPr>
              <w:pStyle w:val="14"/>
            </w:pPr>
            <w:r>
              <w:rPr>
                <w:rFonts w:hint="eastAsia"/>
              </w:rPr>
              <w:t>L05</w:t>
            </w:r>
          </w:p>
        </w:tc>
        <w:tc>
          <w:tcPr>
            <w:tcW w:w="773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36AD0B93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Theme="majorEastAsia" w:hAnsiTheme="majorEastAsia" w:eastAsiaTheme="majorEastAsia"/>
                <w:bCs/>
              </w:rPr>
              <w:t>⑤</w:t>
            </w:r>
          </w:p>
        </w:tc>
        <w:tc>
          <w:tcPr>
            <w:tcW w:w="773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27A1DD65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894" w:type="dxa"/>
            <w:tcBorders>
              <w:bottom w:val="single" w:color="auto" w:sz="12" w:space="0"/>
            </w:tcBorders>
            <w:vAlign w:val="center"/>
          </w:tcPr>
          <w:p w14:paraId="07B7411D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7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培养终身学习的意识。</w:t>
            </w:r>
          </w:p>
        </w:tc>
        <w:tc>
          <w:tcPr>
            <w:tcW w:w="105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C49ABB6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</w:p>
        </w:tc>
      </w:tr>
    </w:tbl>
    <w:p w14:paraId="26C7989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3DE4CAB0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7"/>
        <w:tblW w:w="45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437"/>
        <w:gridCol w:w="2178"/>
        <w:gridCol w:w="2468"/>
        <w:gridCol w:w="1600"/>
      </w:tblGrid>
      <w:tr w14:paraId="4100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1403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D30567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7271A1F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预期学习成果</w:t>
            </w:r>
          </w:p>
        </w:tc>
        <w:tc>
          <w:tcPr>
            <w:tcW w:w="2410" w:type="dxa"/>
            <w:tcBorders>
              <w:top w:val="single" w:color="auto" w:sz="12" w:space="0"/>
            </w:tcBorders>
            <w:vAlign w:val="center"/>
          </w:tcPr>
          <w:p w14:paraId="6824638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核心知识点</w:t>
            </w:r>
          </w:p>
        </w:tc>
        <w:tc>
          <w:tcPr>
            <w:tcW w:w="156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70A4B8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能力要求</w:t>
            </w:r>
          </w:p>
        </w:tc>
      </w:tr>
      <w:tr w14:paraId="5F53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403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8D4EDFC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现代生活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（1</w:t>
            </w:r>
            <w:r>
              <w:rPr>
                <w:rFonts w:ascii="宋体" w:hAnsi="宋体"/>
              </w:rPr>
              <w:t>-5</w:t>
            </w:r>
            <w:r>
              <w:rPr>
                <w:rFonts w:hint="eastAsia" w:ascii="宋体" w:hAnsi="宋体"/>
              </w:rPr>
              <w:t>课）</w:t>
            </w:r>
          </w:p>
        </w:tc>
        <w:tc>
          <w:tcPr>
            <w:tcW w:w="2126" w:type="dxa"/>
            <w:vMerge w:val="restart"/>
            <w:tcBorders>
              <w:left w:val="single" w:color="auto" w:sz="4" w:space="0"/>
            </w:tcBorders>
            <w:vAlign w:val="center"/>
          </w:tcPr>
          <w:p w14:paraId="7BBACE82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知道上海世博会、电脑、3G手机、数码相机、上海迪士尼等相关的知识以及日语表达，并理解相应的日本文化。</w:t>
            </w:r>
          </w:p>
        </w:tc>
        <w:tc>
          <w:tcPr>
            <w:tcW w:w="2410" w:type="dxa"/>
            <w:vAlign w:val="center"/>
          </w:tcPr>
          <w:p w14:paraId="0B830867">
            <w:pPr>
              <w:pStyle w:val="14"/>
              <w:jc w:val="left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「がたい」「づける」「どおり」「だからこそ」</w:t>
            </w:r>
            <w:r>
              <w:rPr>
                <w:rFonts w:hint="eastAsia" w:ascii="宋体" w:hAnsi="宋体"/>
                <w:bCs/>
                <w:lang w:eastAsia="ja-JP"/>
              </w:rPr>
              <w:t>等表现的方法</w:t>
            </w:r>
            <w:r>
              <w:rPr>
                <w:rFonts w:ascii="宋体" w:hAnsi="宋体"/>
                <w:bCs/>
                <w:lang w:eastAsia="ja-JP"/>
              </w:rPr>
              <w:t>,</w:t>
            </w:r>
            <w:r>
              <w:rPr>
                <w:rFonts w:hint="eastAsia" w:ascii="宋体" w:hAnsi="宋体"/>
                <w:bCs/>
                <w:lang w:eastAsia="ja-JP"/>
              </w:rPr>
              <w:t>区分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「では」「でも」</w:t>
            </w:r>
            <w:r>
              <w:rPr>
                <w:rFonts w:hint="eastAsia" w:ascii="宋体" w:hAnsi="宋体"/>
                <w:bCs/>
                <w:lang w:eastAsia="ja-JP"/>
              </w:rPr>
              <w:t>的用法。熟练运用「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ように見える」「…をもって」</w:t>
            </w:r>
            <w:r>
              <w:rPr>
                <w:rFonts w:hint="eastAsia" w:ascii="宋体" w:hAnsi="宋体"/>
                <w:bCs/>
                <w:lang w:eastAsia="ja-JP"/>
              </w:rPr>
              <w:t>句式。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3CE604D3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了解上海世博会的相关知识及日语表达。</w:t>
            </w:r>
          </w:p>
        </w:tc>
      </w:tr>
      <w:tr w14:paraId="35B6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95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11AA88">
            <w:pPr>
              <w:pStyle w:val="14"/>
              <w:rPr>
                <w:rFonts w:ascii="宋体" w:hAnsi="宋体"/>
                <w:b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6AC7F9A5">
            <w:pPr>
              <w:pStyle w:val="14"/>
              <w:jc w:val="left"/>
              <w:rPr>
                <w:bCs/>
              </w:rPr>
            </w:pPr>
          </w:p>
        </w:tc>
        <w:tc>
          <w:tcPr>
            <w:tcW w:w="2410" w:type="dxa"/>
            <w:vAlign w:val="center"/>
          </w:tcPr>
          <w:p w14:paraId="529F0B96">
            <w:pPr>
              <w:pStyle w:val="14"/>
              <w:jc w:val="left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「かしら」「つつ」</w:t>
            </w:r>
            <w:r>
              <w:rPr>
                <w:rFonts w:hint="eastAsia" w:ascii="宋体" w:hAnsi="宋体"/>
                <w:bCs/>
                <w:lang w:eastAsia="ja-JP"/>
              </w:rPr>
              <w:t>等助词的使用</w:t>
            </w:r>
            <w:r>
              <w:rPr>
                <w:rFonts w:ascii="宋体" w:hAnsi="宋体"/>
                <w:bCs/>
                <w:lang w:eastAsia="ja-JP"/>
              </w:rPr>
              <w:t>,</w:t>
            </w:r>
            <w:r>
              <w:rPr>
                <w:rFonts w:hint="eastAsia" w:ascii="宋体" w:hAnsi="宋体"/>
                <w:bCs/>
                <w:lang w:eastAsia="ja-JP"/>
              </w:rPr>
              <w:t>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「気がする」「間に合う」</w:t>
            </w:r>
            <w:r>
              <w:rPr>
                <w:rFonts w:hint="eastAsia" w:ascii="宋体" w:hAnsi="宋体"/>
                <w:bCs/>
                <w:lang w:eastAsia="ja-JP"/>
              </w:rPr>
              <w:t>等固定搭配的用法。熟练运用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「てしまう」「て済ませる」「あげく」</w:t>
            </w:r>
            <w:r>
              <w:rPr>
                <w:rFonts w:hint="eastAsia" w:ascii="宋体" w:hAnsi="宋体"/>
                <w:bCs/>
                <w:lang w:eastAsia="ja-JP"/>
              </w:rPr>
              <w:t>句式。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3A8C5C19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掌握电脑、网络等的相关知识及日语表达。</w:t>
            </w:r>
          </w:p>
        </w:tc>
      </w:tr>
      <w:tr w14:paraId="3E3E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92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EF6A8EE">
            <w:pPr>
              <w:pStyle w:val="14"/>
              <w:rPr>
                <w:rFonts w:ascii="宋体" w:hAnsi="宋体"/>
                <w:b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47BB7380">
            <w:pPr>
              <w:pStyle w:val="14"/>
              <w:jc w:val="left"/>
              <w:rPr>
                <w:bCs/>
              </w:rPr>
            </w:pPr>
          </w:p>
        </w:tc>
        <w:tc>
          <w:tcPr>
            <w:tcW w:w="2410" w:type="dxa"/>
            <w:vAlign w:val="center"/>
          </w:tcPr>
          <w:p w14:paraId="7D4AC273">
            <w:pPr>
              <w:pStyle w:val="14"/>
              <w:jc w:val="left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「ならでは」「にあたって」「によっては」「ことなく」</w:t>
            </w:r>
            <w:r>
              <w:rPr>
                <w:rFonts w:hint="eastAsia" w:ascii="宋体" w:hAnsi="宋体"/>
                <w:bCs/>
                <w:lang w:eastAsia="ja-JP"/>
              </w:rPr>
              <w:t>等句式。掌握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「より」「まる」「中」</w:t>
            </w:r>
            <w:r>
              <w:rPr>
                <w:rFonts w:hint="eastAsia" w:ascii="宋体" w:hAnsi="宋体"/>
                <w:bCs/>
                <w:lang w:eastAsia="ja-JP"/>
              </w:rPr>
              <w:t>等接头词、接尾词的使用。掌握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「かかる」「あたる」「…きる」「恐れがある」</w:t>
            </w:r>
            <w:r>
              <w:rPr>
                <w:rFonts w:hint="eastAsia" w:ascii="宋体" w:hAnsi="宋体"/>
                <w:bCs/>
                <w:lang w:eastAsia="ja-JP"/>
              </w:rPr>
              <w:t>等动词、复合动词及词组的使用。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3812A486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掌握移动电话相关内容的日语正确表达。</w:t>
            </w:r>
          </w:p>
        </w:tc>
      </w:tr>
      <w:tr w14:paraId="514D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92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C0E5D6C">
            <w:pPr>
              <w:pStyle w:val="14"/>
              <w:rPr>
                <w:rFonts w:ascii="宋体" w:hAnsi="宋体"/>
                <w:b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4E22E242">
            <w:pPr>
              <w:pStyle w:val="14"/>
              <w:jc w:val="left"/>
              <w:rPr>
                <w:bCs/>
              </w:rPr>
            </w:pPr>
          </w:p>
        </w:tc>
        <w:tc>
          <w:tcPr>
            <w:tcW w:w="2410" w:type="dxa"/>
            <w:vAlign w:val="center"/>
          </w:tcPr>
          <w:p w14:paraId="2B4ED8B7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「…にする」</w:t>
            </w:r>
            <w:r>
              <w:rPr>
                <w:rFonts w:hint="eastAsia"/>
                <w:bCs/>
                <w:lang w:eastAsia="ja-JP"/>
              </w:rPr>
              <w:t>形式词组的意义，并运用该形式词组进行相应表达。理解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「せっかく」</w:t>
            </w:r>
            <w:r>
              <w:rPr>
                <w:rFonts w:hint="eastAsia"/>
                <w:bCs/>
                <w:lang w:eastAsia="ja-JP"/>
              </w:rPr>
              <w:t>连体修饰句的含义，并运用这一句式进行相应表达。熟练运用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「ないでしまう」</w:t>
            </w:r>
            <w:r>
              <w:rPr>
                <w:rFonts w:hint="eastAsia"/>
                <w:bCs/>
                <w:lang w:eastAsia="ja-JP"/>
              </w:rPr>
              <w:t>句式。熟悉动词连用形的重叠用法。掌握接尾词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「ずみ」、</w:t>
            </w:r>
            <w:r>
              <w:rPr>
                <w:rFonts w:hint="eastAsia"/>
                <w:bCs/>
                <w:lang w:eastAsia="ja-JP"/>
              </w:rPr>
              <w:t>形式名词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「ところ」</w:t>
            </w:r>
            <w:r>
              <w:rPr>
                <w:rFonts w:hint="eastAsia"/>
                <w:bCs/>
                <w:lang w:eastAsia="ja-JP"/>
              </w:rPr>
              <w:t>的用法。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0ADCBD0D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掌握上海迪士尼相关内容的日语正确表达。</w:t>
            </w:r>
          </w:p>
        </w:tc>
      </w:tr>
      <w:tr w14:paraId="223D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92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C297D1E">
            <w:pPr>
              <w:pStyle w:val="14"/>
              <w:rPr>
                <w:rFonts w:ascii="宋体" w:hAnsi="宋体"/>
                <w:b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7EB1AFC0">
            <w:pPr>
              <w:pStyle w:val="14"/>
              <w:jc w:val="left"/>
              <w:rPr>
                <w:bCs/>
              </w:rPr>
            </w:pPr>
          </w:p>
        </w:tc>
        <w:tc>
          <w:tcPr>
            <w:tcW w:w="2410" w:type="dxa"/>
            <w:vAlign w:val="center"/>
          </w:tcPr>
          <w:p w14:paraId="01B06060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「という」</w:t>
            </w:r>
            <w:r>
              <w:rPr>
                <w:rFonts w:hint="eastAsia"/>
                <w:bCs/>
                <w:lang w:eastAsia="ja-JP"/>
              </w:rPr>
              <w:t>句式。掌握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「お…いただく」</w:t>
            </w:r>
            <w:r>
              <w:rPr>
                <w:rFonts w:hint="eastAsia"/>
                <w:bCs/>
                <w:lang w:eastAsia="ja-JP"/>
              </w:rPr>
              <w:t>，接续助词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「たって」</w:t>
            </w:r>
            <w:r>
              <w:rPr>
                <w:rFonts w:hint="eastAsia"/>
                <w:bCs/>
                <w:lang w:eastAsia="ja-JP"/>
              </w:rPr>
              <w:t>，接尾词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「向け」，「ても始まらない」，「でいる」，「ながらも」，「を背景に」</w:t>
            </w:r>
            <w:r>
              <w:rPr>
                <w:rFonts w:hint="eastAsia"/>
                <w:bCs/>
                <w:lang w:eastAsia="ja-JP"/>
              </w:rPr>
              <w:t>的用法。</w:t>
            </w:r>
            <w:r>
              <w:rPr>
                <w:rFonts w:hint="eastAsia"/>
                <w:bCs/>
              </w:rPr>
              <w:t>熟悉敬语中的惯用表达。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666DED82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掌握数码相机相关内容的日语正确表达。</w:t>
            </w:r>
          </w:p>
        </w:tc>
      </w:tr>
      <w:tr w14:paraId="0AD72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403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32120D2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学校教育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（6</w:t>
            </w:r>
            <w:r>
              <w:rPr>
                <w:rFonts w:ascii="宋体" w:hAnsi="宋体"/>
              </w:rPr>
              <w:t>-10</w:t>
            </w:r>
            <w:r>
              <w:rPr>
                <w:rFonts w:hint="eastAsia" w:ascii="宋体" w:hAnsi="宋体"/>
              </w:rPr>
              <w:t>课）</w:t>
            </w:r>
          </w:p>
        </w:tc>
        <w:tc>
          <w:tcPr>
            <w:tcW w:w="2126" w:type="dxa"/>
            <w:vMerge w:val="restart"/>
            <w:tcBorders>
              <w:left w:val="single" w:color="auto" w:sz="4" w:space="0"/>
            </w:tcBorders>
            <w:vAlign w:val="center"/>
          </w:tcPr>
          <w:p w14:paraId="48F4EBFC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知道电子词典、猜谜游戏、发表的方法、会议、读伊索寓言等相关的知识以及日语表达，并理解相应的日本文化。</w:t>
            </w:r>
          </w:p>
        </w:tc>
        <w:tc>
          <w:tcPr>
            <w:tcW w:w="2410" w:type="dxa"/>
            <w:vAlign w:val="center"/>
          </w:tcPr>
          <w:p w14:paraId="6DFA1ABF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「一方で」</w:t>
            </w:r>
            <w:r>
              <w:rPr>
                <w:rFonts w:hint="eastAsia"/>
                <w:bCs/>
                <w:lang w:eastAsia="ja-JP"/>
              </w:rPr>
              <w:t>的意义，运用接尾词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「一方で」</w:t>
            </w:r>
            <w:r>
              <w:rPr>
                <w:rFonts w:hint="eastAsia"/>
                <w:bCs/>
                <w:lang w:eastAsia="ja-JP"/>
              </w:rPr>
              <w:t>进行相应表达。熟练运用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「体言+へと」</w:t>
            </w:r>
            <w:r>
              <w:rPr>
                <w:rFonts w:hint="eastAsia"/>
                <w:bCs/>
                <w:lang w:eastAsia="ja-JP"/>
              </w:rPr>
              <w:t>句式，以及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「動詞連用形+は(も)しない」</w:t>
            </w:r>
            <w:r>
              <w:rPr>
                <w:rFonts w:hint="eastAsia"/>
                <w:bCs/>
                <w:lang w:eastAsia="ja-JP"/>
              </w:rPr>
              <w:t>句式。掌握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「に及ぶ」「と比べると」「に限る」「によると」</w:t>
            </w:r>
            <w:r>
              <w:rPr>
                <w:rFonts w:hint="eastAsia"/>
                <w:bCs/>
                <w:lang w:eastAsia="ja-JP"/>
              </w:rPr>
              <w:t>等的用法。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2EE10DB2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掌握电子词典相关内容的日语正确表达。</w:t>
            </w:r>
          </w:p>
        </w:tc>
      </w:tr>
      <w:tr w14:paraId="4ECC9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AE634FC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6C8BAAE5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04878641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理解接尾词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「がる」</w:t>
            </w:r>
            <w:r>
              <w:rPr>
                <w:rFonts w:hint="eastAsia"/>
                <w:bCs/>
                <w:lang w:eastAsia="ja-JP"/>
              </w:rPr>
              <w:t>的意义，运用接尾词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「がる」</w:t>
            </w:r>
            <w:r>
              <w:rPr>
                <w:rFonts w:hint="eastAsia"/>
                <w:bCs/>
                <w:lang w:eastAsia="ja-JP"/>
              </w:rPr>
              <w:t>进行相应表达。</w:t>
            </w:r>
          </w:p>
          <w:p w14:paraId="2A2441FB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「…というほど…ない」</w:t>
            </w:r>
            <w:r>
              <w:rPr>
                <w:rFonts w:hint="eastAsia"/>
                <w:bCs/>
                <w:lang w:eastAsia="ja-JP"/>
              </w:rPr>
              <w:t>句式。掌握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「というと」、「ように思う」、「ものか」、「はずがない」</w:t>
            </w:r>
            <w:r>
              <w:rPr>
                <w:rFonts w:hint="eastAsia"/>
                <w:bCs/>
                <w:lang w:eastAsia="ja-JP"/>
              </w:rPr>
              <w:t>的用法。区分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「さっそく」与「すぐ」</w:t>
            </w:r>
            <w:r>
              <w:rPr>
                <w:rFonts w:hint="eastAsia"/>
                <w:bCs/>
                <w:lang w:eastAsia="ja-JP"/>
              </w:rPr>
              <w:t>的用法，以及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「当てる」「当たる」</w:t>
            </w:r>
            <w:r>
              <w:rPr>
                <w:rFonts w:hint="eastAsia"/>
                <w:bCs/>
                <w:lang w:eastAsia="ja-JP"/>
              </w:rPr>
              <w:t>的用法。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4C03F4A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掌握猜谜游戏相关内容的日语正确表达。</w:t>
            </w:r>
          </w:p>
        </w:tc>
      </w:tr>
      <w:tr w14:paraId="76CB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21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90B6366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64F10AC2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699F9834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掌握进行研究内容发表时的日语正确表达。</w:t>
            </w:r>
          </w:p>
          <w:p w14:paraId="5E8B64C2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「をもとにして」「なしに（は）」「のだ」「というもの」「どんなに…か」</w:t>
            </w:r>
            <w:r>
              <w:rPr>
                <w:rFonts w:hint="eastAsia"/>
                <w:bCs/>
                <w:lang w:eastAsia="ja-JP"/>
              </w:rPr>
              <w:t>等句式。理解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「応じる」「なるほど」</w:t>
            </w:r>
            <w:r>
              <w:rPr>
                <w:rFonts w:hint="eastAsia"/>
                <w:bCs/>
                <w:lang w:eastAsia="ja-JP"/>
              </w:rPr>
              <w:t>等词汇的用法。掌握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「に」「の」「なあ/かな」</w:t>
            </w:r>
            <w:r>
              <w:rPr>
                <w:rFonts w:hint="eastAsia"/>
                <w:bCs/>
                <w:lang w:eastAsia="ja-JP"/>
              </w:rPr>
              <w:t>等助词的使用。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24A55C1E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掌握发表的方法相关内容的日语正确表达。</w:t>
            </w:r>
          </w:p>
        </w:tc>
      </w:tr>
      <w:tr w14:paraId="01364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20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A5D354E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24D2CF39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46648809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充分了解并熟练运用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「なり」「 …てはどう」「…ところでは」「…わけだ」</w:t>
            </w:r>
            <w:r>
              <w:rPr>
                <w:rFonts w:hint="eastAsia"/>
                <w:bCs/>
                <w:lang w:eastAsia="ja-JP"/>
              </w:rPr>
              <w:t>等语法知识。理解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「は」「…ことと存じます」「すえ（に）」</w:t>
            </w:r>
            <w:r>
              <w:rPr>
                <w:rFonts w:hint="eastAsia"/>
                <w:bCs/>
                <w:lang w:eastAsia="ja-JP"/>
              </w:rPr>
              <w:t>等用法。掌握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「なんにもならない」「…（という）わけではない」</w:t>
            </w:r>
            <w:r>
              <w:rPr>
                <w:rFonts w:hint="eastAsia"/>
                <w:bCs/>
                <w:lang w:eastAsia="ja-JP"/>
              </w:rPr>
              <w:t>等固定用法。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19C3A24E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掌握会议相关内容的日语正确表达。</w:t>
            </w:r>
          </w:p>
        </w:tc>
      </w:tr>
      <w:tr w14:paraId="46DB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7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D8A4EE7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3E020069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59D7D227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「どうしても…ない」「…ばかりに」「そんなに…ない」「二度と…ない」</w:t>
            </w:r>
            <w:r>
              <w:rPr>
                <w:rFonts w:hint="eastAsia"/>
                <w:bCs/>
                <w:lang w:eastAsia="ja-JP"/>
              </w:rPr>
              <w:t>等句式及固定搭配的意义。掌握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「ほど」「もの」「な」</w:t>
            </w:r>
            <w:r>
              <w:rPr>
                <w:rFonts w:hint="eastAsia"/>
                <w:bCs/>
                <w:lang w:eastAsia="ja-JP"/>
              </w:rPr>
              <w:t>等副助词及终助词的使用方法。熟练运用形式体言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「もの」</w:t>
            </w:r>
            <w:r>
              <w:rPr>
                <w:rFonts w:hint="eastAsia"/>
                <w:bCs/>
                <w:lang w:eastAsia="ja-JP"/>
              </w:rPr>
              <w:t>，用于表示理应如此。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47A6035A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掌握读伊索寓言相关内容的日语正确表达。</w:t>
            </w:r>
          </w:p>
        </w:tc>
      </w:tr>
      <w:tr w14:paraId="7099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9" w:hRule="atLeast"/>
          <w:jc w:val="center"/>
        </w:trPr>
        <w:tc>
          <w:tcPr>
            <w:tcW w:w="1403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68A76DBA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时代印象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（1</w:t>
            </w:r>
            <w:r>
              <w:rPr>
                <w:rFonts w:ascii="宋体" w:hAnsi="宋体"/>
              </w:rPr>
              <w:t>1-14</w:t>
            </w:r>
            <w:r>
              <w:rPr>
                <w:rFonts w:hint="eastAsia" w:ascii="宋体" w:hAnsi="宋体"/>
              </w:rPr>
              <w:t>课）</w:t>
            </w:r>
          </w:p>
        </w:tc>
        <w:tc>
          <w:tcPr>
            <w:tcW w:w="2126" w:type="dxa"/>
            <w:vMerge w:val="restart"/>
            <w:tcBorders>
              <w:left w:val="single" w:color="auto" w:sz="4" w:space="0"/>
            </w:tcBorders>
            <w:vAlign w:val="center"/>
          </w:tcPr>
          <w:p w14:paraId="7A296B82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知道仿真食品、磁卡时代、实感、速成食品等相关的知识以及日语表达，并理解相应的日本文化。</w:t>
            </w:r>
          </w:p>
        </w:tc>
        <w:tc>
          <w:tcPr>
            <w:tcW w:w="2410" w:type="dxa"/>
            <w:vAlign w:val="center"/>
          </w:tcPr>
          <w:p w14:paraId="199957C4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</w:rPr>
              <w:t>掌握具有使役意义的他动词的使用方法。</w:t>
            </w: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「ざわり」</w:t>
            </w:r>
            <w:r>
              <w:rPr>
                <w:rFonts w:hint="eastAsia"/>
                <w:bCs/>
                <w:lang w:eastAsia="ja-JP"/>
              </w:rPr>
              <w:t>的构词方法。理解副词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「ずっと」「そっくり」</w:t>
            </w:r>
            <w:r>
              <w:rPr>
                <w:rFonts w:hint="eastAsia"/>
                <w:bCs/>
                <w:lang w:eastAsia="ja-JP"/>
              </w:rPr>
              <w:t>及接续词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「だって」</w:t>
            </w:r>
            <w:r>
              <w:rPr>
                <w:rFonts w:hint="eastAsia"/>
                <w:bCs/>
                <w:lang w:eastAsia="ja-JP"/>
              </w:rPr>
              <w:t>的含义。掌握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「って」「のだ」「さ」「っけ」</w:t>
            </w:r>
            <w:r>
              <w:rPr>
                <w:rFonts w:hint="eastAsia"/>
                <w:bCs/>
                <w:lang w:eastAsia="ja-JP"/>
              </w:rPr>
              <w:t>等助词或其口语表达的使用方法。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2AC8B373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</w:t>
            </w:r>
            <w:r>
              <w:rPr>
                <w:rFonts w:hint="eastAsia" w:cs="Times New Roman"/>
                <w:bCs/>
              </w:rPr>
              <w:t>仿真食品</w:t>
            </w:r>
            <w:r>
              <w:rPr>
                <w:rFonts w:hint="eastAsia"/>
                <w:bCs/>
              </w:rPr>
              <w:t>相关内容的日语正确表达。</w:t>
            </w:r>
          </w:p>
        </w:tc>
      </w:tr>
      <w:tr w14:paraId="67CB9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8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481D4767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26492558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5F2A5C29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「はず」、「にしてみれば」、「てはいられない」</w:t>
            </w:r>
            <w:r>
              <w:rPr>
                <w:rFonts w:hint="eastAsia"/>
                <w:bCs/>
                <w:lang w:eastAsia="ja-JP"/>
              </w:rPr>
              <w:t>句式。理解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「かといって」「のです」</w:t>
            </w:r>
            <w:r>
              <w:rPr>
                <w:rFonts w:hint="eastAsia"/>
                <w:bCs/>
                <w:lang w:eastAsia="ja-JP"/>
              </w:rPr>
              <w:t>等常用表达的用法。掌握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「かい」、「わ」、「わね」</w:t>
            </w:r>
            <w:r>
              <w:rPr>
                <w:rFonts w:hint="eastAsia"/>
                <w:bCs/>
                <w:lang w:eastAsia="ja-JP"/>
              </w:rPr>
              <w:t>等接尾词的使用。掌握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「出る」、「えらい」</w:t>
            </w:r>
            <w:r>
              <w:rPr>
                <w:rFonts w:hint="eastAsia"/>
                <w:bCs/>
                <w:lang w:eastAsia="ja-JP"/>
              </w:rPr>
              <w:t>的多种用法，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「付ける」</w:t>
            </w:r>
            <w:r>
              <w:rPr>
                <w:rFonts w:hint="eastAsia"/>
                <w:bCs/>
                <w:lang w:eastAsia="ja-JP"/>
              </w:rPr>
              <w:t>和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「付く」</w:t>
            </w:r>
            <w:r>
              <w:rPr>
                <w:rFonts w:hint="eastAsia"/>
                <w:bCs/>
                <w:lang w:eastAsia="ja-JP"/>
              </w:rPr>
              <w:t>的用法和区别。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771E7DC3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掌握</w:t>
            </w:r>
            <w:r>
              <w:rPr>
                <w:rFonts w:hint="eastAsia" w:cs="Times New Roman"/>
                <w:bCs/>
              </w:rPr>
              <w:t>磁卡时代</w:t>
            </w:r>
            <w:r>
              <w:rPr>
                <w:rFonts w:hint="eastAsia"/>
                <w:bCs/>
              </w:rPr>
              <w:t>相关内容的日语正确表达。</w:t>
            </w:r>
          </w:p>
        </w:tc>
      </w:tr>
      <w:tr w14:paraId="66C9B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8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09A436B7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7BD3C4C5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0630C5E9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「…は…につながる」「…よりましだ」「…わけにはいかない」「…なにも」「ということだ」</w:t>
            </w:r>
            <w:r>
              <w:rPr>
                <w:rFonts w:hint="eastAsia"/>
                <w:bCs/>
                <w:lang w:eastAsia="ja-JP"/>
              </w:rPr>
              <w:t>句式。理解接尾词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「加減」</w:t>
            </w:r>
            <w:r>
              <w:rPr>
                <w:rFonts w:hint="eastAsia"/>
                <w:bCs/>
                <w:lang w:eastAsia="ja-JP"/>
              </w:rPr>
              <w:t>、副词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「どうのこうの」「道理で」</w:t>
            </w:r>
            <w:r>
              <w:rPr>
                <w:rFonts w:hint="eastAsia"/>
                <w:bCs/>
                <w:lang w:eastAsia="ja-JP"/>
              </w:rPr>
              <w:t>的用法。掌握动词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「抜く」</w:t>
            </w:r>
            <w:r>
              <w:rPr>
                <w:rFonts w:hint="eastAsia"/>
                <w:bCs/>
                <w:lang w:eastAsia="ja-JP"/>
              </w:rPr>
              <w:t>、惯用语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「ばかにならない」</w:t>
            </w:r>
            <w:r>
              <w:rPr>
                <w:rFonts w:hint="eastAsia"/>
                <w:bCs/>
                <w:lang w:eastAsia="ja-JP"/>
              </w:rPr>
              <w:t>的意思并熟练使用。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1825375D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掌握</w:t>
            </w:r>
            <w:r>
              <w:rPr>
                <w:rFonts w:hint="eastAsia" w:cs="Times New Roman"/>
                <w:bCs/>
              </w:rPr>
              <w:t>实感</w:t>
            </w:r>
            <w:r>
              <w:rPr>
                <w:rFonts w:hint="eastAsia"/>
                <w:bCs/>
              </w:rPr>
              <w:t>相关内容的日语正确表达。</w:t>
            </w:r>
          </w:p>
        </w:tc>
      </w:tr>
      <w:tr w14:paraId="4FC36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8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6432EF2F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</w:tcBorders>
            <w:vAlign w:val="center"/>
          </w:tcPr>
          <w:p w14:paraId="110ED583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0121CA9A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「…とは予想されなかった」「…に限らず」「…にともなって」「…ざるをえない」「…に決まっている」句式。理解「という」「…かと思ったら」「というより」「…と銘打って」</w:t>
            </w:r>
            <w:r>
              <w:rPr>
                <w:rFonts w:hint="eastAsia"/>
                <w:bCs/>
                <w:lang w:eastAsia="ja-JP"/>
              </w:rPr>
              <w:t>等语法的用法。掌握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「こむ」</w:t>
            </w:r>
            <w:r>
              <w:rPr>
                <w:rFonts w:hint="eastAsia"/>
                <w:bCs/>
                <w:lang w:eastAsia="ja-JP"/>
              </w:rPr>
              <w:t>构成的复合动词的使用。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0866186B">
            <w:pPr>
              <w:pStyle w:val="14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掌握</w:t>
            </w:r>
            <w:r>
              <w:rPr>
                <w:rFonts w:hint="eastAsia" w:cs="Times New Roman"/>
                <w:bCs/>
              </w:rPr>
              <w:t>速成食品</w:t>
            </w:r>
            <w:r>
              <w:rPr>
                <w:rFonts w:hint="eastAsia"/>
                <w:bCs/>
              </w:rPr>
              <w:t>相关内容的日语正确表达。</w:t>
            </w:r>
          </w:p>
        </w:tc>
      </w:tr>
      <w:tr w14:paraId="12B62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5" w:hRule="atLeast"/>
          <w:jc w:val="center"/>
        </w:trPr>
        <w:tc>
          <w:tcPr>
            <w:tcW w:w="1403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3B9E3A13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影视媒体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/>
              </w:rPr>
              <w:t>（1</w:t>
            </w:r>
            <w:r>
              <w:rPr>
                <w:rFonts w:ascii="宋体" w:hAnsi="宋体"/>
              </w:rPr>
              <w:t>5-16</w:t>
            </w:r>
            <w:r>
              <w:rPr>
                <w:rFonts w:hint="eastAsia" w:ascii="宋体" w:hAnsi="宋体"/>
              </w:rPr>
              <w:t>课）</w:t>
            </w:r>
          </w:p>
        </w:tc>
        <w:tc>
          <w:tcPr>
            <w:tcW w:w="2126" w:type="dxa"/>
            <w:vMerge w:val="restart"/>
            <w:tcBorders>
              <w:left w:val="single" w:color="auto" w:sz="4" w:space="0"/>
            </w:tcBorders>
            <w:vAlign w:val="center"/>
          </w:tcPr>
          <w:p w14:paraId="4026AF9D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知道漫画热、大众传媒等相关的知识以及日语表达，并理解相应的日本文化。</w:t>
            </w:r>
          </w:p>
        </w:tc>
        <w:tc>
          <w:tcPr>
            <w:tcW w:w="2410" w:type="dxa"/>
            <w:vAlign w:val="center"/>
          </w:tcPr>
          <w:p w14:paraId="59B6A6E3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「…にしたがって」「…となっている」「…てみせる」</w:t>
            </w:r>
            <w:r>
              <w:rPr>
                <w:rFonts w:hint="eastAsia"/>
                <w:bCs/>
                <w:lang w:eastAsia="ja-JP"/>
              </w:rPr>
              <w:t>等的用法。熟练运用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「…ばかりか」「ものだ」「…とは思えない」「さすが（に）」</w:t>
            </w:r>
            <w:r>
              <w:rPr>
                <w:rFonts w:hint="eastAsia"/>
                <w:bCs/>
                <w:lang w:eastAsia="ja-JP"/>
              </w:rPr>
              <w:t>句式。掌握接尾词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「っぽい」</w:t>
            </w:r>
            <w:r>
              <w:rPr>
                <w:rFonts w:hint="eastAsia"/>
                <w:bCs/>
                <w:lang w:eastAsia="ja-JP"/>
              </w:rPr>
              <w:t>、接续助词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「ものの」</w:t>
            </w:r>
            <w:r>
              <w:rPr>
                <w:rFonts w:hint="eastAsia"/>
                <w:bCs/>
                <w:lang w:eastAsia="ja-JP"/>
              </w:rPr>
              <w:t>的使用。</w:t>
            </w:r>
          </w:p>
        </w:tc>
        <w:tc>
          <w:tcPr>
            <w:tcW w:w="1562" w:type="dxa"/>
            <w:tcBorders>
              <w:right w:val="single" w:color="auto" w:sz="12" w:space="0"/>
            </w:tcBorders>
            <w:vAlign w:val="center"/>
          </w:tcPr>
          <w:p w14:paraId="4F2D2A2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掌握漫画热相关内容的日语正确表达。</w:t>
            </w:r>
          </w:p>
        </w:tc>
      </w:tr>
      <w:tr w14:paraId="2A282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4" w:hRule="atLeast"/>
          <w:jc w:val="center"/>
        </w:trPr>
        <w:tc>
          <w:tcPr>
            <w:tcW w:w="1403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2D7D3089">
            <w:pPr>
              <w:pStyle w:val="14"/>
              <w:rPr>
                <w:rFonts w:ascii="宋体" w:hAnsi="宋体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36BBC2C6">
            <w:pPr>
              <w:pStyle w:val="14"/>
              <w:jc w:val="left"/>
              <w:rPr>
                <w:rFonts w:cs="Times New Roman"/>
                <w:bCs/>
              </w:rPr>
            </w:pPr>
          </w:p>
        </w:tc>
        <w:tc>
          <w:tcPr>
            <w:tcW w:w="2410" w:type="dxa"/>
            <w:tcBorders>
              <w:bottom w:val="single" w:color="auto" w:sz="12" w:space="0"/>
            </w:tcBorders>
            <w:vAlign w:val="center"/>
          </w:tcPr>
          <w:p w14:paraId="5C2BF8F3">
            <w:pPr>
              <w:pStyle w:val="14"/>
              <w:jc w:val="left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熟练运用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「…における」「以上」「と（も）なると」  「ほか（は）ない」</w:t>
            </w:r>
            <w:r>
              <w:rPr>
                <w:rFonts w:hint="eastAsia"/>
                <w:bCs/>
                <w:lang w:eastAsia="ja-JP"/>
              </w:rPr>
              <w:t>等语法。掌握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「（た）とたん」 「…どころではない」「かのように」「…ような…ような」</w:t>
            </w:r>
            <w:r>
              <w:rPr>
                <w:rFonts w:hint="eastAsia"/>
                <w:bCs/>
                <w:lang w:eastAsia="ja-JP"/>
              </w:rPr>
              <w:t>等句式。理解</w:t>
            </w:r>
            <w:r>
              <w:rPr>
                <w:rFonts w:hint="eastAsia" w:ascii="MS Mincho" w:hAnsi="MS Mincho" w:eastAsia="MS Mincho"/>
                <w:bCs/>
                <w:lang w:eastAsia="ja-JP"/>
              </w:rPr>
              <w:t>「がましい」「…にさらされる」</w:t>
            </w:r>
            <w:r>
              <w:rPr>
                <w:rFonts w:hint="eastAsia"/>
                <w:bCs/>
                <w:lang w:eastAsia="ja-JP"/>
              </w:rPr>
              <w:t>等用法。</w:t>
            </w:r>
          </w:p>
        </w:tc>
        <w:tc>
          <w:tcPr>
            <w:tcW w:w="156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DFA6602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掌握大众传媒相关内容的日语正确表达。</w:t>
            </w:r>
          </w:p>
        </w:tc>
      </w:tr>
    </w:tbl>
    <w:p w14:paraId="1E42520C">
      <w:pPr>
        <w:pStyle w:val="17"/>
        <w:spacing w:before="81" w:after="163"/>
      </w:pPr>
    </w:p>
    <w:p w14:paraId="52354DC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8"/>
        <w:gridCol w:w="942"/>
        <w:gridCol w:w="942"/>
        <w:gridCol w:w="942"/>
        <w:gridCol w:w="943"/>
        <w:gridCol w:w="942"/>
        <w:gridCol w:w="942"/>
        <w:gridCol w:w="943"/>
      </w:tblGrid>
      <w:tr w14:paraId="6E13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834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9966259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AE0367F">
            <w:pPr>
              <w:pStyle w:val="13"/>
              <w:ind w:right="210"/>
              <w:jc w:val="left"/>
              <w:rPr>
                <w:szCs w:val="16"/>
              </w:rPr>
            </w:pPr>
          </w:p>
          <w:p w14:paraId="7E85CCEC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20" w:type="dxa"/>
            <w:tcBorders>
              <w:top w:val="single" w:color="auto" w:sz="12" w:space="0"/>
            </w:tcBorders>
            <w:vAlign w:val="center"/>
          </w:tcPr>
          <w:p w14:paraId="6598841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20" w:type="dxa"/>
            <w:tcBorders>
              <w:top w:val="single" w:color="auto" w:sz="12" w:space="0"/>
            </w:tcBorders>
            <w:vAlign w:val="center"/>
          </w:tcPr>
          <w:p w14:paraId="5609833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20" w:type="dxa"/>
            <w:tcBorders>
              <w:top w:val="single" w:color="auto" w:sz="12" w:space="0"/>
            </w:tcBorders>
            <w:vAlign w:val="center"/>
          </w:tcPr>
          <w:p w14:paraId="23C6C84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21" w:type="dxa"/>
            <w:tcBorders>
              <w:top w:val="single" w:color="auto" w:sz="12" w:space="0"/>
            </w:tcBorders>
            <w:vAlign w:val="center"/>
          </w:tcPr>
          <w:p w14:paraId="3315666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20" w:type="dxa"/>
            <w:tcBorders>
              <w:top w:val="single" w:color="auto" w:sz="12" w:space="0"/>
            </w:tcBorders>
            <w:vAlign w:val="center"/>
          </w:tcPr>
          <w:p w14:paraId="125D270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color="auto" w:sz="12" w:space="0"/>
            </w:tcBorders>
            <w:vAlign w:val="center"/>
          </w:tcPr>
          <w:p w14:paraId="45C7EE8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  <w:tc>
          <w:tcPr>
            <w:tcW w:w="92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2158ADB">
            <w:pPr>
              <w:pStyle w:val="13"/>
              <w:rPr>
                <w:szCs w:val="16"/>
              </w:rPr>
            </w:pPr>
            <w:r>
              <w:rPr>
                <w:szCs w:val="16"/>
              </w:rPr>
              <w:t>7</w:t>
            </w:r>
          </w:p>
        </w:tc>
      </w:tr>
      <w:tr w14:paraId="219B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2FBDDB88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920" w:type="dxa"/>
            <w:vAlign w:val="center"/>
          </w:tcPr>
          <w:p w14:paraId="786ED503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37943175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68F1D2A4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vAlign w:val="center"/>
          </w:tcPr>
          <w:p w14:paraId="20FC507B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6413920A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5A018960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tcBorders>
              <w:right w:val="single" w:color="auto" w:sz="12" w:space="0"/>
            </w:tcBorders>
            <w:vAlign w:val="center"/>
          </w:tcPr>
          <w:p w14:paraId="0800108E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  <w:tr w14:paraId="2E9B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6E43803B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920" w:type="dxa"/>
            <w:vAlign w:val="center"/>
          </w:tcPr>
          <w:p w14:paraId="3833F6F2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0FECAF07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22F64818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vAlign w:val="center"/>
          </w:tcPr>
          <w:p w14:paraId="74FA59A3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63A1E684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4418E6E9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tcBorders>
              <w:right w:val="single" w:color="auto" w:sz="12" w:space="0"/>
            </w:tcBorders>
            <w:vAlign w:val="center"/>
          </w:tcPr>
          <w:p w14:paraId="0A5F4453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  <w:tr w14:paraId="03D2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185B5B84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920" w:type="dxa"/>
            <w:vAlign w:val="center"/>
          </w:tcPr>
          <w:p w14:paraId="4DEA4A96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4804FEF4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5E7FFDC7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vAlign w:val="center"/>
          </w:tcPr>
          <w:p w14:paraId="172B8B70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23CE4873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vAlign w:val="center"/>
          </w:tcPr>
          <w:p w14:paraId="6719AEE5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tcBorders>
              <w:right w:val="single" w:color="auto" w:sz="12" w:space="0"/>
            </w:tcBorders>
            <w:vAlign w:val="center"/>
          </w:tcPr>
          <w:p w14:paraId="5F5781B3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  <w:tr w14:paraId="6575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  <w:bottom w:val="single" w:color="auto" w:sz="12" w:space="0"/>
            </w:tcBorders>
          </w:tcPr>
          <w:p w14:paraId="1FA3E8A1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920" w:type="dxa"/>
            <w:tcBorders>
              <w:bottom w:val="single" w:color="auto" w:sz="12" w:space="0"/>
            </w:tcBorders>
            <w:vAlign w:val="center"/>
          </w:tcPr>
          <w:p w14:paraId="6E202301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tcBorders>
              <w:bottom w:val="single" w:color="auto" w:sz="12" w:space="0"/>
            </w:tcBorders>
            <w:vAlign w:val="center"/>
          </w:tcPr>
          <w:p w14:paraId="61EBD83E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tcBorders>
              <w:bottom w:val="single" w:color="auto" w:sz="12" w:space="0"/>
            </w:tcBorders>
            <w:vAlign w:val="center"/>
          </w:tcPr>
          <w:p w14:paraId="2FD3BE88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tcBorders>
              <w:bottom w:val="single" w:color="auto" w:sz="12" w:space="0"/>
            </w:tcBorders>
            <w:vAlign w:val="center"/>
          </w:tcPr>
          <w:p w14:paraId="6941327B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tcBorders>
              <w:bottom w:val="single" w:color="auto" w:sz="12" w:space="0"/>
            </w:tcBorders>
            <w:vAlign w:val="center"/>
          </w:tcPr>
          <w:p w14:paraId="053A990A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0" w:type="dxa"/>
            <w:tcBorders>
              <w:bottom w:val="single" w:color="auto" w:sz="12" w:space="0"/>
            </w:tcBorders>
            <w:vAlign w:val="center"/>
          </w:tcPr>
          <w:p w14:paraId="340DCDE1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2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A001E4">
            <w:pPr>
              <w:pStyle w:val="14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</w:tbl>
    <w:p w14:paraId="5ABFEF30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72"/>
        <w:gridCol w:w="2755"/>
        <w:gridCol w:w="1738"/>
        <w:gridCol w:w="725"/>
        <w:gridCol w:w="669"/>
        <w:gridCol w:w="717"/>
      </w:tblGrid>
      <w:tr w14:paraId="20D0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47EB9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color="auto" w:sz="12" w:space="0"/>
            </w:tcBorders>
            <w:vAlign w:val="center"/>
          </w:tcPr>
          <w:p w14:paraId="3226C472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24EA7652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44B1E29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D51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continue"/>
            <w:tcBorders>
              <w:left w:val="single" w:color="auto" w:sz="12" w:space="0"/>
            </w:tcBorders>
          </w:tcPr>
          <w:p w14:paraId="05A5175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 w:val="continue"/>
          </w:tcPr>
          <w:p w14:paraId="297D661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4B040DC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F103F1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5613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EF6BE0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2690" w:type="dxa"/>
            <w:vAlign w:val="center"/>
          </w:tcPr>
          <w:p w14:paraId="0652D17C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多媒体+黑板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（课前：于“云课堂”等线上平台上传教学相应的PPT、音视频、超链接等，于“建桥空中日语”课堂布置学生预习作业。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1AE5D31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课下：布置课后练习作业或课文背诵）</w:t>
            </w:r>
          </w:p>
        </w:tc>
        <w:tc>
          <w:tcPr>
            <w:tcW w:w="1697" w:type="dxa"/>
            <w:vAlign w:val="center"/>
          </w:tcPr>
          <w:p w14:paraId="1671CBB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7DDFCF1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0E18152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CF109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</w:tr>
      <w:tr w14:paraId="13AC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36D78A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2690" w:type="dxa"/>
            <w:vAlign w:val="center"/>
          </w:tcPr>
          <w:p w14:paraId="0E5C4E60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多媒体+黑板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（课前：于“云课堂”等线上平台上传教学相应的PPT、音视频、超链接等，于“建桥空中日语”课堂布置学生预习作业。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09BAD965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课下：布置课后练习作业或课文背诵）</w:t>
            </w:r>
          </w:p>
        </w:tc>
        <w:tc>
          <w:tcPr>
            <w:tcW w:w="1697" w:type="dxa"/>
            <w:vAlign w:val="center"/>
          </w:tcPr>
          <w:p w14:paraId="6456A2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60329DA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10D7F99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88E3C5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</w:tr>
      <w:tr w14:paraId="4251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6658EB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2690" w:type="dxa"/>
            <w:vAlign w:val="center"/>
          </w:tcPr>
          <w:p w14:paraId="18753CA9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多媒体+黑板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（课前：于“云课堂”等线上平台上传教学相应的PPT、音视频、超链接等，于“建桥空中日语”课堂布置学生预习作业。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7C4AF4A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课下：布置课后练习作业或课文背诵）</w:t>
            </w:r>
          </w:p>
        </w:tc>
        <w:tc>
          <w:tcPr>
            <w:tcW w:w="1697" w:type="dxa"/>
            <w:vAlign w:val="center"/>
          </w:tcPr>
          <w:p w14:paraId="054C380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629893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40</w:t>
            </w:r>
          </w:p>
        </w:tc>
        <w:tc>
          <w:tcPr>
            <w:tcW w:w="653" w:type="dxa"/>
            <w:vAlign w:val="center"/>
          </w:tcPr>
          <w:p w14:paraId="1264E6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3F8FEB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40</w:t>
            </w:r>
          </w:p>
        </w:tc>
      </w:tr>
      <w:tr w14:paraId="20FB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1DF4FC8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2690" w:type="dxa"/>
            <w:vAlign w:val="center"/>
          </w:tcPr>
          <w:p w14:paraId="25AFDEDA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多媒体+黑板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（课前：于“云课堂”等线上平台上传教学相应的PPT、音视频、超链接等，于“建桥空中日语”课堂布置学生预习作业。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5A892E32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课下：布置课后练习作业或课文背诵）</w:t>
            </w:r>
          </w:p>
        </w:tc>
        <w:tc>
          <w:tcPr>
            <w:tcW w:w="1697" w:type="dxa"/>
            <w:vAlign w:val="center"/>
          </w:tcPr>
          <w:p w14:paraId="5BBE1BD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273FD61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5705CE6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4CD3F2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</w:tr>
      <w:tr w14:paraId="3481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94175A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1554EAD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60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75C137E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8998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60</w:t>
            </w:r>
          </w:p>
        </w:tc>
      </w:tr>
    </w:tbl>
    <w:p w14:paraId="4A6079A1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0" w:name="OLE_LINK1"/>
      <w:bookmarkStart w:id="1" w:name="OLE_LINK2"/>
      <w:r>
        <w:rPr>
          <w:rFonts w:hint="eastAsia" w:ascii="黑体" w:hAnsi="宋体"/>
        </w:rPr>
        <w:t>四、课程思政教学设计</w:t>
      </w:r>
    </w:p>
    <w:bookmarkEnd w:id="0"/>
    <w:bookmarkEnd w:id="1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25E9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25956C08">
            <w:pPr>
              <w:pStyle w:val="14"/>
              <w:widowControl w:val="0"/>
              <w:jc w:val="left"/>
            </w:pPr>
            <w:r>
              <w:rPr>
                <w:rFonts w:hint="eastAsia"/>
              </w:rPr>
              <w:t>课程思政点：</w:t>
            </w:r>
          </w:p>
          <w:p w14:paraId="07CBD473">
            <w:pPr>
              <w:pStyle w:val="14"/>
              <w:widowControl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b/>
              </w:rPr>
              <w:t>L0</w:t>
            </w:r>
            <w:r>
              <w:rPr>
                <w:rFonts w:asciiTheme="majorEastAsia" w:hAnsiTheme="majorEastAsia" w:eastAsiaTheme="majorEastAsia"/>
                <w:b/>
              </w:rPr>
              <w:t>1</w:t>
            </w:r>
            <w:r>
              <w:rPr>
                <w:rFonts w:ascii="宋体" w:hAnsi="宋体"/>
                <w:b/>
              </w:rPr>
              <w:t>品德修养:</w:t>
            </w:r>
            <w:r>
              <w:rPr>
                <w:rFonts w:ascii="宋体" w:hAnsi="宋体"/>
              </w:rPr>
              <w:t>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57273EEA">
            <w:pPr>
              <w:pStyle w:val="14"/>
              <w:widowControl w:val="0"/>
              <w:jc w:val="left"/>
              <w:rPr>
                <w:rFonts w:asciiTheme="majorEastAsia" w:hAnsiTheme="majorEastAsia" w:eastAsiaTheme="majorEastAsia"/>
                <w:bCs/>
              </w:rPr>
            </w:pPr>
            <w:r>
              <w:rPr>
                <w:rFonts w:ascii="宋体" w:hAnsi="宋体"/>
              </w:rPr>
              <w:t>②</w:t>
            </w:r>
            <w:r>
              <w:rPr>
                <w:rFonts w:asciiTheme="majorEastAsia" w:hAnsiTheme="majorEastAsia" w:eastAsiaTheme="majorEastAsia"/>
                <w:bCs/>
              </w:rPr>
              <w:t>遵纪守法，增强法律意识，培养法律思维，自觉遵守法律法规、校纪校规。</w:t>
            </w:r>
          </w:p>
          <w:p w14:paraId="5A1D022B">
            <w:pPr>
              <w:pStyle w:val="14"/>
              <w:widowControl w:val="0"/>
              <w:ind w:firstLine="420" w:firstLineChars="200"/>
              <w:jc w:val="left"/>
            </w:pPr>
            <w:r>
              <w:rPr>
                <w:rFonts w:hint="eastAsia"/>
              </w:rPr>
              <w:t>面向大二上的学生，根据授课内容及课堂实际教学，润物细无声地引入课程思政内容。督促学生增强自身法律意识，培养学生法律思维，以身作则自觉遵纪守法，遵守校纪校规。例如：要求学生无故不得迟到早退、遵守学校纪律、诚信考试等。</w:t>
            </w:r>
          </w:p>
        </w:tc>
      </w:tr>
    </w:tbl>
    <w:p w14:paraId="13F3A45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2" w:name="OLE_LINK4"/>
      <w:bookmarkStart w:id="3" w:name="OLE_LINK3"/>
    </w:p>
    <w:bookmarkEnd w:id="2"/>
    <w:bookmarkEnd w:id="3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695"/>
        <w:gridCol w:w="2103"/>
        <w:gridCol w:w="574"/>
        <w:gridCol w:w="574"/>
        <w:gridCol w:w="574"/>
        <w:gridCol w:w="574"/>
        <w:gridCol w:w="561"/>
        <w:gridCol w:w="574"/>
        <w:gridCol w:w="574"/>
        <w:gridCol w:w="683"/>
      </w:tblGrid>
      <w:tr w14:paraId="4D29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0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307AA7A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08240BA6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10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DFC742A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4005" w:type="dxa"/>
            <w:gridSpan w:val="7"/>
            <w:tcBorders>
              <w:top w:val="single" w:color="auto" w:sz="12" w:space="0"/>
            </w:tcBorders>
          </w:tcPr>
          <w:p w14:paraId="4D04D342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68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82F720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AA2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0" w:type="dxa"/>
            <w:vMerge w:val="continue"/>
            <w:tcBorders>
              <w:left w:val="single" w:color="auto" w:sz="12" w:space="0"/>
            </w:tcBorders>
          </w:tcPr>
          <w:p w14:paraId="2CEA653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95" w:type="dxa"/>
            <w:vMerge w:val="continue"/>
          </w:tcPr>
          <w:p w14:paraId="3738C857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103" w:type="dxa"/>
            <w:vMerge w:val="continue"/>
            <w:tcBorders>
              <w:right w:val="double" w:color="auto" w:sz="4" w:space="0"/>
            </w:tcBorders>
          </w:tcPr>
          <w:p w14:paraId="72218CF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574" w:type="dxa"/>
            <w:tcBorders>
              <w:left w:val="double" w:color="auto" w:sz="4" w:space="0"/>
            </w:tcBorders>
            <w:vAlign w:val="center"/>
          </w:tcPr>
          <w:p w14:paraId="5B0A7718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574" w:type="dxa"/>
            <w:vAlign w:val="center"/>
          </w:tcPr>
          <w:p w14:paraId="3B87B02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574" w:type="dxa"/>
            <w:vAlign w:val="center"/>
          </w:tcPr>
          <w:p w14:paraId="5F7EB418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574" w:type="dxa"/>
            <w:vAlign w:val="center"/>
          </w:tcPr>
          <w:p w14:paraId="1ACFDF54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561" w:type="dxa"/>
            <w:vAlign w:val="center"/>
          </w:tcPr>
          <w:p w14:paraId="27C99C2F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574" w:type="dxa"/>
            <w:vAlign w:val="center"/>
          </w:tcPr>
          <w:p w14:paraId="33B74E7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6</w:t>
            </w:r>
          </w:p>
        </w:tc>
        <w:tc>
          <w:tcPr>
            <w:tcW w:w="574" w:type="dxa"/>
            <w:vAlign w:val="center"/>
          </w:tcPr>
          <w:p w14:paraId="186A8CA5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7</w:t>
            </w:r>
          </w:p>
        </w:tc>
        <w:tc>
          <w:tcPr>
            <w:tcW w:w="683" w:type="dxa"/>
            <w:vMerge w:val="continue"/>
            <w:tcBorders>
              <w:right w:val="single" w:color="auto" w:sz="12" w:space="0"/>
            </w:tcBorders>
          </w:tcPr>
          <w:p w14:paraId="62E91C4C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3EFB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0" w:type="dxa"/>
            <w:tcBorders>
              <w:left w:val="single" w:color="auto" w:sz="12" w:space="0"/>
            </w:tcBorders>
            <w:vAlign w:val="center"/>
          </w:tcPr>
          <w:p w14:paraId="498606A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695" w:type="dxa"/>
            <w:vAlign w:val="center"/>
          </w:tcPr>
          <w:p w14:paraId="35BA31A6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2103" w:type="dxa"/>
            <w:tcBorders>
              <w:right w:val="double" w:color="auto" w:sz="4" w:space="0"/>
            </w:tcBorders>
            <w:vAlign w:val="center"/>
          </w:tcPr>
          <w:p w14:paraId="302F7EF4">
            <w:pPr>
              <w:pStyle w:val="14"/>
              <w:widowControl w:val="0"/>
            </w:pPr>
            <w:r>
              <w:rPr>
                <w:rFonts w:hint="eastAsia"/>
              </w:rPr>
              <w:t>期末闭卷考</w:t>
            </w:r>
          </w:p>
        </w:tc>
        <w:tc>
          <w:tcPr>
            <w:tcW w:w="574" w:type="dxa"/>
            <w:tcBorders>
              <w:left w:val="double" w:color="auto" w:sz="4" w:space="0"/>
            </w:tcBorders>
            <w:vAlign w:val="center"/>
          </w:tcPr>
          <w:p w14:paraId="24F71567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4EBA91CC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7AC21C0D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430F863F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1" w:type="dxa"/>
            <w:vAlign w:val="center"/>
          </w:tcPr>
          <w:p w14:paraId="59A02D64">
            <w:pPr>
              <w:pStyle w:val="14"/>
              <w:widowControl w:val="0"/>
            </w:pPr>
          </w:p>
        </w:tc>
        <w:tc>
          <w:tcPr>
            <w:tcW w:w="574" w:type="dxa"/>
            <w:vAlign w:val="center"/>
          </w:tcPr>
          <w:p w14:paraId="459DE9A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561A033C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83" w:type="dxa"/>
            <w:tcBorders>
              <w:right w:val="single" w:color="auto" w:sz="12" w:space="0"/>
            </w:tcBorders>
            <w:vAlign w:val="center"/>
          </w:tcPr>
          <w:p w14:paraId="36D4C29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DFAB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0" w:type="dxa"/>
            <w:tcBorders>
              <w:left w:val="single" w:color="auto" w:sz="12" w:space="0"/>
            </w:tcBorders>
            <w:vAlign w:val="center"/>
          </w:tcPr>
          <w:p w14:paraId="3EF76E7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695" w:type="dxa"/>
            <w:vAlign w:val="center"/>
          </w:tcPr>
          <w:p w14:paraId="35561B6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103" w:type="dxa"/>
            <w:tcBorders>
              <w:right w:val="double" w:color="auto" w:sz="4" w:space="0"/>
            </w:tcBorders>
            <w:vAlign w:val="center"/>
          </w:tcPr>
          <w:p w14:paraId="36A92CAE">
            <w:pPr>
              <w:pStyle w:val="14"/>
              <w:widowControl w:val="0"/>
            </w:pPr>
            <w:r>
              <w:rPr>
                <w:rFonts w:hint="eastAsia"/>
              </w:rPr>
              <w:t>课堂小测验+出勤+作业</w:t>
            </w:r>
          </w:p>
        </w:tc>
        <w:tc>
          <w:tcPr>
            <w:tcW w:w="574" w:type="dxa"/>
            <w:tcBorders>
              <w:left w:val="double" w:color="auto" w:sz="4" w:space="0"/>
            </w:tcBorders>
            <w:vAlign w:val="center"/>
          </w:tcPr>
          <w:p w14:paraId="3E63E94F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2833F605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3C7BBD66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43654901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1" w:type="dxa"/>
            <w:vAlign w:val="center"/>
          </w:tcPr>
          <w:p w14:paraId="4D4BA41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1FAE935E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574" w:type="dxa"/>
            <w:vAlign w:val="center"/>
          </w:tcPr>
          <w:p w14:paraId="07583520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83" w:type="dxa"/>
            <w:tcBorders>
              <w:right w:val="single" w:color="auto" w:sz="12" w:space="0"/>
            </w:tcBorders>
            <w:vAlign w:val="center"/>
          </w:tcPr>
          <w:p w14:paraId="26510D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2DA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0" w:type="dxa"/>
            <w:tcBorders>
              <w:left w:val="single" w:color="auto" w:sz="12" w:space="0"/>
            </w:tcBorders>
            <w:vAlign w:val="center"/>
          </w:tcPr>
          <w:p w14:paraId="75D9ABF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695" w:type="dxa"/>
            <w:vAlign w:val="center"/>
          </w:tcPr>
          <w:p w14:paraId="3AA5FAE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2103" w:type="dxa"/>
            <w:tcBorders>
              <w:right w:val="double" w:color="auto" w:sz="4" w:space="0"/>
            </w:tcBorders>
            <w:vAlign w:val="center"/>
          </w:tcPr>
          <w:p w14:paraId="60E4A998">
            <w:pPr>
              <w:pStyle w:val="14"/>
              <w:widowControl w:val="0"/>
            </w:pPr>
            <w:r>
              <w:rPr>
                <w:rFonts w:hint="eastAsia"/>
              </w:rPr>
              <w:t>课堂小测验+出勤+作业</w:t>
            </w:r>
          </w:p>
        </w:tc>
        <w:tc>
          <w:tcPr>
            <w:tcW w:w="574" w:type="dxa"/>
            <w:tcBorders>
              <w:left w:val="double" w:color="auto" w:sz="4" w:space="0"/>
            </w:tcBorders>
            <w:vAlign w:val="center"/>
          </w:tcPr>
          <w:p w14:paraId="350F1107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69878D1A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7907A5AF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0C96DB77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1" w:type="dxa"/>
            <w:vAlign w:val="center"/>
          </w:tcPr>
          <w:p w14:paraId="64044E1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126E2785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574" w:type="dxa"/>
            <w:vAlign w:val="center"/>
          </w:tcPr>
          <w:p w14:paraId="26EED124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83" w:type="dxa"/>
            <w:tcBorders>
              <w:right w:val="single" w:color="auto" w:sz="12" w:space="0"/>
            </w:tcBorders>
            <w:vAlign w:val="center"/>
          </w:tcPr>
          <w:p w14:paraId="7667BBD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C6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0" w:type="dxa"/>
            <w:tcBorders>
              <w:left w:val="single" w:color="auto" w:sz="12" w:space="0"/>
            </w:tcBorders>
            <w:vAlign w:val="center"/>
          </w:tcPr>
          <w:p w14:paraId="72EE34E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695" w:type="dxa"/>
            <w:vAlign w:val="center"/>
          </w:tcPr>
          <w:p w14:paraId="3770FF5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103" w:type="dxa"/>
            <w:tcBorders>
              <w:right w:val="double" w:color="auto" w:sz="4" w:space="0"/>
            </w:tcBorders>
            <w:vAlign w:val="center"/>
          </w:tcPr>
          <w:p w14:paraId="406FEE5E">
            <w:pPr>
              <w:pStyle w:val="14"/>
              <w:widowControl w:val="0"/>
            </w:pPr>
            <w:r>
              <w:rPr>
                <w:rFonts w:hint="eastAsia"/>
              </w:rPr>
              <w:t>课堂小测验+出勤+作业</w:t>
            </w:r>
          </w:p>
        </w:tc>
        <w:tc>
          <w:tcPr>
            <w:tcW w:w="574" w:type="dxa"/>
            <w:tcBorders>
              <w:left w:val="double" w:color="auto" w:sz="4" w:space="0"/>
            </w:tcBorders>
            <w:vAlign w:val="center"/>
          </w:tcPr>
          <w:p w14:paraId="7600F008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0EA35378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103C36DB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04FFF8D5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1" w:type="dxa"/>
            <w:vAlign w:val="center"/>
          </w:tcPr>
          <w:p w14:paraId="64D49B83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574" w:type="dxa"/>
            <w:vAlign w:val="center"/>
          </w:tcPr>
          <w:p w14:paraId="6AF9C982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574" w:type="dxa"/>
            <w:vAlign w:val="center"/>
          </w:tcPr>
          <w:p w14:paraId="0BB48108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83" w:type="dxa"/>
            <w:tcBorders>
              <w:right w:val="single" w:color="auto" w:sz="12" w:space="0"/>
            </w:tcBorders>
            <w:vAlign w:val="center"/>
          </w:tcPr>
          <w:p w14:paraId="4F463E7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0C8A8B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2F2B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1F59971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</w:p>
          <w:p w14:paraId="5923846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无</w:t>
            </w:r>
          </w:p>
          <w:p w14:paraId="73244EDF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509743C7">
      <w:pPr>
        <w:pStyle w:val="16"/>
        <w:rPr>
          <w:rFonts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A110E4"/>
    <w:multiLevelType w:val="multilevel"/>
    <w:tmpl w:val="32A110E4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宋体" w:hAnsi="宋体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0219B"/>
    <w:rsid w:val="000203E0"/>
    <w:rsid w:val="00020EC0"/>
    <w:rsid w:val="000210E0"/>
    <w:rsid w:val="00022328"/>
    <w:rsid w:val="0002653C"/>
    <w:rsid w:val="00033082"/>
    <w:rsid w:val="00044088"/>
    <w:rsid w:val="000457B7"/>
    <w:rsid w:val="000514B8"/>
    <w:rsid w:val="00053590"/>
    <w:rsid w:val="0006001D"/>
    <w:rsid w:val="000631A7"/>
    <w:rsid w:val="00066041"/>
    <w:rsid w:val="00076794"/>
    <w:rsid w:val="0008122A"/>
    <w:rsid w:val="00087488"/>
    <w:rsid w:val="0009050A"/>
    <w:rsid w:val="0009721F"/>
    <w:rsid w:val="000A4E73"/>
    <w:rsid w:val="000B1BD2"/>
    <w:rsid w:val="000B5A93"/>
    <w:rsid w:val="000C0F0D"/>
    <w:rsid w:val="000C13BC"/>
    <w:rsid w:val="000D28E5"/>
    <w:rsid w:val="000D34D7"/>
    <w:rsid w:val="000D49FA"/>
    <w:rsid w:val="00100633"/>
    <w:rsid w:val="00104384"/>
    <w:rsid w:val="00104BFA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71916"/>
    <w:rsid w:val="00183AA1"/>
    <w:rsid w:val="0018767C"/>
    <w:rsid w:val="001A135C"/>
    <w:rsid w:val="001A368D"/>
    <w:rsid w:val="001B0D49"/>
    <w:rsid w:val="001B15BD"/>
    <w:rsid w:val="001B546F"/>
    <w:rsid w:val="001B550A"/>
    <w:rsid w:val="001C16FC"/>
    <w:rsid w:val="001C2E3E"/>
    <w:rsid w:val="001C388D"/>
    <w:rsid w:val="001D727C"/>
    <w:rsid w:val="001D751D"/>
    <w:rsid w:val="001E0494"/>
    <w:rsid w:val="001E0D19"/>
    <w:rsid w:val="001E1D2D"/>
    <w:rsid w:val="001E5A17"/>
    <w:rsid w:val="001F153D"/>
    <w:rsid w:val="001F1880"/>
    <w:rsid w:val="001F284E"/>
    <w:rsid w:val="001F332E"/>
    <w:rsid w:val="00217861"/>
    <w:rsid w:val="002204E4"/>
    <w:rsid w:val="002211BF"/>
    <w:rsid w:val="00230625"/>
    <w:rsid w:val="00233F15"/>
    <w:rsid w:val="002420F1"/>
    <w:rsid w:val="00253AC8"/>
    <w:rsid w:val="00254DA5"/>
    <w:rsid w:val="00256B39"/>
    <w:rsid w:val="00257FEF"/>
    <w:rsid w:val="0026033C"/>
    <w:rsid w:val="0027339A"/>
    <w:rsid w:val="00274E82"/>
    <w:rsid w:val="002757AB"/>
    <w:rsid w:val="0027777C"/>
    <w:rsid w:val="00277FE7"/>
    <w:rsid w:val="002877FA"/>
    <w:rsid w:val="00287B95"/>
    <w:rsid w:val="00290962"/>
    <w:rsid w:val="0029110B"/>
    <w:rsid w:val="002A4649"/>
    <w:rsid w:val="002A7227"/>
    <w:rsid w:val="002B0773"/>
    <w:rsid w:val="002B0C48"/>
    <w:rsid w:val="002B13CA"/>
    <w:rsid w:val="002B3650"/>
    <w:rsid w:val="002B396A"/>
    <w:rsid w:val="002B7322"/>
    <w:rsid w:val="002C0DBD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53C8"/>
    <w:rsid w:val="00317E29"/>
    <w:rsid w:val="00321515"/>
    <w:rsid w:val="0032158C"/>
    <w:rsid w:val="0032602E"/>
    <w:rsid w:val="00327B8C"/>
    <w:rsid w:val="00331638"/>
    <w:rsid w:val="003344A7"/>
    <w:rsid w:val="00334623"/>
    <w:rsid w:val="00334DD4"/>
    <w:rsid w:val="00335007"/>
    <w:rsid w:val="003367AE"/>
    <w:rsid w:val="00340439"/>
    <w:rsid w:val="003404DB"/>
    <w:rsid w:val="00344EF2"/>
    <w:rsid w:val="00347EB8"/>
    <w:rsid w:val="00347F80"/>
    <w:rsid w:val="00353F74"/>
    <w:rsid w:val="003557DE"/>
    <w:rsid w:val="00361BEB"/>
    <w:rsid w:val="00370184"/>
    <w:rsid w:val="00371A93"/>
    <w:rsid w:val="00373C8A"/>
    <w:rsid w:val="003747DE"/>
    <w:rsid w:val="00376304"/>
    <w:rsid w:val="00377C10"/>
    <w:rsid w:val="0038284D"/>
    <w:rsid w:val="00384A1F"/>
    <w:rsid w:val="00384D60"/>
    <w:rsid w:val="00385D41"/>
    <w:rsid w:val="003861BA"/>
    <w:rsid w:val="00390D0D"/>
    <w:rsid w:val="003A1680"/>
    <w:rsid w:val="003A373C"/>
    <w:rsid w:val="003A5874"/>
    <w:rsid w:val="003B1258"/>
    <w:rsid w:val="003B419D"/>
    <w:rsid w:val="003B4A81"/>
    <w:rsid w:val="003C194C"/>
    <w:rsid w:val="003C1F8D"/>
    <w:rsid w:val="003C61A5"/>
    <w:rsid w:val="003D1968"/>
    <w:rsid w:val="003D3DA3"/>
    <w:rsid w:val="003D4994"/>
    <w:rsid w:val="003E10A5"/>
    <w:rsid w:val="003E57A1"/>
    <w:rsid w:val="003E7D72"/>
    <w:rsid w:val="003F3923"/>
    <w:rsid w:val="003F43F6"/>
    <w:rsid w:val="003F7A30"/>
    <w:rsid w:val="004019DB"/>
    <w:rsid w:val="00402B67"/>
    <w:rsid w:val="00403C91"/>
    <w:rsid w:val="0040433E"/>
    <w:rsid w:val="00404974"/>
    <w:rsid w:val="0040726A"/>
    <w:rsid w:val="004100B0"/>
    <w:rsid w:val="0041267F"/>
    <w:rsid w:val="00422D1E"/>
    <w:rsid w:val="00424BA5"/>
    <w:rsid w:val="00425431"/>
    <w:rsid w:val="00431829"/>
    <w:rsid w:val="00436067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644F"/>
    <w:rsid w:val="00487A46"/>
    <w:rsid w:val="0049322A"/>
    <w:rsid w:val="00493504"/>
    <w:rsid w:val="00494579"/>
    <w:rsid w:val="00496401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370F"/>
    <w:rsid w:val="00524300"/>
    <w:rsid w:val="00541F72"/>
    <w:rsid w:val="00542388"/>
    <w:rsid w:val="00544523"/>
    <w:rsid w:val="005451D9"/>
    <w:rsid w:val="005467DC"/>
    <w:rsid w:val="00546A82"/>
    <w:rsid w:val="00547C51"/>
    <w:rsid w:val="00551335"/>
    <w:rsid w:val="005519BB"/>
    <w:rsid w:val="005523FD"/>
    <w:rsid w:val="00553D03"/>
    <w:rsid w:val="00554C46"/>
    <w:rsid w:val="00555BA0"/>
    <w:rsid w:val="00556E41"/>
    <w:rsid w:val="005713AA"/>
    <w:rsid w:val="0057496F"/>
    <w:rsid w:val="005770A6"/>
    <w:rsid w:val="0059045B"/>
    <w:rsid w:val="005932EC"/>
    <w:rsid w:val="0059580A"/>
    <w:rsid w:val="00597EC2"/>
    <w:rsid w:val="005A13AB"/>
    <w:rsid w:val="005A58E5"/>
    <w:rsid w:val="005B1150"/>
    <w:rsid w:val="005B1FFC"/>
    <w:rsid w:val="005B2B6D"/>
    <w:rsid w:val="005B4B4E"/>
    <w:rsid w:val="005C3A76"/>
    <w:rsid w:val="005C4B62"/>
    <w:rsid w:val="005C5F0D"/>
    <w:rsid w:val="005D5B6F"/>
    <w:rsid w:val="005E1C88"/>
    <w:rsid w:val="005E38A5"/>
    <w:rsid w:val="005F5185"/>
    <w:rsid w:val="00601396"/>
    <w:rsid w:val="00616C12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2687"/>
    <w:rsid w:val="0068377F"/>
    <w:rsid w:val="0068678D"/>
    <w:rsid w:val="00690A90"/>
    <w:rsid w:val="00691B24"/>
    <w:rsid w:val="006950B8"/>
    <w:rsid w:val="00695B93"/>
    <w:rsid w:val="00697C16"/>
    <w:rsid w:val="006A1DBD"/>
    <w:rsid w:val="006A2D65"/>
    <w:rsid w:val="006A5A89"/>
    <w:rsid w:val="006B3BB9"/>
    <w:rsid w:val="006B48AC"/>
    <w:rsid w:val="006B5977"/>
    <w:rsid w:val="006D1B59"/>
    <w:rsid w:val="006D2F9C"/>
    <w:rsid w:val="006D305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108B"/>
    <w:rsid w:val="00712A2C"/>
    <w:rsid w:val="00712E84"/>
    <w:rsid w:val="00714914"/>
    <w:rsid w:val="007152AE"/>
    <w:rsid w:val="007208D6"/>
    <w:rsid w:val="00721195"/>
    <w:rsid w:val="00726786"/>
    <w:rsid w:val="00732152"/>
    <w:rsid w:val="0073480E"/>
    <w:rsid w:val="00741F23"/>
    <w:rsid w:val="007428DF"/>
    <w:rsid w:val="00742BD1"/>
    <w:rsid w:val="00742E7A"/>
    <w:rsid w:val="0074424F"/>
    <w:rsid w:val="00764FD9"/>
    <w:rsid w:val="00773765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12E3"/>
    <w:rsid w:val="007E44AA"/>
    <w:rsid w:val="007E4F3A"/>
    <w:rsid w:val="007E620F"/>
    <w:rsid w:val="007E663C"/>
    <w:rsid w:val="007E7795"/>
    <w:rsid w:val="0080066B"/>
    <w:rsid w:val="00803578"/>
    <w:rsid w:val="00812CA9"/>
    <w:rsid w:val="00815B8D"/>
    <w:rsid w:val="00815B8E"/>
    <w:rsid w:val="00816D99"/>
    <w:rsid w:val="0082324C"/>
    <w:rsid w:val="00823D71"/>
    <w:rsid w:val="008245AF"/>
    <w:rsid w:val="008256B9"/>
    <w:rsid w:val="00832BD4"/>
    <w:rsid w:val="0083705D"/>
    <w:rsid w:val="0084242F"/>
    <w:rsid w:val="00845795"/>
    <w:rsid w:val="00847437"/>
    <w:rsid w:val="008545D3"/>
    <w:rsid w:val="00882E15"/>
    <w:rsid w:val="00883C73"/>
    <w:rsid w:val="008901A2"/>
    <w:rsid w:val="008A08B0"/>
    <w:rsid w:val="008A3297"/>
    <w:rsid w:val="008B0385"/>
    <w:rsid w:val="008B1082"/>
    <w:rsid w:val="008B188E"/>
    <w:rsid w:val="008B397C"/>
    <w:rsid w:val="008B47F4"/>
    <w:rsid w:val="008B532E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3E18"/>
    <w:rsid w:val="008E5EA6"/>
    <w:rsid w:val="008F253F"/>
    <w:rsid w:val="008F7F31"/>
    <w:rsid w:val="00900019"/>
    <w:rsid w:val="009023B1"/>
    <w:rsid w:val="009044E0"/>
    <w:rsid w:val="00904C4D"/>
    <w:rsid w:val="009126BB"/>
    <w:rsid w:val="009147D6"/>
    <w:rsid w:val="00914D98"/>
    <w:rsid w:val="00925F8C"/>
    <w:rsid w:val="00927324"/>
    <w:rsid w:val="00932ED7"/>
    <w:rsid w:val="00933990"/>
    <w:rsid w:val="00935B39"/>
    <w:rsid w:val="0094137C"/>
    <w:rsid w:val="00941B89"/>
    <w:rsid w:val="00941DEA"/>
    <w:rsid w:val="009656CC"/>
    <w:rsid w:val="00970E8C"/>
    <w:rsid w:val="00971671"/>
    <w:rsid w:val="009750D0"/>
    <w:rsid w:val="00976DF4"/>
    <w:rsid w:val="00981A37"/>
    <w:rsid w:val="009830B2"/>
    <w:rsid w:val="0099063E"/>
    <w:rsid w:val="00992356"/>
    <w:rsid w:val="00992674"/>
    <w:rsid w:val="00994793"/>
    <w:rsid w:val="00996AE3"/>
    <w:rsid w:val="009A01ED"/>
    <w:rsid w:val="009A0450"/>
    <w:rsid w:val="009A1E27"/>
    <w:rsid w:val="009A307B"/>
    <w:rsid w:val="009B04E7"/>
    <w:rsid w:val="009B0F51"/>
    <w:rsid w:val="009B14E8"/>
    <w:rsid w:val="009B4D21"/>
    <w:rsid w:val="009B5A2D"/>
    <w:rsid w:val="009B5A73"/>
    <w:rsid w:val="009C54C9"/>
    <w:rsid w:val="009C589C"/>
    <w:rsid w:val="009D192B"/>
    <w:rsid w:val="009D2582"/>
    <w:rsid w:val="009D33E1"/>
    <w:rsid w:val="009D3B45"/>
    <w:rsid w:val="009D7CF9"/>
    <w:rsid w:val="009E092B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26659"/>
    <w:rsid w:val="00A300CE"/>
    <w:rsid w:val="00A31BBE"/>
    <w:rsid w:val="00A31D34"/>
    <w:rsid w:val="00A333EF"/>
    <w:rsid w:val="00A33F85"/>
    <w:rsid w:val="00A37412"/>
    <w:rsid w:val="00A40645"/>
    <w:rsid w:val="00A6016C"/>
    <w:rsid w:val="00A769B1"/>
    <w:rsid w:val="00A77DA3"/>
    <w:rsid w:val="00A837D5"/>
    <w:rsid w:val="00A83E04"/>
    <w:rsid w:val="00A91091"/>
    <w:rsid w:val="00A9332E"/>
    <w:rsid w:val="00A93984"/>
    <w:rsid w:val="00A93EE3"/>
    <w:rsid w:val="00A94BA9"/>
    <w:rsid w:val="00A96B47"/>
    <w:rsid w:val="00AA0E91"/>
    <w:rsid w:val="00AA10C8"/>
    <w:rsid w:val="00AA4970"/>
    <w:rsid w:val="00AA536D"/>
    <w:rsid w:val="00AB22C0"/>
    <w:rsid w:val="00AB28FC"/>
    <w:rsid w:val="00AB49E4"/>
    <w:rsid w:val="00AC1479"/>
    <w:rsid w:val="00AC2AAC"/>
    <w:rsid w:val="00AC3FBC"/>
    <w:rsid w:val="00AC40F1"/>
    <w:rsid w:val="00AC4C45"/>
    <w:rsid w:val="00AC5857"/>
    <w:rsid w:val="00AD1085"/>
    <w:rsid w:val="00AD5B40"/>
    <w:rsid w:val="00AF289F"/>
    <w:rsid w:val="00AF30B9"/>
    <w:rsid w:val="00AF43DF"/>
    <w:rsid w:val="00AF58BC"/>
    <w:rsid w:val="00AF67A4"/>
    <w:rsid w:val="00AF7510"/>
    <w:rsid w:val="00B071A9"/>
    <w:rsid w:val="00B12D31"/>
    <w:rsid w:val="00B13C0C"/>
    <w:rsid w:val="00B14061"/>
    <w:rsid w:val="00B15F6E"/>
    <w:rsid w:val="00B21BEE"/>
    <w:rsid w:val="00B23284"/>
    <w:rsid w:val="00B264BE"/>
    <w:rsid w:val="00B33D6B"/>
    <w:rsid w:val="00B345A3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8432B"/>
    <w:rsid w:val="00B919FA"/>
    <w:rsid w:val="00B94A16"/>
    <w:rsid w:val="00BA21D9"/>
    <w:rsid w:val="00BA6044"/>
    <w:rsid w:val="00BA648A"/>
    <w:rsid w:val="00BB1A93"/>
    <w:rsid w:val="00BC14BF"/>
    <w:rsid w:val="00BC2625"/>
    <w:rsid w:val="00BC3200"/>
    <w:rsid w:val="00BC338A"/>
    <w:rsid w:val="00BC662F"/>
    <w:rsid w:val="00BC716C"/>
    <w:rsid w:val="00BD6E60"/>
    <w:rsid w:val="00BD7AB0"/>
    <w:rsid w:val="00BF3C20"/>
    <w:rsid w:val="00C011BC"/>
    <w:rsid w:val="00C03DBA"/>
    <w:rsid w:val="00C042BD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4455B"/>
    <w:rsid w:val="00C45C48"/>
    <w:rsid w:val="00C47F13"/>
    <w:rsid w:val="00C516B1"/>
    <w:rsid w:val="00C5350C"/>
    <w:rsid w:val="00C56E09"/>
    <w:rsid w:val="00C61B1B"/>
    <w:rsid w:val="00C62F9B"/>
    <w:rsid w:val="00C66AB7"/>
    <w:rsid w:val="00C673D1"/>
    <w:rsid w:val="00C746CB"/>
    <w:rsid w:val="00C77BBF"/>
    <w:rsid w:val="00C77D64"/>
    <w:rsid w:val="00C81564"/>
    <w:rsid w:val="00C9080C"/>
    <w:rsid w:val="00C934A0"/>
    <w:rsid w:val="00C9403B"/>
    <w:rsid w:val="00C94429"/>
    <w:rsid w:val="00CA18FD"/>
    <w:rsid w:val="00CA27E5"/>
    <w:rsid w:val="00CA4897"/>
    <w:rsid w:val="00CA6928"/>
    <w:rsid w:val="00CB3D3F"/>
    <w:rsid w:val="00CB4468"/>
    <w:rsid w:val="00CB5A1A"/>
    <w:rsid w:val="00CC59E6"/>
    <w:rsid w:val="00CD5BDD"/>
    <w:rsid w:val="00CE2337"/>
    <w:rsid w:val="00CF096B"/>
    <w:rsid w:val="00CF0A84"/>
    <w:rsid w:val="00CF10F7"/>
    <w:rsid w:val="00CF5EE3"/>
    <w:rsid w:val="00CF691F"/>
    <w:rsid w:val="00D00D99"/>
    <w:rsid w:val="00D013A4"/>
    <w:rsid w:val="00D026DC"/>
    <w:rsid w:val="00D1436A"/>
    <w:rsid w:val="00D15595"/>
    <w:rsid w:val="00D21403"/>
    <w:rsid w:val="00D23D75"/>
    <w:rsid w:val="00D256ED"/>
    <w:rsid w:val="00D343A8"/>
    <w:rsid w:val="00D36F67"/>
    <w:rsid w:val="00D37832"/>
    <w:rsid w:val="00D41829"/>
    <w:rsid w:val="00D44860"/>
    <w:rsid w:val="00D47689"/>
    <w:rsid w:val="00D50C42"/>
    <w:rsid w:val="00D57CF5"/>
    <w:rsid w:val="00D612BC"/>
    <w:rsid w:val="00D62F98"/>
    <w:rsid w:val="00D66FD6"/>
    <w:rsid w:val="00D7416E"/>
    <w:rsid w:val="00D743FA"/>
    <w:rsid w:val="00D8285B"/>
    <w:rsid w:val="00D862EB"/>
    <w:rsid w:val="00D86619"/>
    <w:rsid w:val="00D91F2C"/>
    <w:rsid w:val="00D93E7C"/>
    <w:rsid w:val="00D97FF9"/>
    <w:rsid w:val="00DB2BE6"/>
    <w:rsid w:val="00DB76B3"/>
    <w:rsid w:val="00DC3D3E"/>
    <w:rsid w:val="00DD1052"/>
    <w:rsid w:val="00DD33DA"/>
    <w:rsid w:val="00DD3C7B"/>
    <w:rsid w:val="00DE0054"/>
    <w:rsid w:val="00DE2B21"/>
    <w:rsid w:val="00DE48DE"/>
    <w:rsid w:val="00DF25F2"/>
    <w:rsid w:val="00DF4166"/>
    <w:rsid w:val="00E000F4"/>
    <w:rsid w:val="00E01231"/>
    <w:rsid w:val="00E04279"/>
    <w:rsid w:val="00E11393"/>
    <w:rsid w:val="00E1187F"/>
    <w:rsid w:val="00E125D9"/>
    <w:rsid w:val="00E16D30"/>
    <w:rsid w:val="00E31E69"/>
    <w:rsid w:val="00E33169"/>
    <w:rsid w:val="00E34A7B"/>
    <w:rsid w:val="00E40973"/>
    <w:rsid w:val="00E42EF4"/>
    <w:rsid w:val="00E545FF"/>
    <w:rsid w:val="00E6080E"/>
    <w:rsid w:val="00E62A22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A591A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EF6191"/>
    <w:rsid w:val="00EF69B5"/>
    <w:rsid w:val="00F100D2"/>
    <w:rsid w:val="00F12942"/>
    <w:rsid w:val="00F13C41"/>
    <w:rsid w:val="00F14886"/>
    <w:rsid w:val="00F163E8"/>
    <w:rsid w:val="00F16421"/>
    <w:rsid w:val="00F17999"/>
    <w:rsid w:val="00F201EE"/>
    <w:rsid w:val="00F31463"/>
    <w:rsid w:val="00F35AA0"/>
    <w:rsid w:val="00F40FAF"/>
    <w:rsid w:val="00F43C49"/>
    <w:rsid w:val="00F45C12"/>
    <w:rsid w:val="00F52D67"/>
    <w:rsid w:val="00F544A2"/>
    <w:rsid w:val="00F73D03"/>
    <w:rsid w:val="00F74FB4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2583"/>
    <w:rsid w:val="00FD5663"/>
    <w:rsid w:val="00FD56C6"/>
    <w:rsid w:val="00FE3221"/>
    <w:rsid w:val="00FE48EA"/>
    <w:rsid w:val="00FE571F"/>
    <w:rsid w:val="00FF47F6"/>
    <w:rsid w:val="016E63C2"/>
    <w:rsid w:val="024B0C39"/>
    <w:rsid w:val="02F80526"/>
    <w:rsid w:val="0A8128A6"/>
    <w:rsid w:val="0BF32A1B"/>
    <w:rsid w:val="10BD2C22"/>
    <w:rsid w:val="17AE6FA4"/>
    <w:rsid w:val="22987C80"/>
    <w:rsid w:val="24192CCC"/>
    <w:rsid w:val="39A66CD4"/>
    <w:rsid w:val="3CD52CE1"/>
    <w:rsid w:val="410F2E6A"/>
    <w:rsid w:val="4430136C"/>
    <w:rsid w:val="4AB0382B"/>
    <w:rsid w:val="569868B5"/>
    <w:rsid w:val="5B9205D4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ヘッダー (文字)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フッター (文字)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見出し 1 (文字)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コメント文字列 (文字)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A0B194-AF61-4952-876A-C2D3AE073F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1116</Words>
  <Characters>1197</Characters>
  <Lines>37</Lines>
  <Paragraphs>10</Paragraphs>
  <TotalTime>0</TotalTime>
  <ScaleCrop>false</ScaleCrop>
  <LinksUpToDate>false</LinksUpToDate>
  <CharactersWithSpaces>1208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AstheDew</cp:lastModifiedBy>
  <cp:lastPrinted>2023-11-21T00:52:00Z</cp:lastPrinted>
  <dcterms:modified xsi:type="dcterms:W3CDTF">2026-09-28T06:09:03Z</dcterms:modified>
  <cp:revision>280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46ACBCFF37304A28B546AFF245DC5505_12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