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692E6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《日本礼仪文化》专科课程教学大纲</w:t>
      </w:r>
    </w:p>
    <w:p w14:paraId="05EE6750">
      <w:pPr>
        <w:pStyle w:val="17"/>
        <w:spacing w:before="326" w:beforeLines="100" w:after="163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47E0B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5FE0EC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E8AA4CB">
            <w:pPr>
              <w:widowControl w:val="0"/>
              <w:jc w:val="left"/>
              <w:rPr>
                <w:rFonts w:hint="default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日本礼仪文化</w:t>
            </w:r>
          </w:p>
        </w:tc>
      </w:tr>
      <w:tr w14:paraId="53B8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vAlign w:val="center"/>
          </w:tcPr>
          <w:p w14:paraId="13B852D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214E4BA3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ascii="黑体" w:hAnsi="黑体" w:eastAsia="黑体" w:cs="Times New Roman"/>
                <w:sz w:val="21"/>
                <w:szCs w:val="21"/>
              </w:rPr>
              <w:t>Computer Practice in Japanese</w:t>
            </w:r>
          </w:p>
        </w:tc>
      </w:tr>
      <w:tr w14:paraId="1DD77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2EE3E7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68DF30C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Times New Roman"/>
                <w:color w:val="000000"/>
                <w:sz w:val="20"/>
                <w:szCs w:val="20"/>
              </w:rPr>
              <w:t>01</w:t>
            </w: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40022</w:t>
            </w:r>
          </w:p>
        </w:tc>
        <w:tc>
          <w:tcPr>
            <w:tcW w:w="2126" w:type="dxa"/>
            <w:gridSpan w:val="2"/>
            <w:vAlign w:val="center"/>
          </w:tcPr>
          <w:p w14:paraId="555FEC9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C03EE3D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C722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E58EC5C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64706900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272" w:type="dxa"/>
            <w:vAlign w:val="center"/>
          </w:tcPr>
          <w:p w14:paraId="47790E46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0A257524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413" w:type="dxa"/>
            <w:gridSpan w:val="2"/>
            <w:vAlign w:val="center"/>
          </w:tcPr>
          <w:p w14:paraId="5A0B9428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093FB793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</w:tr>
      <w:tr w14:paraId="28245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2F19CC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3A183B0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外语与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国际教育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126" w:type="dxa"/>
            <w:gridSpan w:val="2"/>
            <w:vAlign w:val="center"/>
          </w:tcPr>
          <w:p w14:paraId="4E9E944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4AB3BDD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商务</w:t>
            </w:r>
            <w:r>
              <w:rPr>
                <w:rFonts w:ascii="Calibri" w:hAnsi="Calibri" w:cs="Times New Roman"/>
                <w:color w:val="000000"/>
                <w:sz w:val="20"/>
                <w:szCs w:val="20"/>
              </w:rPr>
              <w:t>日语</w:t>
            </w: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，一年级下及二年级</w:t>
            </w:r>
          </w:p>
        </w:tc>
      </w:tr>
      <w:tr w14:paraId="21CC4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66FD57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5B5DF426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Times New Roman"/>
                <w:color w:val="000000"/>
                <w:sz w:val="20"/>
                <w:szCs w:val="20"/>
              </w:rPr>
              <w:t>专业课程选修</w:t>
            </w:r>
          </w:p>
        </w:tc>
        <w:tc>
          <w:tcPr>
            <w:tcW w:w="2126" w:type="dxa"/>
            <w:gridSpan w:val="2"/>
            <w:vAlign w:val="center"/>
          </w:tcPr>
          <w:p w14:paraId="3E6C4A8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B74902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2DEB3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34868A9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28809CE0">
            <w:pPr>
              <w:widowControl w:val="0"/>
              <w:jc w:val="left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《日本企业文化与实务》、</w:t>
            </w:r>
            <w:r>
              <w:rPr>
                <w:rFonts w:hint="eastAsia" w:ascii="Helvetica" w:hAnsi="Helvetica"/>
                <w:color w:val="333333"/>
                <w:sz w:val="21"/>
                <w:szCs w:val="21"/>
                <w:shd w:val="clear" w:color="auto" w:fill="FFFFFF"/>
              </w:rPr>
              <w:t>江春华、</w:t>
            </w:r>
            <w:r>
              <w:br w:type="textWrapping"/>
            </w:r>
            <w:r>
              <w:rPr>
                <w:rFonts w:hint="eastAsia" w:ascii="Helvetica" w:hAnsi="Helvetica"/>
                <w:color w:val="333333"/>
                <w:sz w:val="21"/>
                <w:szCs w:val="21"/>
                <w:shd w:val="clear" w:color="auto" w:fill="FFFFFF"/>
              </w:rPr>
              <w:t>978-7 5446 6880-4、上海外语教育出版社、2021年11月</w:t>
            </w:r>
          </w:p>
        </w:tc>
        <w:tc>
          <w:tcPr>
            <w:tcW w:w="1413" w:type="dxa"/>
            <w:gridSpan w:val="2"/>
            <w:vAlign w:val="center"/>
          </w:tcPr>
          <w:p w14:paraId="690F102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01EC36D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5DFF8055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218E6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82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334E65E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61A8BE03">
            <w:pPr>
              <w:pStyle w:val="15"/>
              <w:widowControl w:val="0"/>
              <w:jc w:val="both"/>
            </w:pPr>
            <w:r>
              <w:rPr>
                <w:rFonts w:hint="eastAsia"/>
              </w:rPr>
              <w:t>综合</w:t>
            </w:r>
            <w:r>
              <w:t>日</w:t>
            </w:r>
            <w:r>
              <w:rPr>
                <w:rFonts w:hint="eastAsia"/>
              </w:rPr>
              <w:t>语I</w:t>
            </w:r>
            <w:r>
              <w:t xml:space="preserve"> 0140023</w:t>
            </w:r>
            <w:r>
              <w:rPr>
                <w:rFonts w:hint="eastAsia"/>
              </w:rPr>
              <w:t>（6）</w:t>
            </w:r>
          </w:p>
        </w:tc>
      </w:tr>
      <w:tr w14:paraId="54A0B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018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F99BD6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158CC650">
            <w:pPr>
              <w:pStyle w:val="15"/>
              <w:widowControl w:val="0"/>
              <w:ind w:firstLine="420" w:firstLineChars="200"/>
              <w:jc w:val="both"/>
            </w:pPr>
            <w:r>
              <w:rPr>
                <w:rFonts w:hint="eastAsia"/>
              </w:rPr>
              <w:t>《日本礼仪文化》课程是为日语学生开设的一门选修课程。该课程学制一个学期</w:t>
            </w:r>
            <w:r>
              <w:t>32学时。该课程不仅是一门语言基础知识课程,也是拓宽知识、了解世界文化，尤其是日本文化的素质教育课程。日本礼仪是日本特有的传统礼仪，包含了所有的吃穿住行文化。</w:t>
            </w:r>
            <w:r>
              <w:rPr>
                <w:rFonts w:hint="eastAsia"/>
              </w:rPr>
              <w:t>该课程将</w:t>
            </w:r>
            <w:r>
              <w:t>生动讲解日本企业文化的传统特点与现代商务实务能力，涵盖职场礼仪、会议方法、沟通技巧等基</w:t>
            </w:r>
            <w:bookmarkStart w:id="4" w:name="_GoBack"/>
            <w:bookmarkEnd w:id="4"/>
            <w:r>
              <w:t>础实务，以及企划方法、公司报表解读等综合技能。</w:t>
            </w:r>
          </w:p>
        </w:tc>
      </w:tr>
      <w:tr w14:paraId="46335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79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vAlign w:val="center"/>
          </w:tcPr>
          <w:p w14:paraId="348F5C0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7ACA83E8">
            <w:pPr>
              <w:pStyle w:val="15"/>
              <w:widowControl w:val="0"/>
              <w:ind w:firstLine="400" w:firstLineChars="200"/>
              <w:jc w:val="both"/>
              <w:rPr>
                <w:sz w:val="20"/>
                <w:szCs w:val="20"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本课程在商务日语专业第一</w:t>
            </w:r>
            <w:r>
              <w:rPr>
                <w:rFonts w:ascii="Calibri" w:hAnsi="Calibri" w:cs="Times New Roman"/>
                <w:sz w:val="20"/>
                <w:szCs w:val="20"/>
              </w:rPr>
              <w:t>学</w:t>
            </w:r>
            <w:r>
              <w:rPr>
                <w:rFonts w:hint="eastAsia" w:ascii="Calibri" w:hAnsi="Calibri" w:cs="Times New Roman"/>
                <w:sz w:val="20"/>
                <w:szCs w:val="20"/>
              </w:rPr>
              <w:t>年第二学期开设。在学生具备一定日语的基础上，特别是会讲解企业文化和礼仪规范，以及职场日语的正确使用方式。</w:t>
            </w:r>
          </w:p>
        </w:tc>
      </w:tr>
      <w:tr w14:paraId="44A3B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75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3A6EFFA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4F515D6A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inline distT="0" distB="0" distL="0" distR="0">
                  <wp:extent cx="544195" cy="285750"/>
                  <wp:effectExtent l="0" t="0" r="8255" b="0"/>
                  <wp:docPr id="609017029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017029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27" cy="309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7F797F80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31D4317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8</w:t>
            </w:r>
          </w:p>
        </w:tc>
      </w:tr>
      <w:tr w14:paraId="6468B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56D4EE9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41D23C72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593725" cy="294640"/>
                  <wp:effectExtent l="0" t="0" r="0" b="0"/>
                  <wp:docPr id="149107260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107260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472" cy="30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3965CB97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11402218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8</w:t>
            </w:r>
          </w:p>
        </w:tc>
      </w:tr>
      <w:tr w14:paraId="68EAD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87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103F81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3050BC35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655955" cy="333375"/>
                  <wp:effectExtent l="0" t="0" r="0" b="0"/>
                  <wp:docPr id="140317124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17124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548" cy="338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245105C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357C344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8</w:t>
            </w:r>
          </w:p>
        </w:tc>
      </w:tr>
    </w:tbl>
    <w:p w14:paraId="67909F48">
      <w:pPr>
        <w:spacing w:line="100" w:lineRule="exact"/>
      </w:pPr>
      <w:r>
        <w:br w:type="page"/>
      </w:r>
    </w:p>
    <w:p w14:paraId="2F85CCCC">
      <w:pPr>
        <w:spacing w:line="100" w:lineRule="exact"/>
      </w:pPr>
    </w:p>
    <w:p w14:paraId="32178CFB">
      <w:pPr>
        <w:spacing w:line="100" w:lineRule="exact"/>
        <w:rPr>
          <w:rFonts w:ascii="Arial" w:hAnsi="Arial" w:eastAsia="黑体"/>
        </w:rPr>
      </w:pPr>
      <w:r>
        <w:rPr>
          <w:rFonts w:hint="eastAsia" w:ascii="黑体"/>
        </w:rPr>
        <w:t>二、</w:t>
      </w:r>
      <w:r>
        <w:rPr>
          <w:rFonts w:hint="eastAsia"/>
        </w:rPr>
        <w:t xml:space="preserve">课程目标 </w:t>
      </w:r>
    </w:p>
    <w:tbl>
      <w:tblPr>
        <w:tblStyle w:val="8"/>
        <w:tblpPr w:leftFromText="180" w:rightFromText="180" w:tblpY="427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9"/>
        <w:gridCol w:w="767"/>
        <w:gridCol w:w="6300"/>
      </w:tblGrid>
      <w:tr w14:paraId="183693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</w:trPr>
        <w:tc>
          <w:tcPr>
            <w:tcW w:w="1209" w:type="dxa"/>
            <w:vAlign w:val="center"/>
          </w:tcPr>
          <w:p w14:paraId="4C885066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7" w:type="dxa"/>
            <w:vAlign w:val="center"/>
          </w:tcPr>
          <w:p w14:paraId="24814361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0" w:type="dxa"/>
            <w:vAlign w:val="center"/>
          </w:tcPr>
          <w:p w14:paraId="0E02B06A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68993E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209" w:type="dxa"/>
            <w:vAlign w:val="center"/>
          </w:tcPr>
          <w:p w14:paraId="00CA0EB0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7" w:type="dxa"/>
            <w:vAlign w:val="center"/>
          </w:tcPr>
          <w:p w14:paraId="62A213D5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0" w:type="dxa"/>
            <w:vAlign w:val="center"/>
          </w:tcPr>
          <w:p w14:paraId="7EDFBE6C">
            <w:pPr>
              <w:pStyle w:val="15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Theme="minorEastAsia" w:hAnsiTheme="minorEastAsia" w:eastAsiaTheme="minorEastAsia"/>
                <w:spacing w:val="8"/>
                <w:kern w:val="2"/>
                <w:shd w:val="clear" w:color="auto" w:fill="FFFFFF"/>
              </w:rPr>
              <w:t>通过对日本礼仪文化的学习，掌握并分辨职场与日常日语，提高日语语言使用的规范性和准确性,从而更有效地进行交流。</w:t>
            </w:r>
          </w:p>
        </w:tc>
      </w:tr>
      <w:tr w14:paraId="274674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209" w:type="dxa"/>
            <w:vAlign w:val="center"/>
          </w:tcPr>
          <w:p w14:paraId="0BC26AAD">
            <w:pPr>
              <w:pStyle w:val="15"/>
              <w:rPr>
                <w:rFonts w:ascii="宋体" w:hAnsi="宋体"/>
              </w:rPr>
            </w:pPr>
            <w:r>
              <w:rPr>
                <w:rFonts w:hint="eastAsia" w:ascii="黑体" w:hAnsi="黑体" w:eastAsia="黑体"/>
                <w:bCs/>
                <w:szCs w:val="18"/>
              </w:rPr>
              <w:t>技能目标</w:t>
            </w:r>
          </w:p>
        </w:tc>
        <w:tc>
          <w:tcPr>
            <w:tcW w:w="767" w:type="dxa"/>
            <w:vAlign w:val="center"/>
          </w:tcPr>
          <w:p w14:paraId="3C8317C2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0" w:type="dxa"/>
            <w:vAlign w:val="center"/>
          </w:tcPr>
          <w:p w14:paraId="0C334E10">
            <w:pPr>
              <w:pStyle w:val="15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熟练用日语进行基础的商务沟通。</w:t>
            </w:r>
          </w:p>
        </w:tc>
      </w:tr>
      <w:tr w14:paraId="65275D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209" w:type="dxa"/>
            <w:vAlign w:val="center"/>
          </w:tcPr>
          <w:p w14:paraId="54EE92A1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5F7C1A6E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7" w:type="dxa"/>
            <w:vAlign w:val="center"/>
          </w:tcPr>
          <w:p w14:paraId="370ED60A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0" w:type="dxa"/>
            <w:vAlign w:val="center"/>
          </w:tcPr>
          <w:p w14:paraId="4F35FC92">
            <w:pPr>
              <w:pStyle w:val="15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遵守学校的校纪校规，上课听从教师的教导</w:t>
            </w:r>
          </w:p>
        </w:tc>
      </w:tr>
    </w:tbl>
    <w:p w14:paraId="5C818168">
      <w:pPr>
        <w:pStyle w:val="18"/>
        <w:spacing w:before="163" w:after="163"/>
      </w:pPr>
    </w:p>
    <w:p w14:paraId="6F4E6904">
      <w:pPr>
        <w:pStyle w:val="17"/>
        <w:spacing w:before="326" w:beforeLines="100" w:after="163" w:line="360" w:lineRule="auto"/>
        <w:rPr>
          <w:rFonts w:ascii="黑体" w:hAnsi="宋体"/>
        </w:rPr>
      </w:pPr>
      <w:bookmarkStart w:id="0" w:name="OLE_LINK1"/>
      <w:bookmarkStart w:id="1" w:name="OLE_LINK2"/>
      <w:r>
        <w:rPr>
          <w:rFonts w:hint="eastAsia" w:ascii="黑体" w:hAnsi="宋体"/>
        </w:rPr>
        <w:t>三、实验</w:t>
      </w:r>
      <w:r>
        <w:rPr>
          <w:rFonts w:hint="eastAsia"/>
          <w:color w:val="000000"/>
          <w:szCs w:val="28"/>
        </w:rPr>
        <w:t>内容与要求</w:t>
      </w:r>
    </w:p>
    <w:p w14:paraId="2E1FB06C">
      <w:pPr>
        <w:pStyle w:val="18"/>
        <w:spacing w:before="163" w:after="163"/>
      </w:pPr>
      <w:r>
        <w:rPr>
          <w:rFonts w:hint="eastAsia"/>
        </w:rPr>
        <w:t>（一）各实验项目的基本信息</w:t>
      </w:r>
    </w:p>
    <w:tbl>
      <w:tblPr>
        <w:tblStyle w:val="8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10"/>
        <w:gridCol w:w="3504"/>
        <w:gridCol w:w="1273"/>
        <w:gridCol w:w="851"/>
        <w:gridCol w:w="850"/>
        <w:gridCol w:w="788"/>
      </w:tblGrid>
      <w:tr w14:paraId="69AE05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10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0BFDD5A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3504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B9B8F6D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1273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9DA1840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489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EE105F3">
            <w:pPr>
              <w:pStyle w:val="14"/>
              <w:rPr>
                <w:szCs w:val="16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3AB7A5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49" w:hRule="atLeast"/>
          <w:jc w:val="center"/>
        </w:trPr>
        <w:tc>
          <w:tcPr>
            <w:tcW w:w="101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1CCC36">
            <w:pPr>
              <w:pStyle w:val="14"/>
              <w:rPr>
                <w:szCs w:val="16"/>
              </w:rPr>
            </w:pPr>
          </w:p>
        </w:tc>
        <w:tc>
          <w:tcPr>
            <w:tcW w:w="350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D311F3">
            <w:pPr>
              <w:pStyle w:val="14"/>
              <w:rPr>
                <w:szCs w:val="16"/>
              </w:rPr>
            </w:pPr>
          </w:p>
        </w:tc>
        <w:tc>
          <w:tcPr>
            <w:tcW w:w="1273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648B6B">
            <w:pPr>
              <w:pStyle w:val="14"/>
              <w:rPr>
                <w:szCs w:val="16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455054">
            <w:pPr>
              <w:pStyle w:val="14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理论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2772CB">
            <w:pPr>
              <w:pStyle w:val="14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实践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6BAC24">
            <w:pPr>
              <w:pStyle w:val="14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小计</w:t>
            </w:r>
          </w:p>
        </w:tc>
      </w:tr>
      <w:tr w14:paraId="235F77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4620AE">
            <w:pPr>
              <w:pStyle w:val="15"/>
            </w:pPr>
            <w:r>
              <w:rPr>
                <w:rFonts w:hint="eastAsia"/>
              </w:rPr>
              <w:t>1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607034">
            <w:pPr>
              <w:pStyle w:val="15"/>
              <w:rPr>
                <w:rFonts w:eastAsiaTheme="minorEastAsia"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中日礼仪文化对比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BD4F2F">
            <w:pPr>
              <w:pStyle w:val="15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93A52D">
            <w:pPr>
              <w:pStyle w:val="14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3486CB">
            <w:pPr>
              <w:pStyle w:val="15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23CC40">
            <w:pPr>
              <w:pStyle w:val="15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</w:tr>
      <w:tr w14:paraId="43D041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67630D">
            <w:pPr>
              <w:pStyle w:val="15"/>
            </w:pPr>
            <w:r>
              <w:rPr>
                <w:rFonts w:hint="eastAsia"/>
              </w:rPr>
              <w:t>2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4FB314">
            <w:pPr>
              <w:pStyle w:val="15"/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名片交换的“第一印象”艺术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95D970">
            <w:pPr>
              <w:pStyle w:val="15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C368FE">
            <w:pPr>
              <w:pStyle w:val="14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9FA0CD">
            <w:pPr>
              <w:pStyle w:val="15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E8D216">
            <w:pPr>
              <w:pStyle w:val="15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</w:tr>
      <w:tr w14:paraId="6F984C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7CFF54">
            <w:pPr>
              <w:pStyle w:val="15"/>
            </w:pPr>
            <w:r>
              <w:rPr>
                <w:rFonts w:hint="eastAsia"/>
              </w:rPr>
              <w:t>3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5C0D24">
            <w:pPr>
              <w:pStyle w:val="15"/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日式会议中的“沉默”与“构建”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370C677">
            <w:pPr>
              <w:pStyle w:val="15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7A9966">
            <w:pPr>
              <w:pStyle w:val="14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5BBF02">
            <w:pPr>
              <w:pStyle w:val="15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BBB194">
            <w:pPr>
              <w:pStyle w:val="15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</w:tr>
      <w:tr w14:paraId="49AF14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CAD2CD">
            <w:pPr>
              <w:pStyle w:val="15"/>
            </w:pPr>
            <w:r>
              <w:rPr>
                <w:rFonts w:hint="eastAsia"/>
              </w:rPr>
              <w:t>4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05FB1B">
            <w:pPr>
              <w:pStyle w:val="15"/>
              <w:rPr>
                <w:rFonts w:cs="Times New Roman" w:asciiTheme="majorEastAsia" w:hAnsiTheme="majorEastAsia" w:eastAsiaTheme="majorEastAsia"/>
                <w:bCs/>
                <w:sz w:val="20"/>
                <w:szCs w:val="20"/>
              </w:rPr>
            </w:pPr>
            <w:r>
              <w:rPr>
                <w:rFonts w:hint="eastAsia" w:cs="Times New Roman" w:asciiTheme="majorEastAsia" w:hAnsiTheme="majorEastAsia" w:eastAsiaTheme="majorEastAsia"/>
                <w:bCs/>
                <w:sz w:val="20"/>
                <w:szCs w:val="20"/>
              </w:rPr>
              <w:t>敬</w:t>
            </w:r>
            <w:r>
              <w:rPr>
                <w:rFonts w:hint="eastAsia" w:cs="微软雅黑" w:asciiTheme="majorEastAsia" w:hAnsiTheme="majorEastAsia" w:eastAsiaTheme="majorEastAsia"/>
                <w:bCs/>
                <w:sz w:val="20"/>
                <w:szCs w:val="20"/>
              </w:rPr>
              <w:t>语</w:t>
            </w:r>
            <w:r>
              <w:rPr>
                <w:rFonts w:hint="eastAsia" w:cs="MS Mincho" w:asciiTheme="majorEastAsia" w:hAnsiTheme="majorEastAsia" w:eastAsiaTheme="majorEastAsia"/>
                <w:bCs/>
                <w:sz w:val="20"/>
                <w:szCs w:val="20"/>
              </w:rPr>
              <w:t>与上下</w:t>
            </w:r>
            <w:r>
              <w:rPr>
                <w:rFonts w:hint="eastAsia" w:cs="微软雅黑" w:asciiTheme="majorEastAsia" w:hAnsiTheme="majorEastAsia" w:eastAsiaTheme="majorEastAsia"/>
                <w:bCs/>
                <w:sz w:val="20"/>
                <w:szCs w:val="20"/>
              </w:rPr>
              <w:t>级</w:t>
            </w:r>
            <w:r>
              <w:rPr>
                <w:rFonts w:hint="eastAsia" w:cs="MS Mincho" w:asciiTheme="majorEastAsia" w:hAnsiTheme="majorEastAsia" w:eastAsiaTheme="majorEastAsia"/>
                <w:bCs/>
                <w:sz w:val="20"/>
                <w:szCs w:val="20"/>
              </w:rPr>
              <w:t>沟通的“分寸感”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7F25BB">
            <w:pPr>
              <w:pStyle w:val="15"/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D75891">
            <w:pPr>
              <w:pStyle w:val="14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6D8027">
            <w:pPr>
              <w:pStyle w:val="15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DA2AF7">
            <w:pPr>
              <w:pStyle w:val="15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</w:tr>
      <w:tr w14:paraId="7A9261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C8D7266">
            <w:pPr>
              <w:pStyle w:val="15"/>
            </w:pPr>
            <w:r>
              <w:rPr>
                <w:rFonts w:hint="eastAsia"/>
              </w:rPr>
              <w:t>5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6AA46C">
            <w:pPr>
              <w:pStyle w:val="15"/>
              <w:rPr>
                <w:rFonts w:cs="Times New Roman" w:asciiTheme="majorEastAsia" w:hAnsiTheme="majorEastAsia" w:eastAsiaTheme="majorEastAsia"/>
                <w:bCs/>
                <w:sz w:val="20"/>
                <w:szCs w:val="20"/>
              </w:rPr>
            </w:pPr>
            <w:r>
              <w:rPr>
                <w:rFonts w:hint="eastAsia" w:cs="Times New Roman" w:asciiTheme="majorEastAsia" w:hAnsiTheme="majorEastAsia" w:eastAsiaTheme="majorEastAsia"/>
                <w:bCs/>
                <w:sz w:val="20"/>
                <w:szCs w:val="20"/>
              </w:rPr>
              <w:t>商</w:t>
            </w:r>
            <w:r>
              <w:rPr>
                <w:rFonts w:hint="eastAsia" w:cs="微软雅黑" w:asciiTheme="majorEastAsia" w:hAnsiTheme="majorEastAsia" w:eastAsiaTheme="majorEastAsia"/>
                <w:bCs/>
                <w:sz w:val="20"/>
                <w:szCs w:val="20"/>
              </w:rPr>
              <w:t>务</w:t>
            </w:r>
            <w:r>
              <w:rPr>
                <w:rFonts w:hint="eastAsia" w:cs="MS Mincho" w:asciiTheme="majorEastAsia" w:hAnsiTheme="majorEastAsia" w:eastAsiaTheme="majorEastAsia"/>
                <w:bCs/>
                <w:sz w:val="20"/>
                <w:szCs w:val="20"/>
              </w:rPr>
              <w:t>宴</w:t>
            </w:r>
            <w:r>
              <w:rPr>
                <w:rFonts w:hint="eastAsia" w:cs="微软雅黑" w:asciiTheme="majorEastAsia" w:hAnsiTheme="majorEastAsia" w:eastAsiaTheme="majorEastAsia"/>
                <w:bCs/>
                <w:sz w:val="20"/>
                <w:szCs w:val="20"/>
              </w:rPr>
              <w:t>请</w:t>
            </w:r>
            <w:r>
              <w:rPr>
                <w:rFonts w:hint="eastAsia" w:cs="MS Mincho" w:asciiTheme="majorEastAsia" w:hAnsiTheme="majorEastAsia" w:eastAsiaTheme="majorEastAsia"/>
                <w:bCs/>
                <w:sz w:val="20"/>
                <w:szCs w:val="20"/>
              </w:rPr>
              <w:t>中的“座次”与“</w:t>
            </w:r>
            <w:r>
              <w:rPr>
                <w:rFonts w:hint="eastAsia" w:cs="微软雅黑" w:asciiTheme="majorEastAsia" w:hAnsiTheme="majorEastAsia" w:eastAsiaTheme="majorEastAsia"/>
                <w:bCs/>
                <w:sz w:val="20"/>
                <w:szCs w:val="20"/>
              </w:rPr>
              <w:t>细节</w:t>
            </w:r>
            <w:r>
              <w:rPr>
                <w:rFonts w:hint="eastAsia" w:cs="MS Mincho" w:asciiTheme="majorEastAsia" w:hAnsiTheme="majorEastAsia" w:eastAsiaTheme="majorEastAsia"/>
                <w:bCs/>
                <w:sz w:val="20"/>
                <w:szCs w:val="20"/>
              </w:rPr>
              <w:t>”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329641">
            <w:pPr>
              <w:pStyle w:val="15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BB1F57">
            <w:pPr>
              <w:pStyle w:val="14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AE43BE">
            <w:pPr>
              <w:pStyle w:val="15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69A2AC">
            <w:pPr>
              <w:pStyle w:val="15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6</w:t>
            </w:r>
          </w:p>
        </w:tc>
      </w:tr>
      <w:tr w14:paraId="185AEA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0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497C99">
            <w:pPr>
              <w:pStyle w:val="15"/>
            </w:pPr>
            <w:r>
              <w:rPr>
                <w:rFonts w:hint="eastAsia"/>
              </w:rPr>
              <w:t>6</w:t>
            </w:r>
          </w:p>
        </w:tc>
        <w:tc>
          <w:tcPr>
            <w:tcW w:w="35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73DB5C0">
            <w:pPr>
              <w:pStyle w:val="15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综合实践训练</w:t>
            </w: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5725B1E">
            <w:pPr>
              <w:pStyle w:val="15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④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1E7BF8">
            <w:pPr>
              <w:pStyle w:val="14"/>
              <w:rPr>
                <w:szCs w:val="16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86AC7E">
            <w:pPr>
              <w:pStyle w:val="15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C94179E">
            <w:pPr>
              <w:pStyle w:val="15"/>
              <w:rPr>
                <w:rFonts w:ascii="Arial" w:hAnsi="Arial" w:eastAsia="黑体"/>
                <w:bCs/>
                <w:szCs w:val="16"/>
              </w:rPr>
            </w:pPr>
            <w:r>
              <w:rPr>
                <w:rFonts w:hint="eastAsia" w:ascii="Arial" w:hAnsi="Arial" w:eastAsia="黑体"/>
                <w:bCs/>
                <w:szCs w:val="16"/>
              </w:rPr>
              <w:t>2</w:t>
            </w:r>
          </w:p>
        </w:tc>
      </w:tr>
      <w:tr w14:paraId="102252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276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5CB468B8">
            <w:pPr>
              <w:pStyle w:val="14"/>
            </w:pPr>
            <w:r>
              <w:rPr>
                <w:rFonts w:hint="eastAsia"/>
                <w:szCs w:val="16"/>
              </w:rPr>
              <w:t xml:space="preserve">实验类型：①演示型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②验证型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③设计型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14:paraId="0FC6DBA6">
      <w:pPr>
        <w:pStyle w:val="18"/>
        <w:spacing w:before="163" w:after="163"/>
      </w:pPr>
      <w:r>
        <w:rPr>
          <w:rFonts w:hint="eastAsia"/>
        </w:rPr>
        <w:t>（二）各实验项目教学目标、内容与要求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242EFB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5AE527A6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</w:rPr>
            </w:pPr>
            <w:r>
              <w:rPr>
                <w:rFonts w:hint="eastAsia" w:cs="仿宋"/>
                <w:bCs/>
                <w:color w:val="000000"/>
              </w:rPr>
              <w:t>实验1：</w:t>
            </w:r>
            <w:r>
              <w:rPr>
                <w:rFonts w:hint="eastAsia"/>
                <w:bCs/>
              </w:rPr>
              <w:t>中日礼仪文化对比</w:t>
            </w:r>
          </w:p>
        </w:tc>
      </w:tr>
      <w:tr w14:paraId="010B86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8276" w:type="dxa"/>
          </w:tcPr>
          <w:p w14:paraId="398366CD">
            <w:pPr>
              <w:pStyle w:val="15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学习</w:t>
            </w:r>
            <w:r>
              <w:rPr>
                <w:rFonts w:cs="仿宋"/>
                <w:bCs/>
                <w:sz w:val="24"/>
                <w:szCs w:val="24"/>
              </w:rPr>
              <w:t>中日礼仪文化的核心差异，理解其背后的集体主义与关系导向逻辑，培养跨文化沟通与适应的实践能力。对比商务礼仪（如名片、敬语）、社交习俗（如送礼、餐饮）、沟通模式（直接vs委婉）及文化价值观。掌握知识要点，能分析案例，并在一系列情景模拟中得体应用两国礼仪规则。</w:t>
            </w:r>
          </w:p>
        </w:tc>
      </w:tr>
      <w:tr w14:paraId="16EF05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8276" w:type="dxa"/>
          </w:tcPr>
          <w:p w14:paraId="323ADAF7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</w:rPr>
            </w:pPr>
            <w:r>
              <w:rPr>
                <w:rFonts w:hint="eastAsia" w:cs="仿宋"/>
                <w:bCs/>
                <w:color w:val="000000"/>
              </w:rPr>
              <w:t>实验2：</w:t>
            </w:r>
            <w:r>
              <w:rPr>
                <w:rFonts w:hint="eastAsia" w:ascii="MS Mincho" w:hAnsi="MS Mincho" w:eastAsia="Yu Mincho" w:cs="Times New Roman"/>
                <w:bCs/>
              </w:rPr>
              <w:t>名片交</w:t>
            </w:r>
            <w:r>
              <w:rPr>
                <w:rFonts w:hint="eastAsia"/>
                <w:bCs/>
              </w:rPr>
              <w:t>换</w:t>
            </w:r>
            <w:r>
              <w:rPr>
                <w:rFonts w:hint="eastAsia" w:ascii="Yu Mincho" w:hAnsi="Yu Mincho" w:eastAsia="Yu Mincho" w:cs="Yu Mincho"/>
                <w:bCs/>
              </w:rPr>
              <w:t>的“第一印象”</w:t>
            </w:r>
            <w:r>
              <w:rPr>
                <w:rFonts w:hint="eastAsia"/>
                <w:bCs/>
              </w:rPr>
              <w:t>艺术</w:t>
            </w:r>
          </w:p>
        </w:tc>
      </w:tr>
      <w:tr w14:paraId="012BE3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6AA2C351">
            <w:pPr>
              <w:pStyle w:val="15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学习</w:t>
            </w:r>
            <w:r>
              <w:rPr>
                <w:rFonts w:ascii="宋体" w:hAnsi="宋体" w:cs="Times New Roman"/>
                <w:bCs/>
                <w:sz w:val="24"/>
                <w:szCs w:val="24"/>
              </w:rPr>
              <w:t>日式名片交换的标准流程和核心细节。能在不同模拟场景中流畅、规范地完成名片交换仪式。理解其背后蕴含的等级秩序、相互尊重与建立信任的文化内涵，培养严谨、专业的职业素养。</w:t>
            </w:r>
          </w:p>
        </w:tc>
      </w:tr>
      <w:tr w14:paraId="0E5182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0BD53B52">
            <w:pPr>
              <w:pStyle w:val="15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实验</w:t>
            </w:r>
            <w:r>
              <w:rPr>
                <w:rFonts w:hint="eastAsia" w:eastAsia="MS Mincho" w:cs="仿宋"/>
                <w:bCs/>
                <w:sz w:val="24"/>
                <w:szCs w:val="24"/>
              </w:rPr>
              <w:t>３：</w:t>
            </w: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日式会议中的“沉默”与“构建”</w:t>
            </w:r>
          </w:p>
        </w:tc>
      </w:tr>
      <w:tr w14:paraId="72039A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680063DA">
            <w:pPr>
              <w:pStyle w:val="15"/>
              <w:widowControl w:val="0"/>
              <w:jc w:val="left"/>
              <w:rPr>
                <w:rFonts w:cs="仿宋"/>
                <w:bCs/>
                <w:sz w:val="24"/>
                <w:szCs w:val="24"/>
                <w:lang w:eastAsia="ja-JP"/>
              </w:rPr>
            </w:pPr>
            <w:r>
              <w:rPr>
                <w:rFonts w:hint="eastAsia" w:cs="仿宋"/>
                <w:bCs/>
                <w:sz w:val="24"/>
                <w:szCs w:val="24"/>
                <w:lang w:eastAsia="ja-JP"/>
              </w:rPr>
              <w:t>学习</w:t>
            </w:r>
            <w:r>
              <w:rPr>
                <w:rFonts w:cs="仿宋"/>
                <w:bCs/>
                <w:sz w:val="24"/>
                <w:szCs w:val="24"/>
                <w:lang w:eastAsia="ja-JP"/>
              </w:rPr>
              <w:t>日本会议文化中“沉默”的沟通价值与“根回し”的构建逻辑。</w:t>
            </w:r>
            <w:r>
              <w:rPr>
                <w:rFonts w:cs="仿宋"/>
                <w:bCs/>
                <w:sz w:val="24"/>
                <w:szCs w:val="24"/>
              </w:rPr>
              <w:t>对比“会前共识构建”与“会上确认仪式”，分析沉默、倾听与委婉表达的作用。</w:t>
            </w:r>
            <w:r>
              <w:rPr>
                <w:rFonts w:cs="仿宋"/>
                <w:bCs/>
                <w:sz w:val="24"/>
                <w:szCs w:val="24"/>
                <w:lang w:eastAsia="ja-JP"/>
              </w:rPr>
              <w:t>掌握“根回し”技巧，能在模拟会议中运用沉默策略，体会集体决策中的“和”文化。</w:t>
            </w:r>
          </w:p>
        </w:tc>
      </w:tr>
      <w:tr w14:paraId="6B8937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1AB1675">
            <w:pPr>
              <w:pStyle w:val="15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实验4</w:t>
            </w:r>
            <w:r>
              <w:rPr>
                <w:rFonts w:hint="eastAsia" w:eastAsia="MS Mincho" w:cs="仿宋"/>
                <w:bCs/>
                <w:sz w:val="24"/>
                <w:szCs w:val="24"/>
              </w:rPr>
              <w:t>：</w:t>
            </w:r>
            <w:r>
              <w:rPr>
                <w:rFonts w:hint="eastAsia" w:cs="仿宋" w:asciiTheme="majorEastAsia" w:hAnsiTheme="majorEastAsia" w:eastAsiaTheme="majorEastAsia"/>
                <w:bCs/>
                <w:sz w:val="24"/>
                <w:szCs w:val="24"/>
              </w:rPr>
              <w:t>敬</w:t>
            </w:r>
            <w:r>
              <w:rPr>
                <w:rFonts w:hint="eastAsia" w:cs="微软雅黑" w:asciiTheme="majorEastAsia" w:hAnsiTheme="majorEastAsia" w:eastAsiaTheme="majorEastAsia"/>
                <w:bCs/>
                <w:sz w:val="24"/>
                <w:szCs w:val="24"/>
              </w:rPr>
              <w:t>语</w:t>
            </w:r>
            <w:r>
              <w:rPr>
                <w:rFonts w:hint="eastAsia" w:cs="MS Mincho" w:asciiTheme="majorEastAsia" w:hAnsiTheme="majorEastAsia" w:eastAsiaTheme="majorEastAsia"/>
                <w:bCs/>
                <w:sz w:val="24"/>
                <w:szCs w:val="24"/>
              </w:rPr>
              <w:t>与上下</w:t>
            </w:r>
            <w:r>
              <w:rPr>
                <w:rFonts w:hint="eastAsia" w:cs="微软雅黑" w:asciiTheme="majorEastAsia" w:hAnsiTheme="majorEastAsia" w:eastAsiaTheme="majorEastAsia"/>
                <w:bCs/>
                <w:sz w:val="24"/>
                <w:szCs w:val="24"/>
              </w:rPr>
              <w:t>级</w:t>
            </w:r>
            <w:r>
              <w:rPr>
                <w:rFonts w:hint="eastAsia" w:cs="MS Mincho" w:asciiTheme="majorEastAsia" w:hAnsiTheme="majorEastAsia" w:eastAsiaTheme="majorEastAsia"/>
                <w:bCs/>
                <w:sz w:val="24"/>
                <w:szCs w:val="24"/>
              </w:rPr>
              <w:t>沟通的“分寸感”</w:t>
            </w:r>
          </w:p>
        </w:tc>
      </w:tr>
      <w:tr w14:paraId="28763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028E4EEB">
            <w:pPr>
              <w:pStyle w:val="15"/>
              <w:widowControl w:val="0"/>
              <w:jc w:val="left"/>
              <w:rPr>
                <w:rFonts w:cs="仿宋"/>
                <w:bCs/>
                <w:sz w:val="24"/>
                <w:szCs w:val="24"/>
                <w:lang w:eastAsia="ja-JP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学习</w:t>
            </w:r>
            <w:r>
              <w:rPr>
                <w:rFonts w:cs="仿宋"/>
                <w:bCs/>
                <w:sz w:val="24"/>
                <w:szCs w:val="24"/>
              </w:rPr>
              <w:t>日企敬语体系（尊敬语、谦让语、丁宁语）的使用场景，理解语言背后的等级与关系文化。对比上下级、内外部沟通差异，演练“报告·联络·商量”（報連相）场景中的敬语转换与表达分寸。</w:t>
            </w:r>
            <w:r>
              <w:rPr>
                <w:rFonts w:cs="仿宋"/>
                <w:bCs/>
                <w:sz w:val="24"/>
                <w:szCs w:val="24"/>
                <w:lang w:eastAsia="ja-JP"/>
              </w:rPr>
              <w:t>能根据身份、场合准确选择敬语，在角色扮演中体现“察し”（体察）与尊重。</w:t>
            </w:r>
          </w:p>
        </w:tc>
      </w:tr>
      <w:tr w14:paraId="3A08D1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5879218C">
            <w:pPr>
              <w:pStyle w:val="15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实验5</w:t>
            </w:r>
            <w:r>
              <w:rPr>
                <w:rFonts w:hint="eastAsia" w:eastAsia="MS Mincho" w:cs="仿宋"/>
                <w:bCs/>
                <w:sz w:val="24"/>
                <w:szCs w:val="24"/>
              </w:rPr>
              <w:t>：</w:t>
            </w:r>
            <w:r>
              <w:rPr>
                <w:rFonts w:hint="eastAsia" w:cs="仿宋" w:asciiTheme="majorEastAsia" w:hAnsiTheme="majorEastAsia" w:eastAsiaTheme="majorEastAsia"/>
                <w:bCs/>
                <w:sz w:val="24"/>
                <w:szCs w:val="24"/>
              </w:rPr>
              <w:t>商</w:t>
            </w:r>
            <w:r>
              <w:rPr>
                <w:rFonts w:hint="eastAsia" w:cs="微软雅黑" w:asciiTheme="majorEastAsia" w:hAnsiTheme="majorEastAsia" w:eastAsiaTheme="majorEastAsia"/>
                <w:bCs/>
                <w:sz w:val="24"/>
                <w:szCs w:val="24"/>
              </w:rPr>
              <w:t>务</w:t>
            </w:r>
            <w:r>
              <w:rPr>
                <w:rFonts w:hint="eastAsia" w:cs="MS Mincho" w:asciiTheme="majorEastAsia" w:hAnsiTheme="majorEastAsia" w:eastAsiaTheme="majorEastAsia"/>
                <w:bCs/>
                <w:sz w:val="24"/>
                <w:szCs w:val="24"/>
              </w:rPr>
              <w:t>宴</w:t>
            </w:r>
            <w:r>
              <w:rPr>
                <w:rFonts w:hint="eastAsia" w:cs="微软雅黑" w:asciiTheme="majorEastAsia" w:hAnsiTheme="majorEastAsia" w:eastAsiaTheme="majorEastAsia"/>
                <w:bCs/>
                <w:sz w:val="24"/>
                <w:szCs w:val="24"/>
              </w:rPr>
              <w:t>请</w:t>
            </w:r>
            <w:r>
              <w:rPr>
                <w:rFonts w:hint="eastAsia" w:cs="MS Mincho" w:asciiTheme="majorEastAsia" w:hAnsiTheme="majorEastAsia" w:eastAsiaTheme="majorEastAsia"/>
                <w:bCs/>
                <w:sz w:val="24"/>
                <w:szCs w:val="24"/>
              </w:rPr>
              <w:t>中的“座次”与“</w:t>
            </w:r>
            <w:r>
              <w:rPr>
                <w:rFonts w:hint="eastAsia" w:cs="微软雅黑" w:asciiTheme="majorEastAsia" w:hAnsiTheme="majorEastAsia" w:eastAsiaTheme="majorEastAsia"/>
                <w:bCs/>
                <w:sz w:val="24"/>
                <w:szCs w:val="24"/>
              </w:rPr>
              <w:t>细节</w:t>
            </w:r>
            <w:r>
              <w:rPr>
                <w:rFonts w:hint="eastAsia" w:cs="MS Mincho" w:asciiTheme="majorEastAsia" w:hAnsiTheme="majorEastAsia" w:eastAsiaTheme="majorEastAsia"/>
                <w:bCs/>
                <w:sz w:val="24"/>
                <w:szCs w:val="24"/>
              </w:rPr>
              <w:t>”</w:t>
            </w:r>
          </w:p>
        </w:tc>
      </w:tr>
      <w:tr w14:paraId="209B1C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27F29717">
            <w:pPr>
              <w:pStyle w:val="15"/>
              <w:widowControl w:val="0"/>
              <w:jc w:val="left"/>
              <w:rPr>
                <w:rFonts w:cs="仿宋"/>
                <w:bCs/>
                <w:sz w:val="24"/>
                <w:szCs w:val="24"/>
                <w:lang w:eastAsia="ja-JP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学习日式商务宴请的基本规则，包括座次、斟酒、用餐礼仪及交流话题选择。能在模拟场景中正确判断座位、规范地进行斟酒和接受斟酒、并使用恰当的交流用语。</w:t>
            </w:r>
            <w:r>
              <w:rPr>
                <w:rFonts w:hint="eastAsia" w:cs="仿宋"/>
                <w:bCs/>
                <w:sz w:val="24"/>
                <w:szCs w:val="24"/>
                <w:lang w:eastAsia="ja-JP"/>
              </w:rPr>
              <w:t>深刻理解“以客为尊”和“关照他人”（気遣い）的文化内核，体验礼仪对于建立和深化商务关系的纽带作用。</w:t>
            </w:r>
          </w:p>
        </w:tc>
      </w:tr>
      <w:tr w14:paraId="084E33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65625470">
            <w:pPr>
              <w:pStyle w:val="15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实验6</w:t>
            </w:r>
            <w:r>
              <w:rPr>
                <w:rFonts w:hint="eastAsia" w:eastAsia="MS Mincho" w:cs="仿宋"/>
                <w:bCs/>
                <w:sz w:val="24"/>
                <w:szCs w:val="24"/>
                <w:lang w:eastAsia="ja-JP"/>
              </w:rPr>
              <w:t>：</w:t>
            </w: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综合实践训练</w:t>
            </w:r>
          </w:p>
        </w:tc>
      </w:tr>
      <w:tr w14:paraId="493BE2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0F3D99A4">
            <w:pPr>
              <w:pStyle w:val="15"/>
              <w:widowControl w:val="0"/>
              <w:jc w:val="left"/>
              <w:rPr>
                <w:rFonts w:cs="仿宋"/>
                <w:bCs/>
                <w:sz w:val="24"/>
                <w:szCs w:val="24"/>
              </w:rPr>
            </w:pPr>
            <w:r>
              <w:rPr>
                <w:rFonts w:hint="eastAsia" w:cs="仿宋"/>
                <w:bCs/>
                <w:sz w:val="24"/>
                <w:szCs w:val="24"/>
              </w:rPr>
              <w:t>针对前五项内容进行反复实训。</w:t>
            </w:r>
          </w:p>
        </w:tc>
      </w:tr>
    </w:tbl>
    <w:p w14:paraId="42E5CE9C">
      <w:pPr>
        <w:pStyle w:val="18"/>
        <w:spacing w:before="163" w:after="163"/>
      </w:pPr>
      <w:r>
        <w:rPr>
          <w:rFonts w:hint="eastAsia"/>
        </w:rPr>
        <w:t>（三）各实验项目对课程目标的支撑关系</w:t>
      </w:r>
    </w:p>
    <w:tbl>
      <w:tblPr>
        <w:tblStyle w:val="8"/>
        <w:tblW w:w="42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990"/>
        <w:gridCol w:w="959"/>
        <w:gridCol w:w="959"/>
        <w:gridCol w:w="1218"/>
      </w:tblGrid>
      <w:tr w14:paraId="29AF7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3980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05340713">
            <w:pPr>
              <w:pStyle w:val="14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3800138F">
            <w:pPr>
              <w:pStyle w:val="14"/>
              <w:ind w:right="210"/>
              <w:jc w:val="left"/>
              <w:rPr>
                <w:szCs w:val="16"/>
              </w:rPr>
            </w:pPr>
          </w:p>
          <w:p w14:paraId="75FB1C81">
            <w:pPr>
              <w:pStyle w:val="14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957" w:type="dxa"/>
            <w:tcBorders>
              <w:top w:val="single" w:color="auto" w:sz="12" w:space="0"/>
            </w:tcBorders>
            <w:vAlign w:val="center"/>
          </w:tcPr>
          <w:p w14:paraId="3D816C9C">
            <w:pPr>
              <w:pStyle w:val="14"/>
              <w:rPr>
                <w:rFonts w:eastAsia="宋体"/>
                <w:szCs w:val="16"/>
              </w:rPr>
            </w:pPr>
            <w:r>
              <w:rPr>
                <w:rFonts w:hint="eastAsia" w:eastAsia="宋体"/>
                <w:szCs w:val="16"/>
              </w:rPr>
              <w:t>1</w:t>
            </w:r>
          </w:p>
        </w:tc>
        <w:tc>
          <w:tcPr>
            <w:tcW w:w="957" w:type="dxa"/>
            <w:tcBorders>
              <w:top w:val="single" w:color="auto" w:sz="12" w:space="0"/>
            </w:tcBorders>
            <w:vAlign w:val="center"/>
          </w:tcPr>
          <w:p w14:paraId="29307E4E">
            <w:pPr>
              <w:pStyle w:val="14"/>
              <w:rPr>
                <w:szCs w:val="16"/>
              </w:rPr>
            </w:pPr>
            <w:r>
              <w:rPr>
                <w:rFonts w:hint="eastAsia" w:ascii="宋体" w:hAnsi="宋体" w:eastAsia="宋体" w:cs="Times New Roman"/>
                <w:sz w:val="20"/>
              </w:rPr>
              <w:t>2</w:t>
            </w:r>
          </w:p>
        </w:tc>
        <w:tc>
          <w:tcPr>
            <w:tcW w:w="1215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BB8555C">
            <w:pPr>
              <w:snapToGrid w:val="0"/>
              <w:spacing w:line="288" w:lineRule="auto"/>
              <w:jc w:val="center"/>
              <w:rPr>
                <w:szCs w:val="16"/>
              </w:rPr>
            </w:pPr>
            <w:r>
              <w:rPr>
                <w:rFonts w:hint="eastAsia" w:cs="Times New Roman"/>
                <w:sz w:val="20"/>
                <w:szCs w:val="20"/>
              </w:rPr>
              <w:t>3</w:t>
            </w:r>
          </w:p>
        </w:tc>
      </w:tr>
      <w:tr w14:paraId="47520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4BCB4306">
            <w:pPr>
              <w:pStyle w:val="15"/>
              <w:rPr>
                <w:rFonts w:ascii="MS Mincho" w:hAnsi="MS Mincho" w:eastAsia="Yu Mincho" w:cs="Times New Roman"/>
                <w:bCs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中日礼仪文化对比</w:t>
            </w:r>
          </w:p>
        </w:tc>
        <w:tc>
          <w:tcPr>
            <w:tcW w:w="957" w:type="dxa"/>
            <w:vAlign w:val="center"/>
          </w:tcPr>
          <w:p w14:paraId="4FD70E8D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08561B1B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vAlign w:val="center"/>
          </w:tcPr>
          <w:p w14:paraId="2FCC2FC9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3708F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31A66835">
            <w:pPr>
              <w:pStyle w:val="15"/>
              <w:rPr>
                <w:rFonts w:ascii="MS Mincho" w:hAnsi="MS Mincho" w:eastAsia="Yu Mincho" w:cs="Times New Roman"/>
                <w:bCs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名片交换的“第一印象”艺术</w:t>
            </w:r>
          </w:p>
        </w:tc>
        <w:tc>
          <w:tcPr>
            <w:tcW w:w="957" w:type="dxa"/>
            <w:vAlign w:val="center"/>
          </w:tcPr>
          <w:p w14:paraId="57F88647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74444781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vAlign w:val="center"/>
          </w:tcPr>
          <w:p w14:paraId="69C1488B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48AB5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6D12C4DF">
            <w:pPr>
              <w:pStyle w:val="15"/>
              <w:rPr>
                <w:rFonts w:ascii="MS Mincho" w:hAnsi="MS Mincho" w:eastAsia="Yu Mincho" w:cs="Times New Roman"/>
                <w:bCs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日式会议中的“沉默”与“构建”</w:t>
            </w:r>
          </w:p>
        </w:tc>
        <w:tc>
          <w:tcPr>
            <w:tcW w:w="957" w:type="dxa"/>
            <w:vAlign w:val="center"/>
          </w:tcPr>
          <w:p w14:paraId="0417957A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957" w:type="dxa"/>
            <w:vAlign w:val="center"/>
          </w:tcPr>
          <w:p w14:paraId="17CE238B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  <w:tc>
          <w:tcPr>
            <w:tcW w:w="1215" w:type="dxa"/>
            <w:vAlign w:val="center"/>
          </w:tcPr>
          <w:p w14:paraId="6EE0FF34">
            <w:pPr>
              <w:pStyle w:val="15"/>
            </w:pPr>
            <w:r>
              <w:rPr>
                <w:rFonts w:ascii="Arial" w:hAnsi="Arial" w:cs="Arial"/>
              </w:rPr>
              <w:t>√</w:t>
            </w:r>
          </w:p>
        </w:tc>
      </w:tr>
      <w:tr w14:paraId="6C63D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4D876C97">
            <w:pPr>
              <w:pStyle w:val="15"/>
              <w:rPr>
                <w:rFonts w:ascii="MS Mincho" w:hAnsi="MS Mincho" w:eastAsia="Yu Mincho" w:cs="Times New Roman"/>
                <w:bCs/>
              </w:rPr>
            </w:pPr>
            <w:r>
              <w:rPr>
                <w:rFonts w:hint="eastAsia" w:cs="Times New Roman" w:asciiTheme="majorEastAsia" w:hAnsiTheme="majorEastAsia" w:eastAsiaTheme="majorEastAsia"/>
                <w:bCs/>
                <w:sz w:val="20"/>
                <w:szCs w:val="20"/>
              </w:rPr>
              <w:t>敬</w:t>
            </w:r>
            <w:r>
              <w:rPr>
                <w:rFonts w:hint="eastAsia" w:cs="微软雅黑" w:asciiTheme="majorEastAsia" w:hAnsiTheme="majorEastAsia" w:eastAsiaTheme="majorEastAsia"/>
                <w:bCs/>
                <w:sz w:val="20"/>
                <w:szCs w:val="20"/>
              </w:rPr>
              <w:t>语</w:t>
            </w:r>
            <w:r>
              <w:rPr>
                <w:rFonts w:hint="eastAsia" w:cs="MS Mincho" w:asciiTheme="majorEastAsia" w:hAnsiTheme="majorEastAsia" w:eastAsiaTheme="majorEastAsia"/>
                <w:bCs/>
                <w:sz w:val="20"/>
                <w:szCs w:val="20"/>
              </w:rPr>
              <w:t>与上下</w:t>
            </w:r>
            <w:r>
              <w:rPr>
                <w:rFonts w:hint="eastAsia" w:cs="微软雅黑" w:asciiTheme="majorEastAsia" w:hAnsiTheme="majorEastAsia" w:eastAsiaTheme="majorEastAsia"/>
                <w:bCs/>
                <w:sz w:val="20"/>
                <w:szCs w:val="20"/>
              </w:rPr>
              <w:t>级</w:t>
            </w:r>
            <w:r>
              <w:rPr>
                <w:rFonts w:hint="eastAsia" w:cs="MS Mincho" w:asciiTheme="majorEastAsia" w:hAnsiTheme="majorEastAsia" w:eastAsiaTheme="majorEastAsia"/>
                <w:bCs/>
                <w:sz w:val="20"/>
                <w:szCs w:val="20"/>
              </w:rPr>
              <w:t>沟通的“分寸感”</w:t>
            </w:r>
          </w:p>
        </w:tc>
        <w:tc>
          <w:tcPr>
            <w:tcW w:w="957" w:type="dxa"/>
            <w:vAlign w:val="center"/>
          </w:tcPr>
          <w:p w14:paraId="5F5DB7BE">
            <w:pPr>
              <w:pStyle w:val="15"/>
            </w:pPr>
            <w:r>
              <w:t>√</w:t>
            </w:r>
          </w:p>
        </w:tc>
        <w:tc>
          <w:tcPr>
            <w:tcW w:w="957" w:type="dxa"/>
            <w:vAlign w:val="center"/>
          </w:tcPr>
          <w:p w14:paraId="295EDA87">
            <w:pPr>
              <w:pStyle w:val="15"/>
            </w:pPr>
            <w:r>
              <w:t>√</w:t>
            </w:r>
          </w:p>
        </w:tc>
        <w:tc>
          <w:tcPr>
            <w:tcW w:w="1215" w:type="dxa"/>
            <w:vAlign w:val="center"/>
          </w:tcPr>
          <w:p w14:paraId="049F3FEB">
            <w:pPr>
              <w:pStyle w:val="15"/>
            </w:pPr>
            <w:r>
              <w:t>√</w:t>
            </w:r>
          </w:p>
        </w:tc>
      </w:tr>
      <w:tr w14:paraId="6C32F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</w:tcBorders>
            <w:vAlign w:val="center"/>
          </w:tcPr>
          <w:p w14:paraId="0E1845C4">
            <w:pPr>
              <w:pStyle w:val="15"/>
              <w:rPr>
                <w:rFonts w:ascii="宋体" w:hAnsi="宋体"/>
                <w:bCs/>
              </w:rPr>
            </w:pPr>
            <w:r>
              <w:rPr>
                <w:rFonts w:hint="eastAsia" w:cs="Times New Roman" w:asciiTheme="majorEastAsia" w:hAnsiTheme="majorEastAsia" w:eastAsiaTheme="majorEastAsia"/>
                <w:bCs/>
                <w:sz w:val="20"/>
                <w:szCs w:val="20"/>
              </w:rPr>
              <w:t>商</w:t>
            </w:r>
            <w:r>
              <w:rPr>
                <w:rFonts w:hint="eastAsia" w:cs="微软雅黑" w:asciiTheme="majorEastAsia" w:hAnsiTheme="majorEastAsia" w:eastAsiaTheme="majorEastAsia"/>
                <w:bCs/>
                <w:sz w:val="20"/>
                <w:szCs w:val="20"/>
              </w:rPr>
              <w:t>务</w:t>
            </w:r>
            <w:r>
              <w:rPr>
                <w:rFonts w:hint="eastAsia" w:cs="MS Mincho" w:asciiTheme="majorEastAsia" w:hAnsiTheme="majorEastAsia" w:eastAsiaTheme="majorEastAsia"/>
                <w:bCs/>
                <w:sz w:val="20"/>
                <w:szCs w:val="20"/>
              </w:rPr>
              <w:t>宴</w:t>
            </w:r>
            <w:r>
              <w:rPr>
                <w:rFonts w:hint="eastAsia" w:cs="微软雅黑" w:asciiTheme="majorEastAsia" w:hAnsiTheme="majorEastAsia" w:eastAsiaTheme="majorEastAsia"/>
                <w:bCs/>
                <w:sz w:val="20"/>
                <w:szCs w:val="20"/>
              </w:rPr>
              <w:t>请</w:t>
            </w:r>
            <w:r>
              <w:rPr>
                <w:rFonts w:hint="eastAsia" w:cs="MS Mincho" w:asciiTheme="majorEastAsia" w:hAnsiTheme="majorEastAsia" w:eastAsiaTheme="majorEastAsia"/>
                <w:bCs/>
                <w:sz w:val="20"/>
                <w:szCs w:val="20"/>
              </w:rPr>
              <w:t>中的“座次”与“</w:t>
            </w:r>
            <w:r>
              <w:rPr>
                <w:rFonts w:hint="eastAsia" w:cs="微软雅黑" w:asciiTheme="majorEastAsia" w:hAnsiTheme="majorEastAsia" w:eastAsiaTheme="majorEastAsia"/>
                <w:bCs/>
                <w:sz w:val="20"/>
                <w:szCs w:val="20"/>
              </w:rPr>
              <w:t>细节</w:t>
            </w:r>
            <w:r>
              <w:rPr>
                <w:rFonts w:hint="eastAsia" w:cs="MS Mincho" w:asciiTheme="majorEastAsia" w:hAnsiTheme="majorEastAsia" w:eastAsiaTheme="majorEastAsia"/>
                <w:bCs/>
                <w:sz w:val="20"/>
                <w:szCs w:val="20"/>
              </w:rPr>
              <w:t>”</w:t>
            </w:r>
          </w:p>
        </w:tc>
        <w:tc>
          <w:tcPr>
            <w:tcW w:w="957" w:type="dxa"/>
            <w:vAlign w:val="center"/>
          </w:tcPr>
          <w:p w14:paraId="54392ADF">
            <w:pPr>
              <w:pStyle w:val="15"/>
            </w:pPr>
            <w:r>
              <w:t>√</w:t>
            </w:r>
          </w:p>
        </w:tc>
        <w:tc>
          <w:tcPr>
            <w:tcW w:w="957" w:type="dxa"/>
            <w:vAlign w:val="center"/>
          </w:tcPr>
          <w:p w14:paraId="302E8F78">
            <w:pPr>
              <w:pStyle w:val="15"/>
            </w:pPr>
            <w:r>
              <w:t>√</w:t>
            </w:r>
          </w:p>
        </w:tc>
        <w:tc>
          <w:tcPr>
            <w:tcW w:w="1215" w:type="dxa"/>
            <w:vAlign w:val="center"/>
          </w:tcPr>
          <w:p w14:paraId="0542BC00">
            <w:pPr>
              <w:pStyle w:val="15"/>
            </w:pPr>
            <w:r>
              <w:t>√</w:t>
            </w:r>
          </w:p>
        </w:tc>
      </w:tr>
      <w:tr w14:paraId="1F099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83" w:hRule="atLeast"/>
          <w:jc w:val="center"/>
        </w:trPr>
        <w:tc>
          <w:tcPr>
            <w:tcW w:w="3980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9FBEB8A">
            <w:pPr>
              <w:pStyle w:val="15"/>
              <w:rPr>
                <w:rFonts w:ascii="宋体" w:hAnsi="宋体"/>
                <w:bCs/>
              </w:rPr>
            </w:pPr>
            <w:r>
              <w:rPr>
                <w:rFonts w:hint="eastAsia" w:ascii="Calibri" w:hAnsi="Calibri" w:cs="Times New Roman"/>
                <w:sz w:val="20"/>
                <w:szCs w:val="20"/>
              </w:rPr>
              <w:t>综合实践训练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4087E5D9">
            <w:pPr>
              <w:pStyle w:val="15"/>
            </w:pPr>
            <w:r>
              <w:t>√</w:t>
            </w:r>
          </w:p>
        </w:tc>
        <w:tc>
          <w:tcPr>
            <w:tcW w:w="957" w:type="dxa"/>
            <w:tcBorders>
              <w:bottom w:val="single" w:color="auto" w:sz="12" w:space="0"/>
            </w:tcBorders>
            <w:vAlign w:val="center"/>
          </w:tcPr>
          <w:p w14:paraId="38899212">
            <w:pPr>
              <w:pStyle w:val="15"/>
            </w:pPr>
            <w:r>
              <w:t>√</w:t>
            </w: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14:paraId="10B58705">
            <w:pPr>
              <w:pStyle w:val="15"/>
            </w:pPr>
            <w:r>
              <w:t>√</w:t>
            </w:r>
          </w:p>
        </w:tc>
      </w:tr>
      <w:bookmarkEnd w:id="0"/>
      <w:bookmarkEnd w:id="1"/>
    </w:tbl>
    <w:p w14:paraId="4DDC787C">
      <w:pPr>
        <w:pStyle w:val="17"/>
        <w:spacing w:before="326" w:beforeLines="100" w:after="163" w:line="360" w:lineRule="auto"/>
        <w:rPr>
          <w:rFonts w:ascii="黑体" w:hAnsi="宋体"/>
          <w:highlight w:val="green"/>
        </w:rPr>
      </w:pPr>
      <w:bookmarkStart w:id="2" w:name="OLE_LINK3"/>
      <w:bookmarkStart w:id="3" w:name="OLE_LINK4"/>
      <w:r>
        <w:rPr>
          <w:rFonts w:hint="eastAsia" w:ascii="黑体" w:hAnsi="宋体"/>
        </w:rPr>
        <w:t>四、课程思政教学设计</w:t>
      </w:r>
    </w:p>
    <w:tbl>
      <w:tblPr>
        <w:tblStyle w:val="9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5A8568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6" w:type="dxa"/>
          </w:tcPr>
          <w:p w14:paraId="1E0701CB">
            <w:pPr>
              <w:pStyle w:val="15"/>
              <w:widowControl w:val="0"/>
              <w:jc w:val="left"/>
              <w:rPr>
                <w:bCs/>
              </w:rPr>
            </w:pPr>
            <w:r>
              <w:rPr>
                <w:b/>
                <w:bCs/>
              </w:rPr>
              <w:t>LO1品德修养</w:t>
            </w:r>
            <w:r>
              <w:rPr>
                <w:bCs/>
              </w:rPr>
              <w:t xml:space="preserve">： </w:t>
            </w:r>
          </w:p>
          <w:p w14:paraId="0DDC8CEF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</w:t>
            </w:r>
            <w:r>
              <w:rPr>
                <w:rFonts w:ascii="宋体" w:hAnsi="宋体"/>
                <w:bCs/>
              </w:rPr>
              <w:t>遵纪守法，增强法律意识，培养法律思维，自觉遵守法律法规、校纪校规。</w:t>
            </w:r>
          </w:p>
          <w:p w14:paraId="61176B8A">
            <w:pPr>
              <w:pStyle w:val="15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ascii="宋体" w:hAnsi="宋体"/>
                <w:bCs/>
              </w:rPr>
              <w:t xml:space="preserve"> </w:t>
            </w:r>
            <w:r>
              <w:rPr>
                <w:rFonts w:ascii="宋体" w:hAnsi="宋体"/>
                <w:bCs/>
              </w:rPr>
              <w:t xml:space="preserve">   </w:t>
            </w:r>
            <w:r>
              <w:rPr>
                <w:rFonts w:hint="eastAsia" w:ascii="宋体" w:hAnsi="宋体"/>
                <w:bCs/>
              </w:rPr>
              <w:t>在授课环节中，时刻提醒学生，特别是一年级的学生自觉遵守学校的校纪校规，按时出席上课，按照教师的教导完成各项学习任务。打好学习基础，为今后的学习做好铺垫。</w:t>
            </w:r>
          </w:p>
        </w:tc>
      </w:tr>
      <w:bookmarkEnd w:id="2"/>
      <w:bookmarkEnd w:id="3"/>
    </w:tbl>
    <w:p w14:paraId="4AFD0DEE">
      <w:pPr>
        <w:pStyle w:val="17"/>
        <w:spacing w:before="326" w:beforeLines="100" w:after="163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704"/>
        <w:gridCol w:w="2322"/>
        <w:gridCol w:w="1090"/>
        <w:gridCol w:w="992"/>
        <w:gridCol w:w="992"/>
        <w:gridCol w:w="1276"/>
      </w:tblGrid>
      <w:tr w14:paraId="4B32F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90C4384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4" w:type="dxa"/>
            <w:vMerge w:val="restart"/>
            <w:tcBorders>
              <w:top w:val="single" w:color="auto" w:sz="12" w:space="0"/>
            </w:tcBorders>
            <w:vAlign w:val="center"/>
          </w:tcPr>
          <w:p w14:paraId="168719EA">
            <w:pPr>
              <w:pStyle w:val="17"/>
              <w:widowControl w:val="0"/>
              <w:spacing w:before="163" w:after="163"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22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57F9DC41">
            <w:pPr>
              <w:pStyle w:val="17"/>
              <w:widowControl w:val="0"/>
              <w:spacing w:before="163" w:after="163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074" w:type="dxa"/>
            <w:gridSpan w:val="3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278396EF">
            <w:pPr>
              <w:pStyle w:val="17"/>
              <w:widowControl w:val="0"/>
              <w:spacing w:before="163" w:after="163"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1276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7E42292F">
            <w:pPr>
              <w:pStyle w:val="17"/>
              <w:widowControl w:val="0"/>
              <w:spacing w:before="163" w:after="163" w:line="240" w:lineRule="auto"/>
              <w:jc w:val="left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4813A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vMerge w:val="continue"/>
            <w:tcBorders>
              <w:left w:val="single" w:color="auto" w:sz="12" w:space="0"/>
            </w:tcBorders>
          </w:tcPr>
          <w:p w14:paraId="7C8EE1A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4" w:type="dxa"/>
            <w:vMerge w:val="continue"/>
          </w:tcPr>
          <w:p w14:paraId="1073E837">
            <w:pPr>
              <w:pStyle w:val="17"/>
              <w:widowControl w:val="0"/>
              <w:spacing w:before="163" w:after="163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22" w:type="dxa"/>
            <w:vMerge w:val="continue"/>
            <w:tcBorders>
              <w:right w:val="double" w:color="auto" w:sz="4" w:space="0"/>
            </w:tcBorders>
          </w:tcPr>
          <w:p w14:paraId="49A034F6">
            <w:pPr>
              <w:pStyle w:val="17"/>
              <w:widowControl w:val="0"/>
              <w:spacing w:before="163" w:after="163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090" w:type="dxa"/>
            <w:tcBorders>
              <w:left w:val="double" w:color="auto" w:sz="4" w:space="0"/>
            </w:tcBorders>
            <w:vAlign w:val="center"/>
          </w:tcPr>
          <w:p w14:paraId="221C96F0">
            <w:pPr>
              <w:pStyle w:val="14"/>
              <w:widowControl w:val="0"/>
              <w:rPr>
                <w:rFonts w:eastAsia="宋体"/>
                <w:szCs w:val="16"/>
              </w:rPr>
            </w:pPr>
            <w:r>
              <w:rPr>
                <w:rFonts w:hint="eastAsia" w:eastAsia="宋体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3DD7394C">
            <w:pPr>
              <w:pStyle w:val="14"/>
              <w:widowControl w:val="0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92" w:type="dxa"/>
            <w:tcBorders>
              <w:right w:val="single" w:color="auto" w:sz="4" w:space="0"/>
            </w:tcBorders>
            <w:vAlign w:val="center"/>
          </w:tcPr>
          <w:p w14:paraId="06AED015">
            <w:pPr>
              <w:pStyle w:val="14"/>
              <w:widowControl w:val="0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12" w:space="0"/>
            </w:tcBorders>
          </w:tcPr>
          <w:p w14:paraId="7B7163EE">
            <w:pPr>
              <w:pStyle w:val="17"/>
              <w:widowControl w:val="0"/>
              <w:spacing w:before="163" w:after="163"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6179F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</w:tcBorders>
            <w:vAlign w:val="center"/>
          </w:tcPr>
          <w:p w14:paraId="35A377B1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4" w:type="dxa"/>
            <w:vAlign w:val="center"/>
          </w:tcPr>
          <w:p w14:paraId="5B33A302">
            <w:pPr>
              <w:pStyle w:val="15"/>
              <w:widowControl w:val="0"/>
            </w:pPr>
            <w:r>
              <w:rPr>
                <w:rFonts w:hint="eastAsia"/>
              </w:rPr>
              <w:t>15</w:t>
            </w:r>
          </w:p>
        </w:tc>
        <w:tc>
          <w:tcPr>
            <w:tcW w:w="2322" w:type="dxa"/>
            <w:tcBorders>
              <w:right w:val="double" w:color="auto" w:sz="4" w:space="0"/>
            </w:tcBorders>
            <w:vAlign w:val="center"/>
          </w:tcPr>
          <w:p w14:paraId="6701582B">
            <w:pPr>
              <w:pStyle w:val="15"/>
              <w:widowControl w:val="0"/>
            </w:pPr>
            <w:r>
              <w:rPr>
                <w:rFonts w:hint="eastAsia" w:ascii="宋体" w:hAnsi="宋体" w:cs="Times New Roman"/>
                <w:bCs/>
                <w:szCs w:val="20"/>
              </w:rPr>
              <w:t>课堂练习+课堂表现</w:t>
            </w:r>
          </w:p>
        </w:tc>
        <w:tc>
          <w:tcPr>
            <w:tcW w:w="1090" w:type="dxa"/>
            <w:tcBorders>
              <w:left w:val="double" w:color="auto" w:sz="4" w:space="0"/>
            </w:tcBorders>
            <w:vAlign w:val="center"/>
          </w:tcPr>
          <w:p w14:paraId="39A05EA9">
            <w:pPr>
              <w:pStyle w:val="15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992" w:type="dxa"/>
            <w:vAlign w:val="center"/>
          </w:tcPr>
          <w:p w14:paraId="585C4898">
            <w:pPr>
              <w:pStyle w:val="15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  <w:vAlign w:val="center"/>
          </w:tcPr>
          <w:p w14:paraId="7A7A7681">
            <w:pPr>
              <w:pStyle w:val="15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47213EFB">
            <w:pPr>
              <w:pStyle w:val="15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66E4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1E09B69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4" w:type="dxa"/>
            <w:tcBorders>
              <w:bottom w:val="single" w:color="auto" w:sz="4" w:space="0"/>
            </w:tcBorders>
            <w:vAlign w:val="center"/>
          </w:tcPr>
          <w:p w14:paraId="75AE26F3">
            <w:pPr>
              <w:pStyle w:val="15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2322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35193AA7">
            <w:pPr>
              <w:pStyle w:val="15"/>
              <w:widowControl w:val="0"/>
            </w:pPr>
            <w:r>
              <w:rPr>
                <w:rFonts w:hint="eastAsia" w:ascii="宋体" w:hAnsi="宋体" w:cs="Times New Roman"/>
                <w:bCs/>
                <w:szCs w:val="20"/>
              </w:rPr>
              <w:t>课堂练习+课堂表现</w:t>
            </w:r>
          </w:p>
        </w:tc>
        <w:tc>
          <w:tcPr>
            <w:tcW w:w="1090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23EBF49B">
            <w:pPr>
              <w:pStyle w:val="15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2E13B347">
            <w:pPr>
              <w:pStyle w:val="15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34BD4DD1">
            <w:pPr>
              <w:pStyle w:val="15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127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5D5F2729">
            <w:pPr>
              <w:pStyle w:val="15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52A6D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6EB65B43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4" w:type="dxa"/>
            <w:tcBorders>
              <w:bottom w:val="single" w:color="auto" w:sz="4" w:space="0"/>
            </w:tcBorders>
            <w:vAlign w:val="center"/>
          </w:tcPr>
          <w:p w14:paraId="64D819EA">
            <w:pPr>
              <w:pStyle w:val="15"/>
              <w:widowControl w:val="0"/>
            </w:pPr>
            <w:r>
              <w:rPr>
                <w:rFonts w:hint="eastAsia"/>
              </w:rPr>
              <w:t>15</w:t>
            </w:r>
          </w:p>
        </w:tc>
        <w:tc>
          <w:tcPr>
            <w:tcW w:w="2322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51671A85">
            <w:pPr>
              <w:pStyle w:val="15"/>
              <w:widowControl w:val="0"/>
            </w:pPr>
            <w:r>
              <w:rPr>
                <w:rFonts w:hint="eastAsia" w:ascii="宋体" w:hAnsi="宋体" w:cs="Times New Roman"/>
                <w:bCs/>
                <w:szCs w:val="20"/>
              </w:rPr>
              <w:t>课堂练习+课堂表现</w:t>
            </w:r>
          </w:p>
        </w:tc>
        <w:tc>
          <w:tcPr>
            <w:tcW w:w="1090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7B714B76">
            <w:pPr>
              <w:pStyle w:val="15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4468E454">
            <w:pPr>
              <w:pStyle w:val="15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7DA9DD16">
            <w:pPr>
              <w:pStyle w:val="15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127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7893A17B">
            <w:pPr>
              <w:pStyle w:val="15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1497A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6647512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4</w:t>
            </w:r>
          </w:p>
        </w:tc>
        <w:tc>
          <w:tcPr>
            <w:tcW w:w="704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5900E097">
            <w:pPr>
              <w:pStyle w:val="15"/>
              <w:widowControl w:val="0"/>
            </w:pPr>
            <w:r>
              <w:rPr>
                <w:rFonts w:hint="eastAsia"/>
              </w:rPr>
              <w:t>60</w:t>
            </w:r>
          </w:p>
        </w:tc>
        <w:tc>
          <w:tcPr>
            <w:tcW w:w="2322" w:type="dxa"/>
            <w:tcBorders>
              <w:top w:val="single" w:color="auto" w:sz="4" w:space="0"/>
              <w:bottom w:val="single" w:color="auto" w:sz="12" w:space="0"/>
              <w:right w:val="double" w:color="auto" w:sz="4" w:space="0"/>
            </w:tcBorders>
            <w:vAlign w:val="center"/>
          </w:tcPr>
          <w:p w14:paraId="11B4ED21">
            <w:pPr>
              <w:pStyle w:val="15"/>
              <w:widowControl w:val="0"/>
            </w:pPr>
            <w:r>
              <w:rPr>
                <w:rFonts w:hint="eastAsia" w:ascii="宋体" w:hAnsi="宋体" w:cs="Times New Roman"/>
                <w:bCs/>
                <w:szCs w:val="20"/>
              </w:rPr>
              <w:t>课堂实际操作</w:t>
            </w:r>
          </w:p>
        </w:tc>
        <w:tc>
          <w:tcPr>
            <w:tcW w:w="1090" w:type="dxa"/>
            <w:tcBorders>
              <w:top w:val="single" w:color="auto" w:sz="4" w:space="0"/>
              <w:left w:val="double" w:color="auto" w:sz="4" w:space="0"/>
              <w:bottom w:val="single" w:color="auto" w:sz="12" w:space="0"/>
            </w:tcBorders>
            <w:vAlign w:val="center"/>
          </w:tcPr>
          <w:p w14:paraId="64F9D085">
            <w:pPr>
              <w:pStyle w:val="15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5EC16DBC">
            <w:pPr>
              <w:pStyle w:val="15"/>
              <w:widowControl w:val="0"/>
            </w:pPr>
            <w:r>
              <w:rPr>
                <w:rFonts w:hint="eastAsia"/>
              </w:rPr>
              <w:t>70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16C76CCB">
            <w:pPr>
              <w:pStyle w:val="15"/>
              <w:widowControl w:val="0"/>
            </w:pPr>
          </w:p>
        </w:tc>
        <w:tc>
          <w:tcPr>
            <w:tcW w:w="1276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A56EC6">
            <w:pPr>
              <w:pStyle w:val="15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1953372B">
      <w:pPr>
        <w:pStyle w:val="17"/>
        <w:spacing w:before="326" w:beforeLines="100" w:after="163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1288C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C7D007E">
            <w:pPr>
              <w:pStyle w:val="15"/>
              <w:widowControl w:val="0"/>
              <w:jc w:val="left"/>
              <w:rPr>
                <w:rFonts w:ascii="黑体"/>
              </w:rPr>
            </w:pPr>
          </w:p>
        </w:tc>
      </w:tr>
    </w:tbl>
    <w:p w14:paraId="1B0368D7">
      <w:pPr>
        <w:pStyle w:val="18"/>
        <w:spacing w:before="163" w:after="163"/>
        <w:rPr>
          <w:rFonts w:ascii="黑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Yu Mincho">
    <w:panose1 w:val="02020400000000000000"/>
    <w:charset w:val="80"/>
    <w:family w:val="roman"/>
    <w:pitch w:val="default"/>
    <w:sig w:usb0="800002E7" w:usb1="2AC7FCFF" w:usb2="00000012" w:usb3="00000000" w:csb0="2002009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E0248">
    <w:pPr>
      <w:ind w:right="120"/>
      <w:jc w:val="right"/>
    </w:pPr>
  </w:p>
  <w:p w14:paraId="4C786C5A">
    <w:pPr>
      <w:ind w:right="12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SJQU-QR-JW-053（A0）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8BFAD5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SJQU-QR-JW-053（A0）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203E0"/>
    <w:rsid w:val="000210E0"/>
    <w:rsid w:val="00033082"/>
    <w:rsid w:val="0006001D"/>
    <w:rsid w:val="00066041"/>
    <w:rsid w:val="0007448A"/>
    <w:rsid w:val="00074B82"/>
    <w:rsid w:val="00075686"/>
    <w:rsid w:val="0008075E"/>
    <w:rsid w:val="0008122A"/>
    <w:rsid w:val="00087488"/>
    <w:rsid w:val="00091107"/>
    <w:rsid w:val="000917AE"/>
    <w:rsid w:val="000A4E73"/>
    <w:rsid w:val="000B16FC"/>
    <w:rsid w:val="000B1BD2"/>
    <w:rsid w:val="000B70DC"/>
    <w:rsid w:val="000C0F0D"/>
    <w:rsid w:val="000D28E5"/>
    <w:rsid w:val="000D34D7"/>
    <w:rsid w:val="000E45D3"/>
    <w:rsid w:val="000F12B0"/>
    <w:rsid w:val="00100633"/>
    <w:rsid w:val="001072BC"/>
    <w:rsid w:val="00114BD6"/>
    <w:rsid w:val="00130F20"/>
    <w:rsid w:val="00130F6D"/>
    <w:rsid w:val="00142C42"/>
    <w:rsid w:val="00144082"/>
    <w:rsid w:val="00151B4A"/>
    <w:rsid w:val="00163A48"/>
    <w:rsid w:val="00164846"/>
    <w:rsid w:val="00164E36"/>
    <w:rsid w:val="00183AA1"/>
    <w:rsid w:val="001877C9"/>
    <w:rsid w:val="001A135C"/>
    <w:rsid w:val="001B0D49"/>
    <w:rsid w:val="001B546F"/>
    <w:rsid w:val="001C2E3E"/>
    <w:rsid w:val="001C388D"/>
    <w:rsid w:val="001D0453"/>
    <w:rsid w:val="001E1D2D"/>
    <w:rsid w:val="001E27DC"/>
    <w:rsid w:val="001E32B7"/>
    <w:rsid w:val="001E5A17"/>
    <w:rsid w:val="001F2654"/>
    <w:rsid w:val="001F332E"/>
    <w:rsid w:val="002056AB"/>
    <w:rsid w:val="002125E7"/>
    <w:rsid w:val="00217861"/>
    <w:rsid w:val="002204E4"/>
    <w:rsid w:val="002211BF"/>
    <w:rsid w:val="002269B8"/>
    <w:rsid w:val="002339E7"/>
    <w:rsid w:val="00233F15"/>
    <w:rsid w:val="002420F1"/>
    <w:rsid w:val="00247AD1"/>
    <w:rsid w:val="00253AC8"/>
    <w:rsid w:val="00256B39"/>
    <w:rsid w:val="0025768A"/>
    <w:rsid w:val="0026033C"/>
    <w:rsid w:val="00266D5F"/>
    <w:rsid w:val="0027339A"/>
    <w:rsid w:val="00274E82"/>
    <w:rsid w:val="002757AB"/>
    <w:rsid w:val="0027777C"/>
    <w:rsid w:val="00277FE7"/>
    <w:rsid w:val="002877FA"/>
    <w:rsid w:val="00290962"/>
    <w:rsid w:val="002A043A"/>
    <w:rsid w:val="002A4649"/>
    <w:rsid w:val="002A7227"/>
    <w:rsid w:val="002B0773"/>
    <w:rsid w:val="002B0C48"/>
    <w:rsid w:val="002B13CA"/>
    <w:rsid w:val="002B7322"/>
    <w:rsid w:val="002C58B6"/>
    <w:rsid w:val="002C7EC6"/>
    <w:rsid w:val="002D0E86"/>
    <w:rsid w:val="002D7C47"/>
    <w:rsid w:val="002E33CE"/>
    <w:rsid w:val="002E3721"/>
    <w:rsid w:val="002E5EA0"/>
    <w:rsid w:val="002F3157"/>
    <w:rsid w:val="002F6BD5"/>
    <w:rsid w:val="00307D74"/>
    <w:rsid w:val="00313BBA"/>
    <w:rsid w:val="00314A6B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031A"/>
    <w:rsid w:val="00361BEB"/>
    <w:rsid w:val="00370184"/>
    <w:rsid w:val="00373C8A"/>
    <w:rsid w:val="00377C10"/>
    <w:rsid w:val="00385D41"/>
    <w:rsid w:val="003861BA"/>
    <w:rsid w:val="003A1680"/>
    <w:rsid w:val="003A373C"/>
    <w:rsid w:val="003A5874"/>
    <w:rsid w:val="003A79BB"/>
    <w:rsid w:val="003B0A7B"/>
    <w:rsid w:val="003B1258"/>
    <w:rsid w:val="003B2178"/>
    <w:rsid w:val="003C3B19"/>
    <w:rsid w:val="003C61A5"/>
    <w:rsid w:val="003D13A6"/>
    <w:rsid w:val="003D1968"/>
    <w:rsid w:val="003D4994"/>
    <w:rsid w:val="003E10A5"/>
    <w:rsid w:val="003E7D72"/>
    <w:rsid w:val="003F3923"/>
    <w:rsid w:val="003F43F6"/>
    <w:rsid w:val="00400608"/>
    <w:rsid w:val="0040433E"/>
    <w:rsid w:val="0040726A"/>
    <w:rsid w:val="004100B0"/>
    <w:rsid w:val="0041267F"/>
    <w:rsid w:val="00424BA5"/>
    <w:rsid w:val="00425431"/>
    <w:rsid w:val="00431829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4579"/>
    <w:rsid w:val="00496AC0"/>
    <w:rsid w:val="00497334"/>
    <w:rsid w:val="004A4D68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58A"/>
    <w:rsid w:val="00513F2F"/>
    <w:rsid w:val="0051612A"/>
    <w:rsid w:val="00517176"/>
    <w:rsid w:val="00524300"/>
    <w:rsid w:val="00532E23"/>
    <w:rsid w:val="00541F72"/>
    <w:rsid w:val="00542388"/>
    <w:rsid w:val="0054372E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90EEA"/>
    <w:rsid w:val="005A13AB"/>
    <w:rsid w:val="005B1150"/>
    <w:rsid w:val="005B1FFC"/>
    <w:rsid w:val="005B2B6D"/>
    <w:rsid w:val="005B36F9"/>
    <w:rsid w:val="005B4B4E"/>
    <w:rsid w:val="005D3083"/>
    <w:rsid w:val="005D5B6F"/>
    <w:rsid w:val="005E38A5"/>
    <w:rsid w:val="005E4AFD"/>
    <w:rsid w:val="005F5185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402F2"/>
    <w:rsid w:val="0065167D"/>
    <w:rsid w:val="00652D13"/>
    <w:rsid w:val="0066595A"/>
    <w:rsid w:val="00666206"/>
    <w:rsid w:val="00672788"/>
    <w:rsid w:val="0067629E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02FE"/>
    <w:rsid w:val="00732152"/>
    <w:rsid w:val="007326DE"/>
    <w:rsid w:val="00742E7A"/>
    <w:rsid w:val="0074424F"/>
    <w:rsid w:val="00774C1F"/>
    <w:rsid w:val="0078248F"/>
    <w:rsid w:val="007923BF"/>
    <w:rsid w:val="007934A4"/>
    <w:rsid w:val="007A0AC9"/>
    <w:rsid w:val="007A1B70"/>
    <w:rsid w:val="007A57F6"/>
    <w:rsid w:val="007B4FFB"/>
    <w:rsid w:val="007C0BCE"/>
    <w:rsid w:val="007C3566"/>
    <w:rsid w:val="007C794A"/>
    <w:rsid w:val="007D16C5"/>
    <w:rsid w:val="007D5A33"/>
    <w:rsid w:val="007E620F"/>
    <w:rsid w:val="007E663C"/>
    <w:rsid w:val="007E7795"/>
    <w:rsid w:val="0080066B"/>
    <w:rsid w:val="00803578"/>
    <w:rsid w:val="008036DF"/>
    <w:rsid w:val="00815B8E"/>
    <w:rsid w:val="00816D99"/>
    <w:rsid w:val="008171E6"/>
    <w:rsid w:val="0082324C"/>
    <w:rsid w:val="00823D71"/>
    <w:rsid w:val="008245AF"/>
    <w:rsid w:val="0083705D"/>
    <w:rsid w:val="0084242F"/>
    <w:rsid w:val="008573CA"/>
    <w:rsid w:val="00871DCB"/>
    <w:rsid w:val="00873594"/>
    <w:rsid w:val="0087683D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253F"/>
    <w:rsid w:val="00900019"/>
    <w:rsid w:val="009147D6"/>
    <w:rsid w:val="009255EA"/>
    <w:rsid w:val="00925F8C"/>
    <w:rsid w:val="00927324"/>
    <w:rsid w:val="00932ED7"/>
    <w:rsid w:val="00941B89"/>
    <w:rsid w:val="00941DEA"/>
    <w:rsid w:val="009609DF"/>
    <w:rsid w:val="00970E8C"/>
    <w:rsid w:val="00971671"/>
    <w:rsid w:val="009830B2"/>
    <w:rsid w:val="00985C7D"/>
    <w:rsid w:val="0099063E"/>
    <w:rsid w:val="00992356"/>
    <w:rsid w:val="00994793"/>
    <w:rsid w:val="00996AE3"/>
    <w:rsid w:val="009A1E27"/>
    <w:rsid w:val="009B04E7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E7BDB"/>
    <w:rsid w:val="009E7D6E"/>
    <w:rsid w:val="009F00DC"/>
    <w:rsid w:val="009F3199"/>
    <w:rsid w:val="009F3355"/>
    <w:rsid w:val="009F3648"/>
    <w:rsid w:val="009F3B7A"/>
    <w:rsid w:val="009F54D0"/>
    <w:rsid w:val="00A04523"/>
    <w:rsid w:val="00A14242"/>
    <w:rsid w:val="00A15A77"/>
    <w:rsid w:val="00A17885"/>
    <w:rsid w:val="00A2337D"/>
    <w:rsid w:val="00A31BBE"/>
    <w:rsid w:val="00A31D34"/>
    <w:rsid w:val="00A333EF"/>
    <w:rsid w:val="00A355BF"/>
    <w:rsid w:val="00A53A85"/>
    <w:rsid w:val="00A70B93"/>
    <w:rsid w:val="00A769B1"/>
    <w:rsid w:val="00A77DA3"/>
    <w:rsid w:val="00A837D5"/>
    <w:rsid w:val="00A83E04"/>
    <w:rsid w:val="00A91091"/>
    <w:rsid w:val="00A93EE3"/>
    <w:rsid w:val="00AA05A0"/>
    <w:rsid w:val="00AA4970"/>
    <w:rsid w:val="00AA536D"/>
    <w:rsid w:val="00AB22C0"/>
    <w:rsid w:val="00AC40F1"/>
    <w:rsid w:val="00AC4C45"/>
    <w:rsid w:val="00AD1085"/>
    <w:rsid w:val="00AD5B40"/>
    <w:rsid w:val="00AF30B9"/>
    <w:rsid w:val="00AF43DF"/>
    <w:rsid w:val="00AF67A4"/>
    <w:rsid w:val="00AF7510"/>
    <w:rsid w:val="00B12D31"/>
    <w:rsid w:val="00B15F6E"/>
    <w:rsid w:val="00B21BEE"/>
    <w:rsid w:val="00B23284"/>
    <w:rsid w:val="00B3371C"/>
    <w:rsid w:val="00B37D43"/>
    <w:rsid w:val="00B46F21"/>
    <w:rsid w:val="00B511A5"/>
    <w:rsid w:val="00B51CDE"/>
    <w:rsid w:val="00B56541"/>
    <w:rsid w:val="00B605ED"/>
    <w:rsid w:val="00B671B0"/>
    <w:rsid w:val="00B716DF"/>
    <w:rsid w:val="00B71F97"/>
    <w:rsid w:val="00B72538"/>
    <w:rsid w:val="00B736A7"/>
    <w:rsid w:val="00B7651F"/>
    <w:rsid w:val="00B94A16"/>
    <w:rsid w:val="00BA6044"/>
    <w:rsid w:val="00BC2625"/>
    <w:rsid w:val="00BC3200"/>
    <w:rsid w:val="00BC338A"/>
    <w:rsid w:val="00BD7AB0"/>
    <w:rsid w:val="00BF3C20"/>
    <w:rsid w:val="00BF4D95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4194E"/>
    <w:rsid w:val="00C5350C"/>
    <w:rsid w:val="00C56E09"/>
    <w:rsid w:val="00C61B1B"/>
    <w:rsid w:val="00C673D1"/>
    <w:rsid w:val="00C73FD0"/>
    <w:rsid w:val="00C746CB"/>
    <w:rsid w:val="00C81564"/>
    <w:rsid w:val="00C9080C"/>
    <w:rsid w:val="00CA18FD"/>
    <w:rsid w:val="00CA4897"/>
    <w:rsid w:val="00CA6928"/>
    <w:rsid w:val="00CB3D3F"/>
    <w:rsid w:val="00CB5A1A"/>
    <w:rsid w:val="00CC53D3"/>
    <w:rsid w:val="00CC59E6"/>
    <w:rsid w:val="00CD5BDD"/>
    <w:rsid w:val="00CE1384"/>
    <w:rsid w:val="00CE560F"/>
    <w:rsid w:val="00CF096B"/>
    <w:rsid w:val="00CF10F7"/>
    <w:rsid w:val="00CF5EE3"/>
    <w:rsid w:val="00CF691F"/>
    <w:rsid w:val="00CF6C98"/>
    <w:rsid w:val="00D026DC"/>
    <w:rsid w:val="00D15595"/>
    <w:rsid w:val="00D22A41"/>
    <w:rsid w:val="00D25F66"/>
    <w:rsid w:val="00D44860"/>
    <w:rsid w:val="00D47689"/>
    <w:rsid w:val="00D50C42"/>
    <w:rsid w:val="00D57CF5"/>
    <w:rsid w:val="00D612BC"/>
    <w:rsid w:val="00D62F98"/>
    <w:rsid w:val="00D66FD6"/>
    <w:rsid w:val="00D8104D"/>
    <w:rsid w:val="00D8285B"/>
    <w:rsid w:val="00D86619"/>
    <w:rsid w:val="00D93E7C"/>
    <w:rsid w:val="00DB2BE6"/>
    <w:rsid w:val="00DB76B3"/>
    <w:rsid w:val="00DD0A5A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0492A"/>
    <w:rsid w:val="00E11393"/>
    <w:rsid w:val="00E125D9"/>
    <w:rsid w:val="00E12655"/>
    <w:rsid w:val="00E16D30"/>
    <w:rsid w:val="00E25967"/>
    <w:rsid w:val="00E31E11"/>
    <w:rsid w:val="00E31E69"/>
    <w:rsid w:val="00E33169"/>
    <w:rsid w:val="00E34A7B"/>
    <w:rsid w:val="00E40973"/>
    <w:rsid w:val="00E545FF"/>
    <w:rsid w:val="00E6080E"/>
    <w:rsid w:val="00E62524"/>
    <w:rsid w:val="00E63FF2"/>
    <w:rsid w:val="00E64168"/>
    <w:rsid w:val="00E7081D"/>
    <w:rsid w:val="00E70904"/>
    <w:rsid w:val="00E71319"/>
    <w:rsid w:val="00E72A87"/>
    <w:rsid w:val="00E75171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D5492"/>
    <w:rsid w:val="00EE1C85"/>
    <w:rsid w:val="00EF21D9"/>
    <w:rsid w:val="00EF2A94"/>
    <w:rsid w:val="00EF32FB"/>
    <w:rsid w:val="00EF44B1"/>
    <w:rsid w:val="00EF4865"/>
    <w:rsid w:val="00F100D2"/>
    <w:rsid w:val="00F12942"/>
    <w:rsid w:val="00F14886"/>
    <w:rsid w:val="00F16421"/>
    <w:rsid w:val="00F201EE"/>
    <w:rsid w:val="00F20B5D"/>
    <w:rsid w:val="00F35AA0"/>
    <w:rsid w:val="00F43C49"/>
    <w:rsid w:val="00F45C12"/>
    <w:rsid w:val="00F544A2"/>
    <w:rsid w:val="00F65F51"/>
    <w:rsid w:val="00F670AF"/>
    <w:rsid w:val="00F76CB9"/>
    <w:rsid w:val="00F77A73"/>
    <w:rsid w:val="00F77D86"/>
    <w:rsid w:val="00F96236"/>
    <w:rsid w:val="00F9663C"/>
    <w:rsid w:val="00FA10CE"/>
    <w:rsid w:val="00FA222F"/>
    <w:rsid w:val="00FA252D"/>
    <w:rsid w:val="00FA2891"/>
    <w:rsid w:val="00FA4052"/>
    <w:rsid w:val="00FB2214"/>
    <w:rsid w:val="00FB693D"/>
    <w:rsid w:val="00FB7768"/>
    <w:rsid w:val="00FC7489"/>
    <w:rsid w:val="00FD1024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0CF357A4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ヘッダー (文字)"/>
    <w:basedOn w:val="10"/>
    <w:link w:val="6"/>
    <w:semiHidden/>
    <w:qFormat/>
    <w:uiPriority w:val="99"/>
    <w:rPr>
      <w:sz w:val="18"/>
      <w:szCs w:val="18"/>
    </w:rPr>
  </w:style>
  <w:style w:type="character" w:customStyle="1" w:styleId="13">
    <w:name w:val="フッター (文字)"/>
    <w:basedOn w:val="10"/>
    <w:link w:val="5"/>
    <w:semiHidden/>
    <w:qFormat/>
    <w:uiPriority w:val="99"/>
    <w:rPr>
      <w:sz w:val="18"/>
      <w:szCs w:val="18"/>
    </w:rPr>
  </w:style>
  <w:style w:type="paragraph" w:customStyle="1" w:styleId="14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5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7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8">
    <w:name w:val="二级标题DG"/>
    <w:basedOn w:val="7"/>
    <w:qFormat/>
    <w:uiPriority w:val="0"/>
    <w:pPr>
      <w:spacing w:before="50" w:beforeLines="50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9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20">
    <w:name w:val="見出し 1 (文字)"/>
    <w:basedOn w:val="10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1">
    <w:name w:val="コメント文字列 (文字)"/>
    <w:basedOn w:val="10"/>
    <w:link w:val="4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2">
    <w:name w:val="editor-text-node"/>
    <w:basedOn w:val="10"/>
    <w:qFormat/>
    <w:uiPriority w:val="0"/>
  </w:style>
  <w:style w:type="character" w:customStyle="1" w:styleId="23">
    <w:name w:val="見出し 3 (文字)"/>
    <w:basedOn w:val="10"/>
    <w:link w:val="3"/>
    <w:semiHidden/>
    <w:qFormat/>
    <w:uiPriority w:val="9"/>
    <w:rPr>
      <w:rFonts w:ascii="宋体" w:hAnsi="宋体" w:eastAsia="宋体" w:cs="宋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90EC72-9532-46A5-A188-CD4C81A6F8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915</Words>
  <Characters>990</Characters>
  <Lines>138</Lines>
  <Paragraphs>197</Paragraphs>
  <TotalTime>118</TotalTime>
  <ScaleCrop>false</ScaleCrop>
  <LinksUpToDate>false</LinksUpToDate>
  <CharactersWithSpaces>1004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2023-10-22T09:09:00Z</dcterms:created>
  <dc:creator>juvg</dc:creator>
  <cp:lastModifiedBy>AstheDew</cp:lastModifiedBy>
  <cp:lastPrinted>2023-09-17T07:48:00Z</cp:lastPrinted>
  <dcterms:modified xsi:type="dcterms:W3CDTF">2026-09-28T05:56:15Z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eyJoZGlkIjoiYmJmYjA0YjYzMGY3M2Y3OTczMTlhMjNhNjhmMmM1MGQiLCJ1c2VySWQiOiIxMzUyMzkyNzg3In0=</vt:lpwstr>
  </property>
  <property fmtid="{D5CDD505-2E9C-101B-9397-08002B2CF9AE}" pid="4" name="ICV">
    <vt:lpwstr>95525B5394FC4CE082A3319A89610973_12</vt:lpwstr>
  </property>
</Properties>
</file>