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C23A4">
      <w:pPr>
        <w:jc w:val="center"/>
        <w:rPr>
          <w:rFonts w:ascii="SimHei" w:hAnsi="SimHei" w:eastAsia="SimHei"/>
          <w:bCs/>
          <w:sz w:val="32"/>
          <w:szCs w:val="32"/>
        </w:rPr>
      </w:pPr>
      <w:r>
        <w:rPr>
          <w:rFonts w:hint="eastAsia" w:ascii="SimHei" w:hAnsi="SimHei" w:eastAsia="SimHei"/>
          <w:bCs/>
          <w:sz w:val="32"/>
          <w:szCs w:val="32"/>
        </w:rPr>
        <w:t>《 日语语言学概论</w:t>
      </w:r>
      <w:r>
        <w:rPr>
          <w:rFonts w:ascii="SimHei" w:hAnsi="SimHei" w:eastAsia="SimHei"/>
          <w:bCs/>
          <w:sz w:val="32"/>
          <w:szCs w:val="32"/>
        </w:rPr>
        <w:t xml:space="preserve"> </w:t>
      </w:r>
      <w:r>
        <w:rPr>
          <w:rFonts w:hint="eastAsia" w:ascii="SimHei" w:hAnsi="SimHei" w:eastAsia="SimHei"/>
          <w:bCs/>
          <w:sz w:val="32"/>
          <w:szCs w:val="32"/>
        </w:rPr>
        <w:t>》本科课程教学大纲</w:t>
      </w:r>
    </w:p>
    <w:p w14:paraId="0D904577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ascii="SimHei" w:hAnsi="SimSun"/>
        </w:rPr>
        <w:t>一</w:t>
      </w:r>
      <w:r>
        <w:rPr>
          <w:rFonts w:hint="eastAsia" w:ascii="SimHei" w:hAnsi="SimSun"/>
        </w:rPr>
        <w:t>、课程</w:t>
      </w:r>
      <w:r>
        <w:rPr>
          <w:rFonts w:ascii="SimHei" w:hAnsi="SimSun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6D18B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72C59582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058DAC">
            <w:pPr>
              <w:widowControl w:val="0"/>
              <w:jc w:val="left"/>
              <w:rPr>
                <w:rFonts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（中文）日语语言学概论</w:t>
            </w:r>
          </w:p>
        </w:tc>
      </w:tr>
      <w:tr w14:paraId="5971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7A1D885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6FC55BC">
            <w:pPr>
              <w:widowControl w:val="0"/>
              <w:jc w:val="left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（英文）Introduction to Japanese Linguistics</w:t>
            </w:r>
          </w:p>
        </w:tc>
      </w:tr>
      <w:tr w14:paraId="3E287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24F94CC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20BF6C7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2140029</w:t>
            </w:r>
          </w:p>
        </w:tc>
        <w:tc>
          <w:tcPr>
            <w:tcW w:w="2126" w:type="dxa"/>
            <w:gridSpan w:val="2"/>
            <w:vAlign w:val="center"/>
          </w:tcPr>
          <w:p w14:paraId="600711A0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A3C1619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2</w:t>
            </w:r>
          </w:p>
        </w:tc>
      </w:tr>
      <w:tr w14:paraId="1718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0814EFA">
            <w:pPr>
              <w:widowControl w:val="0"/>
              <w:jc w:val="center"/>
              <w:rPr>
                <w:rFonts w:cs="Times New Roman"/>
                <w:sz w:val="21"/>
                <w:szCs w:val="18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课程学时</w:t>
            </w:r>
            <w:r>
              <w:rPr>
                <w:rFonts w:hint="eastAsia" w:cs="Times New Roman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6BBF919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2F41B769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725F15E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55A95BCB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D3360DF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0</w:t>
            </w:r>
          </w:p>
        </w:tc>
      </w:tr>
      <w:tr w14:paraId="4DC9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79A8AB8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开课</w:t>
            </w: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1EC873C9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0B0EAFAD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适用</w:t>
            </w:r>
            <w:r>
              <w:rPr>
                <w:rFonts w:ascii="SimHei" w:hAnsi="SimHei" w:eastAsia="SimHei" w:cs="Times New Roman"/>
                <w:color w:val="000000"/>
                <w:sz w:val="21"/>
                <w:szCs w:val="21"/>
              </w:rPr>
              <w:t>专业</w:t>
            </w: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4D764887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日语专业三年级</w:t>
            </w:r>
          </w:p>
        </w:tc>
      </w:tr>
      <w:tr w14:paraId="2420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4B2F1A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85ABD9C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1C28AFE3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FF0635E">
            <w:pPr>
              <w:widowControl w:val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考试</w:t>
            </w:r>
          </w:p>
        </w:tc>
      </w:tr>
      <w:tr w14:paraId="073C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D4D2975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选</w:t>
            </w: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43C1C6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《日语语言学概论》、崔崟、9787568538398、大连理工大学出版社、2022年版</w:t>
            </w:r>
          </w:p>
        </w:tc>
        <w:tc>
          <w:tcPr>
            <w:tcW w:w="1413" w:type="dxa"/>
            <w:gridSpan w:val="2"/>
            <w:vAlign w:val="center"/>
          </w:tcPr>
          <w:p w14:paraId="011AB6C0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是否为</w:t>
            </w:r>
          </w:p>
          <w:p w14:paraId="78E1859D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ECFDC22">
            <w:pPr>
              <w:widowControl w:val="0"/>
              <w:ind w:left="120" w:leftChars="50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否</w:t>
            </w:r>
          </w:p>
        </w:tc>
      </w:tr>
      <w:tr w14:paraId="6C4B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8386C1D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7986442">
            <w:pPr>
              <w:pStyle w:val="14"/>
              <w:widowControl w:val="0"/>
              <w:jc w:val="both"/>
              <w:rPr>
                <w:rFonts w:cs="Times New Roman"/>
              </w:rPr>
            </w:pPr>
            <w:r>
              <w:rPr>
                <w:rFonts w:hint="eastAsia" w:cs="Times New Roman"/>
              </w:rPr>
              <w:t>基础日语4  2140023（10）</w:t>
            </w:r>
          </w:p>
        </w:tc>
      </w:tr>
      <w:tr w14:paraId="54E14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57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87E3F03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5633800">
            <w:pPr>
              <w:widowControl w:val="0"/>
              <w:snapToGrid w:val="0"/>
              <w:spacing w:line="288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hint="eastAsia" w:cs="Times New Roman"/>
                <w:sz w:val="20"/>
                <w:szCs w:val="20"/>
              </w:rPr>
              <w:t>日语语言学概论作为日语专业必修课之一，在设置中通常为高年级专业课程。目的是通过语言学理论教学，以课程思政为主导前提，旨在帮助学生理解基本知识，为今后进一步深造打下基础。为了完成课程教学目的，认为选择本教材比较适合，教材内容共有六大章，各大章又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由</w:t>
            </w:r>
            <w:r>
              <w:rPr>
                <w:rFonts w:hint="eastAsia" w:cs="Times New Roman"/>
                <w:sz w:val="20"/>
                <w:szCs w:val="20"/>
              </w:rPr>
              <w:t>若干节组成，内容充实知识点丰富。</w:t>
            </w:r>
          </w:p>
          <w:p w14:paraId="64FCE4C5">
            <w:pPr>
              <w:widowControl w:val="0"/>
              <w:snapToGrid w:val="0"/>
              <w:spacing w:line="288" w:lineRule="auto"/>
              <w:jc w:val="both"/>
              <w:rPr>
                <w:rFonts w:cs="Times New Roman"/>
              </w:rPr>
            </w:pPr>
            <w:r>
              <w:rPr>
                <w:rFonts w:hint="eastAsia" w:cs="Times New Roman"/>
                <w:sz w:val="20"/>
                <w:szCs w:val="20"/>
              </w:rPr>
              <w:t>本课程通过日语语言学的教学讲授，要求学生通过本课程的学习考核，大致掌握日语语言学的基础知识，加深了解一些较难的专业知识，并且能够利用所学的语言学知识，参与造句改错逐步形成自己见解，提高日语的综合理解运用能力，为今后学习高级日语语言知识，为顺利通过各类日语等级考试，为写好毕业论文等起到促进作用。</w:t>
            </w:r>
          </w:p>
        </w:tc>
      </w:tr>
      <w:tr w14:paraId="61F0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70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614C8E1F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18"/>
              </w:rPr>
            </w:pPr>
            <w:r>
              <w:rPr>
                <w:rFonts w:ascii="SimHei" w:hAnsi="SimHei" w:eastAsia="SimHei" w:cs="Times New Roman"/>
                <w:color w:val="000000"/>
                <w:sz w:val="21"/>
                <w:szCs w:val="18"/>
              </w:rPr>
              <w:t>选课建议</w:t>
            </w:r>
            <w:r>
              <w:rPr>
                <w:rFonts w:hint="eastAsia" w:ascii="SimHei" w:hAnsi="SimHei" w:eastAsia="SimHei" w:cs="Times New Roman"/>
                <w:color w:val="000000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5FACF52">
            <w:pPr>
              <w:widowControl w:val="0"/>
              <w:snapToGrid w:val="0"/>
              <w:spacing w:line="288" w:lineRule="auto"/>
              <w:jc w:val="both"/>
              <w:rPr>
                <w:rFonts w:cs="Times New Roman"/>
              </w:rPr>
            </w:pPr>
            <w:r>
              <w:rPr>
                <w:rFonts w:hint="eastAsia" w:cs="Times New Roman"/>
                <w:sz w:val="20"/>
                <w:szCs w:val="20"/>
              </w:rPr>
              <w:t>本课程适合日语本科专业高年级开设，建议在三年级第一学期实施。学生学完基础日语课程，具有中级基础语法词汇知识，并且学过部分高年级综合日语课程。由于本课程主要讲授综合语言学知识，因此建议学生针对相关知识点，阅读相关课外专业文献加深理解，要求加大第二课堂的投入力度。</w:t>
            </w:r>
          </w:p>
        </w:tc>
      </w:tr>
      <w:tr w14:paraId="46B7D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1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602642E5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36E13404">
            <w:pPr>
              <w:widowControl w:val="0"/>
              <w:jc w:val="right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661035" cy="360045"/>
                  <wp:effectExtent l="0" t="0" r="0" b="3175"/>
                  <wp:docPr id="1" name="Picture 1" descr="/private/var/folders/3h/gpzf1rh158qbgqbnq8c5dg3w0000gn/T/com.kingsoft.wpsoffice.mac/kaimatting/20240108094521/output_aiMatting_20240108094605.pngoutput_aiMatting_2024010809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/private/var/folders/3h/gpzf1rh158qbgqbnq8c5dg3w0000gn/T/com.kingsoft.wpsoffice.mac/kaimatting/20240108094521/output_aiMatting_20240108094605.pngoutput_aiMatting_202401080946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3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78955BB6">
            <w:pPr>
              <w:widowControl w:val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14EC424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11A39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6B4E3E7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497CC97">
            <w:pPr>
              <w:widowControl w:val="0"/>
              <w:jc w:val="right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</w:rPr>
              <w:drawing>
                <wp:inline distT="0" distB="0" distL="114300" distR="114300">
                  <wp:extent cx="482600" cy="349250"/>
                  <wp:effectExtent l="0" t="0" r="12700" b="13970"/>
                  <wp:docPr id="2" name="图片 2" descr="微信图片_2026030710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3071003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3E90951F">
            <w:pPr>
              <w:widowControl w:val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BB59F0D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4D04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C2EA8D1">
            <w:pPr>
              <w:widowControl w:val="0"/>
              <w:jc w:val="center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color w:val="000000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350F4945">
            <w:pPr>
              <w:widowControl w:val="0"/>
              <w:jc w:val="right"/>
              <w:rPr>
                <w:rFonts w:ascii="SimHei" w:hAnsi="SimHei" w:eastAsia="SimHei" w:cs="Times New Roman"/>
                <w:color w:val="00000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</w:rPr>
              <w:drawing>
                <wp:inline distT="0" distB="0" distL="114300" distR="114300">
                  <wp:extent cx="615950" cy="355600"/>
                  <wp:effectExtent l="0" t="0" r="11430" b="7620"/>
                  <wp:docPr id="3" name="图片 3" descr="微信图片_202603071003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307100359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267AB2C3">
            <w:pPr>
              <w:widowControl w:val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C289C62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</w:tbl>
    <w:p w14:paraId="3862E09E">
      <w:pPr>
        <w:spacing w:line="100" w:lineRule="exact"/>
        <w:rPr>
          <w:rFonts w:ascii="Arial" w:hAnsi="Arial" w:eastAsia="SimHei"/>
        </w:rPr>
      </w:pPr>
      <w:r>
        <w:br w:type="page"/>
      </w:r>
    </w:p>
    <w:p w14:paraId="444FD39B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二、课程目标与毕业要求</w:t>
      </w:r>
    </w:p>
    <w:p w14:paraId="4575C2B7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58F35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51BBC56A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B9152AB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011D37D3">
            <w:pPr>
              <w:snapToGrid w:val="0"/>
              <w:jc w:val="center"/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1EF7A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0AF684BD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E4F0A06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294046F9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了解日语语言学的基本内容。</w:t>
            </w:r>
          </w:p>
        </w:tc>
      </w:tr>
      <w:tr w14:paraId="2226E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B2EE144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084F480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7A4A3A6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能够结合理论解释基本语言现象。</w:t>
            </w:r>
          </w:p>
        </w:tc>
      </w:tr>
      <w:tr w14:paraId="1B2B1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95D1CDE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42939C8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0C9A6BED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具有基本的语言专业知识与理解能力。</w:t>
            </w:r>
          </w:p>
        </w:tc>
      </w:tr>
      <w:tr w14:paraId="483E7C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5EBA7AD3">
            <w:pPr>
              <w:pStyle w:val="14"/>
              <w:rPr>
                <w:rFonts w:ascii="SimSun" w:hAnsi="SimSu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306CE77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272B6E98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能够借助语言理论撰写毕业论文。</w:t>
            </w:r>
          </w:p>
        </w:tc>
      </w:tr>
      <w:tr w14:paraId="193A7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20283ACF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4264E81F">
            <w:pPr>
              <w:snapToGrid w:val="0"/>
              <w:jc w:val="center"/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429CDB2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42C4F6BD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要求学生自觉遵守校纪校规。</w:t>
            </w:r>
          </w:p>
        </w:tc>
      </w:tr>
      <w:tr w14:paraId="2D538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33400F3">
            <w:pPr>
              <w:pStyle w:val="14"/>
              <w:rPr>
                <w:rFonts w:ascii="SimSun" w:hAnsi="SimSu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D155966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7135FEB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根据教学计划扩大文献阅读范围</w:t>
            </w:r>
          </w:p>
        </w:tc>
      </w:tr>
    </w:tbl>
    <w:p w14:paraId="787863A9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9407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rPr>
          <w:trHeight w:val="1408" w:hRule="atLeast"/>
        </w:trPr>
        <w:tc>
          <w:tcPr>
            <w:tcW w:w="8296" w:type="dxa"/>
          </w:tcPr>
          <w:p w14:paraId="3D943A30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LO1品德修养</w:t>
            </w:r>
            <w:r>
              <w:rPr>
                <w:rFonts w:cs="Times New Roman"/>
                <w:bCs/>
                <w:sz w:val="21"/>
                <w:szCs w:val="21"/>
              </w:rPr>
              <w:t>：拥护</w:t>
            </w:r>
            <w:r>
              <w:rPr>
                <w:rFonts w:hint="eastAsia" w:cs="Times New Roman"/>
                <w:bCs/>
                <w:sz w:val="21"/>
                <w:szCs w:val="21"/>
              </w:rPr>
              <w:t>中国共产</w:t>
            </w:r>
            <w:r>
              <w:rPr>
                <w:rFonts w:cs="Times New Roman"/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 w:cs="Times New Roman"/>
                <w:bCs/>
                <w:sz w:val="21"/>
                <w:szCs w:val="21"/>
              </w:rPr>
              <w:t>“感恩、回报、爱心、责任”</w:t>
            </w:r>
            <w:r>
              <w:rPr>
                <w:rFonts w:cs="Times New Roman"/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7A891D93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①爱党爱国，坚决拥护党的领导，热爱祖国的大好河山、悠久历史、灿烂文化，自觉维护民族利益和国家尊严。</w:t>
            </w:r>
          </w:p>
        </w:tc>
      </w:tr>
      <w:tr w14:paraId="407FD7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A2C9C55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LO2专业能力</w:t>
            </w:r>
            <w:r>
              <w:rPr>
                <w:rFonts w:cs="Times New Roman"/>
                <w:bCs/>
                <w:sz w:val="21"/>
                <w:szCs w:val="21"/>
              </w:rPr>
              <w:t>：</w:t>
            </w:r>
          </w:p>
          <w:p w14:paraId="5C76469D">
            <w:pPr>
              <w:pStyle w:val="15"/>
              <w:widowControl w:val="0"/>
              <w:tabs>
                <w:tab w:val="left" w:pos="4200"/>
              </w:tabs>
              <w:spacing w:line="440" w:lineRule="exact"/>
              <w:ind w:firstLine="0" w:firstLineChars="0"/>
              <w:jc w:val="both"/>
              <w:outlineLvl w:val="0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①握日语语言学、文学等相关知识，具备文学欣赏与文本分析能力。</w:t>
            </w:r>
          </w:p>
        </w:tc>
      </w:tr>
      <w:tr w14:paraId="15AC7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38649A9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LO4自主学习</w:t>
            </w:r>
            <w:r>
              <w:rPr>
                <w:rFonts w:cs="Times New Roman"/>
                <w:bCs/>
                <w:sz w:val="21"/>
                <w:szCs w:val="21"/>
              </w:rPr>
              <w:t>：</w:t>
            </w:r>
          </w:p>
          <w:p w14:paraId="51C493BD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Cs/>
                <w:sz w:val="21"/>
                <w:szCs w:val="21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7D648E1A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①</w:t>
            </w:r>
            <w:r>
              <w:rPr>
                <w:rFonts w:cs="Times New Roman"/>
                <w:bCs/>
                <w:sz w:val="21"/>
                <w:szCs w:val="21"/>
              </w:rPr>
              <w:t>能根据需要确定学习目标，并设计学习计划。</w:t>
            </w:r>
          </w:p>
        </w:tc>
      </w:tr>
      <w:tr w14:paraId="26197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3641466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LO6协同创新</w:t>
            </w:r>
            <w:r>
              <w:rPr>
                <w:rFonts w:cs="Times New Roman"/>
                <w:bCs/>
                <w:sz w:val="21"/>
                <w:szCs w:val="21"/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016F4E3F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②</w:t>
            </w:r>
            <w:r>
              <w:rPr>
                <w:rFonts w:cs="Times New Roman"/>
                <w:bCs/>
                <w:sz w:val="21"/>
                <w:szCs w:val="21"/>
              </w:rPr>
              <w:t>有质疑精神，能有逻辑的分析与批判。</w:t>
            </w:r>
          </w:p>
        </w:tc>
      </w:tr>
    </w:tbl>
    <w:p w14:paraId="3AA051A6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80"/>
        <w:gridCol w:w="797"/>
        <w:gridCol w:w="797"/>
        <w:gridCol w:w="4753"/>
        <w:gridCol w:w="1349"/>
      </w:tblGrid>
      <w:tr w14:paraId="71C6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3691EDD">
            <w:pPr>
              <w:pStyle w:val="13"/>
              <w:rPr>
                <w:szCs w:val="16"/>
              </w:rPr>
            </w:pPr>
            <w:r>
              <w:rPr>
                <w:rFonts w:hint="eastAsia" w:ascii="SimHei" w:hAnsi="SimHei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2D1E67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98254F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08017DD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C4658B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66C0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29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6DD1B3E">
            <w:pPr>
              <w:pStyle w:val="14"/>
            </w:pPr>
            <w:r>
              <w:t>LO1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1B6B0A98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4822070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763" w:type="dxa"/>
            <w:vAlign w:val="center"/>
          </w:tcPr>
          <w:p w14:paraId="3F2363DF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5.了解日语语言学理论、日语中的汉字汉语，增强对传统语言文化的自信心，加深了解汉字汉语的博大精深，树立爱国、敬业的价值观。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BBB2D2A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100</w:t>
            </w:r>
          </w:p>
        </w:tc>
      </w:tr>
      <w:tr w14:paraId="7534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C36A79">
            <w:pPr>
              <w:pStyle w:val="14"/>
            </w:pPr>
            <w:r>
              <w:t>LO</w:t>
            </w:r>
            <w:r>
              <w:rPr>
                <w:rFonts w:hint="eastAsia"/>
              </w:rPr>
              <w:t>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1DD84F1E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E5FFD5B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763" w:type="dxa"/>
            <w:vAlign w:val="center"/>
          </w:tcPr>
          <w:p w14:paraId="1387532B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1.了解日语语言学基本知识点，包括语音、语义，词汇的发展变化。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98E5A8F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30</w:t>
            </w:r>
          </w:p>
        </w:tc>
      </w:tr>
      <w:tr w14:paraId="7DAB2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B799667">
            <w:pPr>
              <w:pStyle w:val="14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528BB75F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5069C11">
            <w:pPr>
              <w:pStyle w:val="14"/>
              <w:rPr>
                <w:rFonts w:ascii="SimSun" w:hAnsi="SimSun"/>
              </w:rPr>
            </w:pPr>
          </w:p>
        </w:tc>
        <w:tc>
          <w:tcPr>
            <w:tcW w:w="4763" w:type="dxa"/>
            <w:vAlign w:val="center"/>
          </w:tcPr>
          <w:p w14:paraId="799E08DF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2.加深理解语法知识，能通过理论解释基本语法现象。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EC744E7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30</w:t>
            </w:r>
          </w:p>
        </w:tc>
      </w:tr>
      <w:tr w14:paraId="5694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B447CF1">
            <w:pPr>
              <w:pStyle w:val="14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7D79FD18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BEF6FDD">
            <w:pPr>
              <w:pStyle w:val="14"/>
              <w:rPr>
                <w:rFonts w:ascii="SimSun" w:hAnsi="SimSun"/>
              </w:rPr>
            </w:pPr>
          </w:p>
        </w:tc>
        <w:tc>
          <w:tcPr>
            <w:tcW w:w="4763" w:type="dxa"/>
            <w:vAlign w:val="center"/>
          </w:tcPr>
          <w:p w14:paraId="3BA34BB9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3.能通过汉日语言对比，举例进行分析归纳与总结，诠释这种对比的积极意义。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029CDB44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40</w:t>
            </w:r>
          </w:p>
        </w:tc>
      </w:tr>
      <w:tr w14:paraId="6B09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18D134DA">
            <w:pPr>
              <w:pStyle w:val="14"/>
            </w:pPr>
            <w:r>
              <w:t>LO</w:t>
            </w:r>
            <w:r>
              <w:rPr>
                <w:rFonts w:hint="eastAsia"/>
              </w:rPr>
              <w:t>4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2CE555C7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518912D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M</w:t>
            </w:r>
          </w:p>
        </w:tc>
        <w:tc>
          <w:tcPr>
            <w:tcW w:w="4763" w:type="dxa"/>
            <w:vAlign w:val="center"/>
          </w:tcPr>
          <w:p w14:paraId="4A865C0A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4.结合所学的理论知识，搜集相关学习资源，制定具体的学习计划，通过不断理解充实内容，逐渐具有完整性框架结构。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F85CCAB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100</w:t>
            </w:r>
          </w:p>
        </w:tc>
      </w:tr>
      <w:tr w14:paraId="01DE4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6555A361">
            <w:pPr>
              <w:pStyle w:val="14"/>
            </w:pPr>
            <w:r>
              <w:t>LO</w:t>
            </w:r>
            <w:r>
              <w:rPr>
                <w:rFonts w:hint="eastAsia"/>
              </w:rPr>
              <w:t>6</w:t>
            </w:r>
          </w:p>
        </w:tc>
        <w:tc>
          <w:tcPr>
            <w:tcW w:w="79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2169B28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EF1D8C6">
            <w:pPr>
              <w:pStyle w:val="14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L</w:t>
            </w: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4F1622EF">
            <w:pPr>
              <w:pStyle w:val="14"/>
              <w:jc w:val="left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5.学会从语言学的枯燥性中发现乐趣，增强不断提高学习效率的意识。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47002B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100</w:t>
            </w:r>
          </w:p>
        </w:tc>
      </w:tr>
    </w:tbl>
    <w:p w14:paraId="475DE6E9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三、</w:t>
      </w:r>
      <w:r>
        <w:rPr>
          <w:rFonts w:ascii="SimHei" w:hAnsi="SimSun"/>
        </w:rPr>
        <w:t>课程内容</w:t>
      </w:r>
      <w:r>
        <w:rPr>
          <w:rFonts w:hint="eastAsia" w:ascii="SimHei" w:hAnsi="SimSun"/>
        </w:rPr>
        <w:t>与教学设计</w:t>
      </w:r>
    </w:p>
    <w:p w14:paraId="787056C1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D103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8BD205B">
            <w:pPr>
              <w:pStyle w:val="14"/>
              <w:widowControl w:val="0"/>
              <w:jc w:val="left"/>
              <w:rPr>
                <w:rFonts w:cs="Times New Roman"/>
                <w:b/>
              </w:rPr>
            </w:pPr>
            <w:bookmarkStart w:id="0" w:name="OLE_LINK6"/>
            <w:bookmarkStart w:id="1" w:name="OLE_LINK5"/>
            <w:r>
              <w:rPr>
                <w:rFonts w:hint="eastAsia" w:ascii="SimSun" w:hAnsi="SimSun" w:cs="Times New Roman"/>
                <w:b/>
              </w:rPr>
              <w:t>第一单元：</w:t>
            </w:r>
          </w:p>
          <w:p w14:paraId="5A8EE872">
            <w:pPr>
              <w:widowControl w:val="0"/>
              <w:snapToGrid w:val="0"/>
              <w:spacing w:line="288" w:lineRule="auto"/>
              <w:ind w:firstLine="420" w:firstLineChars="20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日语语言学的研究领域与视点，日语语音的特征与变化，单词语义认定与形成性质，单词的结构与变化。</w:t>
            </w:r>
          </w:p>
          <w:p w14:paraId="37784FC1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本单元要学习的内容章节有：</w:t>
            </w:r>
          </w:p>
          <w:p w14:paraId="1D987FF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·了解语言学与日语的特点（第一章）</w:t>
            </w:r>
          </w:p>
          <w:p w14:paraId="7E732E27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·了解音节语音变化（第二章）</w:t>
            </w:r>
          </w:p>
          <w:p w14:paraId="23BE8A2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·了解长音、促音与拨音形成机制（第二章）</w:t>
            </w:r>
          </w:p>
          <w:p w14:paraId="5FC7AB80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·了解日语的重音语调（第二章）</w:t>
            </w:r>
          </w:p>
          <w:p w14:paraId="0A0B2E76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·了解语言的符号特性（第二章）</w:t>
            </w:r>
          </w:p>
          <w:p w14:paraId="6A0219F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·了解语音音调特点（第二章）</w:t>
            </w:r>
          </w:p>
          <w:p w14:paraId="6DABF6CB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核心知识为：</w:t>
            </w:r>
          </w:p>
          <w:p w14:paraId="7927BB8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 xml:space="preserve">·日语语音的物理属性（第二章） </w:t>
            </w:r>
          </w:p>
          <w:p w14:paraId="045359DC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·语音变化对词汇的影响（第二章）</w:t>
            </w:r>
          </w:p>
          <w:p w14:paraId="0CAAF89C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·日语语音的基本特点（第二章）</w:t>
            </w:r>
          </w:p>
          <w:p w14:paraId="1610282E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·日语语音语法的影响（第二章）</w:t>
            </w:r>
          </w:p>
          <w:p w14:paraId="04E22656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教学难点为：</w:t>
            </w:r>
          </w:p>
          <w:p w14:paraId="72E55880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·日语语音具有学术性特点，不同于词汇或语法学习，需要通过记忆加深理解</w:t>
            </w:r>
          </w:p>
          <w:p w14:paraId="63812D98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·日语中各种不同词类，具有不同的认定标准，学习中需要理解不同特点，尤其要关注不同语义在使用中的不同效果。</w:t>
            </w:r>
          </w:p>
          <w:p w14:paraId="6DBF0D3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</w:p>
          <w:p w14:paraId="556BC203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  <w:r>
              <w:rPr>
                <w:rFonts w:hint="eastAsia" w:ascii="SimSun" w:hAnsi="SimSun" w:cs="Times New Roman"/>
                <w:b/>
              </w:rPr>
              <w:t>第二单元：</w:t>
            </w:r>
          </w:p>
          <w:p w14:paraId="21FED9D0">
            <w:pPr>
              <w:widowControl w:val="0"/>
              <w:snapToGrid w:val="0"/>
              <w:spacing w:line="288" w:lineRule="auto"/>
              <w:ind w:firstLine="420" w:firstLineChars="20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ＭＳ 明朝" w:hAnsi="ＭＳ 明朝" w:cs="Times New Roman"/>
                <w:sz w:val="21"/>
                <w:szCs w:val="21"/>
              </w:rPr>
              <w:t>日语的文字表记成为日语的主要特征之一，形成了汉字、假名、罗马字多文字特点。由于多种文字的使用与变化，导致文字标记的复杂性，并且成为各类考试的内容之一。</w:t>
            </w:r>
          </w:p>
          <w:p w14:paraId="48F6C98B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本单元要学习的内容章节有：</w:t>
            </w:r>
          </w:p>
          <w:p w14:paraId="3E9EB030">
            <w:pPr>
              <w:widowControl w:val="0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·了解的文字与表记（第三章）</w:t>
            </w:r>
          </w:p>
          <w:p w14:paraId="68DA0158">
            <w:pPr>
              <w:widowControl w:val="0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·了解假名的形成作用（第三章）</w:t>
            </w:r>
          </w:p>
          <w:p w14:paraId="0E7279FE">
            <w:pPr>
              <w:widowControl w:val="0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·了解汉字以及书写格式（第三章）</w:t>
            </w:r>
          </w:p>
          <w:p w14:paraId="58BEC3C3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·了解标点符号与标记系统特征（第三章）</w:t>
            </w:r>
          </w:p>
          <w:p w14:paraId="2968FC6A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核心知识为：</w:t>
            </w:r>
          </w:p>
          <w:p w14:paraId="3BA8298D">
            <w:pPr>
              <w:widowControl w:val="0"/>
              <w:snapToGrid w:val="0"/>
              <w:spacing w:line="288" w:lineRule="auto"/>
              <w:jc w:val="both"/>
              <w:rPr>
                <w:rFonts w:ascii="MingLiU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</w:t>
            </w:r>
            <w:r>
              <w:rPr>
                <w:rFonts w:hint="eastAsia" w:ascii="MingLiU" w:cs="Times New Roman"/>
                <w:sz w:val="21"/>
                <w:szCs w:val="21"/>
              </w:rPr>
              <w:t>口语体与书面体、敬体与简体的区别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第三章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3D4EE528">
            <w:pPr>
              <w:widowControl w:val="0"/>
              <w:snapToGrid w:val="0"/>
              <w:spacing w:line="288" w:lineRule="auto"/>
              <w:jc w:val="both"/>
              <w:rPr>
                <w:rFonts w:ascii="MingLiU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·了解假名与罗马字的形成历史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第三章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16BA0EB1">
            <w:pPr>
              <w:widowControl w:val="0"/>
              <w:snapToGrid w:val="0"/>
              <w:spacing w:line="288" w:lineRule="auto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·了解汉字在日语中的发展过程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第三章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7AD26A00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·掌握日语的正确书写格式（第三章）</w:t>
            </w:r>
          </w:p>
          <w:p w14:paraId="753969B3">
            <w:pPr>
              <w:widowControl w:val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教学难点为：</w:t>
            </w:r>
          </w:p>
          <w:p w14:paraId="3698E0DA">
            <w:pPr>
              <w:widowControl w:val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·不同语体的正确使用较难把握（第三章）</w:t>
            </w:r>
          </w:p>
          <w:p w14:paraId="21F6E988">
            <w:pPr>
              <w:pStyle w:val="14"/>
              <w:widowControl w:val="0"/>
              <w:jc w:val="left"/>
              <w:rPr>
                <w:rFonts w:ascii="SimSun" w:hAnsi="SimSun" w:cs="Times New Roman"/>
              </w:rPr>
            </w:pPr>
            <w:r>
              <w:rPr>
                <w:rFonts w:hint="eastAsia" w:ascii="SimSun" w:hAnsi="SimSun" w:cs="Times New Roman"/>
              </w:rPr>
              <w:t>·送假名与振假名、标点符号容易误用（第三</w:t>
            </w:r>
            <w:r>
              <w:rPr>
                <w:rFonts w:hint="eastAsia" w:cs="Times New Roman"/>
              </w:rPr>
              <w:t>章</w:t>
            </w:r>
            <w:r>
              <w:rPr>
                <w:rFonts w:hint="eastAsia" w:ascii="SimSun" w:hAnsi="SimSun" w:cs="Times New Roman"/>
              </w:rPr>
              <w:t>）</w:t>
            </w:r>
            <w:r>
              <w:rPr>
                <w:rFonts w:ascii="SimSun" w:hAnsi="SimSun" w:cs="Times New Roman"/>
              </w:rPr>
              <w:t xml:space="preserve"> </w:t>
            </w:r>
          </w:p>
          <w:p w14:paraId="1869D42F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  <w:r>
              <w:rPr>
                <w:rFonts w:hint="eastAsia" w:ascii="SimSun" w:hAnsi="SimSun" w:cs="Times New Roman"/>
              </w:rPr>
              <w:t>·敬语的正确使用需要语法知识支撑（</w:t>
            </w:r>
            <w:r>
              <w:rPr>
                <w:rFonts w:hint="eastAsia" w:cs="Times New Roman"/>
              </w:rPr>
              <w:t>第三章</w:t>
            </w:r>
            <w:r>
              <w:rPr>
                <w:rFonts w:hint="eastAsia" w:ascii="SimSun" w:hAnsi="SimSun" w:cs="Times New Roman"/>
              </w:rPr>
              <w:t>）</w:t>
            </w:r>
          </w:p>
          <w:p w14:paraId="2EFDD762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</w:p>
          <w:p w14:paraId="5B3C88F1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  <w:r>
              <w:rPr>
                <w:rFonts w:hint="eastAsia" w:ascii="SimSun" w:hAnsi="SimSun" w:cs="Times New Roman"/>
                <w:b/>
              </w:rPr>
              <w:t>第三单元：</w:t>
            </w:r>
          </w:p>
          <w:p w14:paraId="3C5E6430">
            <w:pPr>
              <w:pStyle w:val="14"/>
              <w:widowControl w:val="0"/>
              <w:ind w:firstLine="420" w:firstLineChars="200"/>
              <w:jc w:val="left"/>
              <w:rPr>
                <w:rFonts w:ascii="SimSun" w:hAnsi="SimSun" w:cs="Times New Roman"/>
                <w:bCs/>
              </w:rPr>
            </w:pPr>
            <w:r>
              <w:rPr>
                <w:rFonts w:hint="eastAsia" w:cs="Times New Roman"/>
              </w:rPr>
              <w:t>日语词汇具有数量多结构复杂的特点。分类如基本词汇与基础词汇。词源词类语法方面的分类，多方面构成了庞大的词汇系统。</w:t>
            </w:r>
          </w:p>
          <w:p w14:paraId="0C3648BA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本单元要学习的内容章节有：</w:t>
            </w:r>
          </w:p>
          <w:p w14:paraId="1990BF65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·了解语义变化特征（第四章）</w:t>
            </w:r>
          </w:p>
          <w:p w14:paraId="610B4587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·了解词与词汇（第四章）</w:t>
            </w:r>
          </w:p>
          <w:p w14:paraId="087742F5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·了解词汇类别（第四章）</w:t>
            </w:r>
          </w:p>
          <w:p w14:paraId="62506E98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·了解词汇系统（第四章）</w:t>
            </w:r>
          </w:p>
          <w:p w14:paraId="42AFA2E6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·了解词的构成（第四章）</w:t>
            </w:r>
          </w:p>
          <w:p w14:paraId="670917A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·了解各种辞典的功能（第四章）</w:t>
            </w:r>
          </w:p>
          <w:p w14:paraId="62DE9560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核心知识为：</w:t>
            </w:r>
          </w:p>
          <w:p w14:paraId="101566E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·日语词汇具有系统性，需要通过比较深化学习，并结合具体例子加深理解(第四章)</w:t>
            </w:r>
          </w:p>
          <w:p w14:paraId="201A973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·日语词汇分类标准不同，学习中需要理解各自特点，要关注词汇的各种变体(第四章)</w:t>
            </w:r>
          </w:p>
          <w:p w14:paraId="37291D1C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·从词汇系统角度，观察近义词反义词、同音词同形词的关系。需要通过词例比较学习，并结合具体用法加深理解(第四章)</w:t>
            </w:r>
          </w:p>
          <w:p w14:paraId="3F4E911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教学难点为：</w:t>
            </w:r>
          </w:p>
          <w:p w14:paraId="4421EC7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·词汇的词汇体系还比较陌生，尽量能通过本课程的学习，初步理解与熟悉重要知识点。</w:t>
            </w:r>
          </w:p>
          <w:p w14:paraId="647A40EA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·日语词汇涉及的结构范围较广，各种包含的对象内容不容易区别，需要不断积累达到记住。</w:t>
            </w:r>
          </w:p>
          <w:p w14:paraId="4119321D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·语义变化作为客观事实，在课堂学习中不太涉及。因此需要思考如何从语言学角度提高教学效果。</w:t>
            </w:r>
          </w:p>
          <w:p w14:paraId="7EA46BF5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</w:p>
          <w:p w14:paraId="04CE85A7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  <w:r>
              <w:rPr>
                <w:rFonts w:hint="eastAsia" w:ascii="SimSun" w:hAnsi="SimSun" w:cs="Times New Roman"/>
                <w:b/>
              </w:rPr>
              <w:t>第四单元：</w:t>
            </w:r>
          </w:p>
          <w:p w14:paraId="01E9FDA9">
            <w:pPr>
              <w:pStyle w:val="14"/>
              <w:widowControl w:val="0"/>
              <w:ind w:firstLine="420" w:firstLineChars="200"/>
              <w:jc w:val="left"/>
              <w:rPr>
                <w:rFonts w:ascii="SimSun" w:hAnsi="SimSun" w:cs="Times New Roman"/>
                <w:bCs/>
              </w:rPr>
            </w:pPr>
            <w:r>
              <w:rPr>
                <w:rFonts w:hint="eastAsia" w:cs="Times New Roman"/>
              </w:rPr>
              <w:t>日语语法具有系统性特点，词类如体言与用言、助词与助动词等。语法方面的分类，具有语态、时态以及体等内容。</w:t>
            </w:r>
          </w:p>
          <w:p w14:paraId="08B4F365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本单元要学习的内容章节有：</w:t>
            </w:r>
          </w:p>
          <w:p w14:paraId="20EA299C">
            <w:pPr>
              <w:pStyle w:val="14"/>
              <w:widowControl w:val="0"/>
              <w:jc w:val="left"/>
              <w:rPr>
                <w:rFonts w:ascii="SimSun" w:hAnsi="SimSun" w:cs="Times New Roman"/>
                <w:b/>
              </w:rPr>
            </w:pPr>
          </w:p>
          <w:p w14:paraId="524B0DD1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·了解语法的内容体系（第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245DF8C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·了解体言与用言的特点（第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441EF251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·了解助词与助动词的划分（第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7242F473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·了解格与句子成分（第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0DA8D69E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·了解态、体、时、语气（第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213E222C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·了解敬语的表达方式续（第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67B1C35B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核心知识为：</w:t>
            </w:r>
          </w:p>
          <w:p w14:paraId="29A05DF1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·了解体言与用言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08409EE7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·要求了解词类划分的意义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321CA7CF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·了解语感对正确表达的作用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105E8A44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·了解态</w:t>
            </w:r>
            <w:r>
              <w:rPr>
                <w:rFonts w:cs="Times New Roman"/>
                <w:sz w:val="21"/>
                <w:szCs w:val="21"/>
              </w:rPr>
              <w:t>/</w:t>
            </w:r>
            <w:r>
              <w:rPr>
                <w:rFonts w:hint="eastAsia" w:cs="Times New Roman"/>
                <w:sz w:val="21"/>
                <w:szCs w:val="21"/>
              </w:rPr>
              <w:t>体</w:t>
            </w:r>
            <w:r>
              <w:rPr>
                <w:rFonts w:cs="Times New Roman"/>
                <w:sz w:val="21"/>
                <w:szCs w:val="21"/>
              </w:rPr>
              <w:t>/</w:t>
            </w:r>
            <w:r>
              <w:rPr>
                <w:rFonts w:hint="eastAsia" w:cs="Times New Roman"/>
                <w:sz w:val="21"/>
                <w:szCs w:val="21"/>
              </w:rPr>
              <w:t>时的语法内容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15EB12EB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·了解语气对表达日语的作用</w:t>
            </w: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hint="eastAsia" w:cs="Times New Roman"/>
                <w:sz w:val="21"/>
                <w:szCs w:val="21"/>
              </w:rPr>
              <w:t>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14:paraId="76418E65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·了解接续词在复句中的作用（第</w:t>
            </w:r>
            <w:r>
              <w:rPr>
                <w:rFonts w:cs="Times New Roman"/>
                <w:sz w:val="21"/>
                <w:szCs w:val="21"/>
              </w:rPr>
              <w:t>五</w:t>
            </w:r>
            <w:r>
              <w:rPr>
                <w:rFonts w:hint="eastAsia" w:cs="Times New Roman"/>
                <w:sz w:val="21"/>
                <w:szCs w:val="21"/>
              </w:rPr>
              <w:t>章）</w:t>
            </w:r>
          </w:p>
          <w:p w14:paraId="4C00AE67">
            <w:pPr>
              <w:widowControl w:val="0"/>
              <w:snapToGrid w:val="0"/>
              <w:spacing w:line="288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教学难点为：</w:t>
            </w:r>
          </w:p>
          <w:p w14:paraId="512F8D0B">
            <w:pPr>
              <w:widowControl w:val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·不同词类的准确认定，还有一点的难度。尽量能通过本课程的学习，初步理解与熟悉重要知识点。</w:t>
            </w:r>
          </w:p>
          <w:p w14:paraId="2842C0DB">
            <w:pPr>
              <w:widowControl w:val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·日语的格关系比较复杂，但是对正确理解日语很重要，需要不断有意识加深理解。</w:t>
            </w:r>
          </w:p>
          <w:p w14:paraId="322553E4">
            <w:pPr>
              <w:pStyle w:val="14"/>
              <w:widowControl w:val="0"/>
              <w:jc w:val="left"/>
              <w:rPr>
                <w:rFonts w:ascii="FangSong" w:hAnsi="FangSong" w:eastAsia="FangSong" w:cs="FangSong"/>
              </w:rPr>
            </w:pPr>
            <w:r>
              <w:rPr>
                <w:rFonts w:hint="eastAsia" w:ascii="SimSun" w:hAnsi="SimSun" w:cs="Times New Roman"/>
              </w:rPr>
              <w:t>·日语语法方面的专业术语较多，如“态”“体”“时”等，各种包含的对象内容不容易区别，需要不断积累达到记住。</w:t>
            </w:r>
          </w:p>
        </w:tc>
      </w:tr>
      <w:bookmarkEnd w:id="0"/>
      <w:bookmarkEnd w:id="1"/>
    </w:tbl>
    <w:p w14:paraId="515F512C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4"/>
        <w:gridCol w:w="1100"/>
        <w:gridCol w:w="1100"/>
        <w:gridCol w:w="1101"/>
        <w:gridCol w:w="1100"/>
        <w:gridCol w:w="1100"/>
        <w:gridCol w:w="1101"/>
      </w:tblGrid>
      <w:tr w14:paraId="0404E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78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50B9E3D8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666ADAA">
            <w:pPr>
              <w:pStyle w:val="13"/>
              <w:ind w:right="210"/>
              <w:jc w:val="left"/>
              <w:rPr>
                <w:szCs w:val="16"/>
              </w:rPr>
            </w:pPr>
          </w:p>
          <w:p w14:paraId="2C20FE38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08C56B4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18B27BA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123FB51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color="auto" w:sz="12" w:space="0"/>
            </w:tcBorders>
            <w:vAlign w:val="center"/>
          </w:tcPr>
          <w:p w14:paraId="3112853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99" w:type="dxa"/>
            <w:tcBorders>
              <w:top w:val="single" w:color="auto" w:sz="12" w:space="0"/>
            </w:tcBorders>
            <w:vAlign w:val="center"/>
          </w:tcPr>
          <w:p w14:paraId="2E8CD39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B9D1393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14:paraId="79B54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C1A43DE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第一单元：</w:t>
            </w:r>
          </w:p>
          <w:p w14:paraId="26AA68FA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语言学与日语学</w:t>
            </w:r>
          </w:p>
        </w:tc>
        <w:tc>
          <w:tcPr>
            <w:tcW w:w="1100" w:type="dxa"/>
            <w:vAlign w:val="center"/>
          </w:tcPr>
          <w:p w14:paraId="728A03A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3BC0147">
            <w:pPr>
              <w:pStyle w:val="14"/>
            </w:pPr>
          </w:p>
        </w:tc>
        <w:tc>
          <w:tcPr>
            <w:tcW w:w="1100" w:type="dxa"/>
            <w:vAlign w:val="center"/>
          </w:tcPr>
          <w:p w14:paraId="4E89DD5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9FCC5DF">
            <w:pPr>
              <w:pStyle w:val="14"/>
            </w:pPr>
          </w:p>
        </w:tc>
        <w:tc>
          <w:tcPr>
            <w:tcW w:w="1099" w:type="dxa"/>
            <w:vAlign w:val="center"/>
          </w:tcPr>
          <w:p w14:paraId="113FB42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53EE5810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370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3A07BD9D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第二单元：</w:t>
            </w:r>
          </w:p>
          <w:p w14:paraId="560207C6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日语音声与音韵</w:t>
            </w:r>
          </w:p>
        </w:tc>
        <w:tc>
          <w:tcPr>
            <w:tcW w:w="1100" w:type="dxa"/>
            <w:vAlign w:val="center"/>
          </w:tcPr>
          <w:p w14:paraId="26F12BA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D2518D0">
            <w:pPr>
              <w:pStyle w:val="14"/>
            </w:pPr>
          </w:p>
        </w:tc>
        <w:tc>
          <w:tcPr>
            <w:tcW w:w="1100" w:type="dxa"/>
            <w:vAlign w:val="center"/>
          </w:tcPr>
          <w:p w14:paraId="6335A74C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C5FF03E">
            <w:pPr>
              <w:pStyle w:val="14"/>
            </w:pPr>
          </w:p>
        </w:tc>
        <w:tc>
          <w:tcPr>
            <w:tcW w:w="1099" w:type="dxa"/>
            <w:vAlign w:val="center"/>
          </w:tcPr>
          <w:p w14:paraId="2790480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526FACB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4432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25ED7F6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第三单元：</w:t>
            </w:r>
          </w:p>
          <w:p w14:paraId="2B8FC9BE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日语文字与表记</w:t>
            </w:r>
          </w:p>
        </w:tc>
        <w:tc>
          <w:tcPr>
            <w:tcW w:w="1100" w:type="dxa"/>
            <w:vAlign w:val="center"/>
          </w:tcPr>
          <w:p w14:paraId="463B3B8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6967FBD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553557B9">
            <w:pPr>
              <w:pStyle w:val="14"/>
            </w:pPr>
          </w:p>
        </w:tc>
        <w:tc>
          <w:tcPr>
            <w:tcW w:w="1099" w:type="dxa"/>
            <w:vAlign w:val="center"/>
          </w:tcPr>
          <w:p w14:paraId="7A732E4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2FC2F3A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509CE0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F00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598CAA7E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第四单元：</w:t>
            </w:r>
          </w:p>
          <w:p w14:paraId="04757F0A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日语词汇与语义</w:t>
            </w:r>
          </w:p>
        </w:tc>
        <w:tc>
          <w:tcPr>
            <w:tcW w:w="1100" w:type="dxa"/>
            <w:vAlign w:val="center"/>
          </w:tcPr>
          <w:p w14:paraId="2A975F40">
            <w:pPr>
              <w:pStyle w:val="14"/>
            </w:pPr>
          </w:p>
        </w:tc>
        <w:tc>
          <w:tcPr>
            <w:tcW w:w="1100" w:type="dxa"/>
            <w:vAlign w:val="center"/>
          </w:tcPr>
          <w:p w14:paraId="0C2DF21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59AC4B85">
            <w:pPr>
              <w:pStyle w:val="14"/>
            </w:pPr>
          </w:p>
        </w:tc>
        <w:tc>
          <w:tcPr>
            <w:tcW w:w="1099" w:type="dxa"/>
            <w:vAlign w:val="center"/>
          </w:tcPr>
          <w:p w14:paraId="41DA02E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63AD829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12771F8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545B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  <w:bottom w:val="single" w:color="auto" w:sz="12" w:space="0"/>
            </w:tcBorders>
          </w:tcPr>
          <w:p w14:paraId="5B654A52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第五单元：</w:t>
            </w:r>
          </w:p>
          <w:p w14:paraId="57E10F84">
            <w:pPr>
              <w:pStyle w:val="14"/>
              <w:rPr>
                <w:rFonts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日语语法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701D3216">
            <w:pPr>
              <w:pStyle w:val="14"/>
            </w:pP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2B176EDA">
            <w:pPr>
              <w:pStyle w:val="14"/>
            </w:pP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3D047A9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color="auto" w:sz="12" w:space="0"/>
            </w:tcBorders>
            <w:vAlign w:val="center"/>
          </w:tcPr>
          <w:p w14:paraId="6FDF9AB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color="auto" w:sz="12" w:space="0"/>
            </w:tcBorders>
            <w:vAlign w:val="center"/>
          </w:tcPr>
          <w:p w14:paraId="703F509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803C9A2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49DE30A9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72"/>
        <w:gridCol w:w="2755"/>
        <w:gridCol w:w="1738"/>
        <w:gridCol w:w="725"/>
        <w:gridCol w:w="669"/>
        <w:gridCol w:w="717"/>
      </w:tblGrid>
      <w:tr w14:paraId="7B8E8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BFD954A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7A55262D">
            <w:pPr>
              <w:pStyle w:val="13"/>
              <w:widowControl w:val="0"/>
              <w:rPr>
                <w:rFonts w:cs="Times New Roman"/>
                <w:szCs w:val="21"/>
              </w:rPr>
            </w:pPr>
            <w:r>
              <w:rPr>
                <w:rFonts w:hint="eastAsia" w:ascii="SimHei" w:hAnsi="SimHei" w:cs="Times New Roman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2FA67493">
            <w:pPr>
              <w:pStyle w:val="13"/>
              <w:widowControl w:val="0"/>
              <w:rPr>
                <w:rFonts w:ascii="SimHei" w:hAnsi="SimHei" w:cs="Times New Roman"/>
                <w:szCs w:val="21"/>
              </w:rPr>
            </w:pPr>
            <w:r>
              <w:rPr>
                <w:rFonts w:hint="eastAsia" w:ascii="SimHei" w:hAnsi="SimHei" w:cs="Times New Roman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D2F85B">
            <w:pPr>
              <w:pStyle w:val="13"/>
              <w:widowControl w:val="0"/>
              <w:rPr>
                <w:rFonts w:ascii="SimHei" w:hAnsi="SimHei" w:cs="Times New Roman"/>
                <w:szCs w:val="21"/>
              </w:rPr>
            </w:pPr>
            <w:r>
              <w:rPr>
                <w:rFonts w:hint="eastAsia" w:ascii="SimHei" w:hAnsi="SimHei" w:cs="Times New Roman"/>
                <w:szCs w:val="21"/>
              </w:rPr>
              <w:t>学时</w:t>
            </w:r>
            <w:r>
              <w:rPr>
                <w:rFonts w:hint="eastAsia" w:ascii="SimHei" w:hAnsi="SimHei" w:cs="Times New Roman"/>
                <w:bCs w:val="0"/>
                <w:szCs w:val="21"/>
              </w:rPr>
              <w:t>分配</w:t>
            </w:r>
          </w:p>
        </w:tc>
      </w:tr>
      <w:tr w14:paraId="3CB7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25554B5D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5438E302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2569B4B8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346CD62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2E4220F0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39F66616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bCs/>
                <w:sz w:val="21"/>
                <w:szCs w:val="21"/>
              </w:rPr>
              <w:t>小计</w:t>
            </w:r>
          </w:p>
        </w:tc>
      </w:tr>
      <w:tr w14:paraId="10D9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42590B9E">
            <w:pPr>
              <w:pStyle w:val="14"/>
              <w:widowControl w:val="0"/>
              <w:rPr>
                <w:rFonts w:ascii="SimSun" w:hAnsi="SimSun" w:cs="Times New Roman"/>
                <w:bCs/>
                <w:sz w:val="21"/>
                <w:szCs w:val="21"/>
              </w:rPr>
            </w:pPr>
            <w:r>
              <w:rPr>
                <w:rFonts w:hint="eastAsia" w:ascii="SimSun" w:hAnsi="SimSun" w:cs="Times New Roman"/>
                <w:bCs/>
                <w:sz w:val="21"/>
                <w:szCs w:val="21"/>
              </w:rPr>
              <w:t>第一单元：</w:t>
            </w:r>
          </w:p>
          <w:p w14:paraId="5CD6125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语言学与日语学</w:t>
            </w:r>
          </w:p>
        </w:tc>
        <w:tc>
          <w:tcPr>
            <w:tcW w:w="2690" w:type="dxa"/>
            <w:vAlign w:val="center"/>
          </w:tcPr>
          <w:p w14:paraId="1B8A2B2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讲述教学、小组讨论</w:t>
            </w:r>
          </w:p>
        </w:tc>
        <w:tc>
          <w:tcPr>
            <w:tcW w:w="1697" w:type="dxa"/>
            <w:vAlign w:val="center"/>
          </w:tcPr>
          <w:p w14:paraId="1EA5928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课堂提问+作业</w:t>
            </w:r>
          </w:p>
        </w:tc>
        <w:tc>
          <w:tcPr>
            <w:tcW w:w="708" w:type="dxa"/>
            <w:vAlign w:val="center"/>
          </w:tcPr>
          <w:p w14:paraId="50F3942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2B872B6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7B97FD34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</w:tr>
      <w:tr w14:paraId="5AD7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6AC4627B">
            <w:pPr>
              <w:pStyle w:val="14"/>
              <w:widowControl w:val="0"/>
              <w:rPr>
                <w:rFonts w:ascii="SimSun" w:hAnsi="SimSun" w:cs="Times New Roman"/>
                <w:bCs/>
                <w:sz w:val="21"/>
                <w:szCs w:val="21"/>
              </w:rPr>
            </w:pPr>
            <w:r>
              <w:rPr>
                <w:rFonts w:hint="eastAsia" w:ascii="SimSun" w:hAnsi="SimSun" w:cs="Times New Roman"/>
                <w:bCs/>
                <w:sz w:val="21"/>
                <w:szCs w:val="21"/>
              </w:rPr>
              <w:t>第二单元：</w:t>
            </w:r>
          </w:p>
          <w:p w14:paraId="0AC20FC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日语音声与音韵</w:t>
            </w:r>
          </w:p>
        </w:tc>
        <w:tc>
          <w:tcPr>
            <w:tcW w:w="2690" w:type="dxa"/>
            <w:vAlign w:val="center"/>
          </w:tcPr>
          <w:p w14:paraId="51E368A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讲述教学、小组讨论</w:t>
            </w:r>
          </w:p>
        </w:tc>
        <w:tc>
          <w:tcPr>
            <w:tcW w:w="1697" w:type="dxa"/>
            <w:vAlign w:val="center"/>
          </w:tcPr>
          <w:p w14:paraId="1C33C7EF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课堂提问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989E4CF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0A1B898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5D77DFF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</w:tr>
      <w:tr w14:paraId="2938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0B4E22AF">
            <w:pPr>
              <w:pStyle w:val="14"/>
              <w:widowControl w:val="0"/>
              <w:rPr>
                <w:rFonts w:ascii="SimSun" w:hAnsi="SimSun" w:cs="Times New Roman"/>
                <w:bCs/>
                <w:sz w:val="21"/>
                <w:szCs w:val="21"/>
              </w:rPr>
            </w:pPr>
            <w:r>
              <w:rPr>
                <w:rFonts w:hint="eastAsia" w:ascii="SimSun" w:hAnsi="SimSun" w:cs="Times New Roman"/>
                <w:bCs/>
                <w:sz w:val="21"/>
                <w:szCs w:val="21"/>
              </w:rPr>
              <w:t>第三单元：</w:t>
            </w:r>
          </w:p>
          <w:p w14:paraId="12AFFA7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日语文字与表记</w:t>
            </w:r>
          </w:p>
        </w:tc>
        <w:tc>
          <w:tcPr>
            <w:tcW w:w="2690" w:type="dxa"/>
            <w:vAlign w:val="center"/>
          </w:tcPr>
          <w:p w14:paraId="04286D7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讲述教学、小组讨论</w:t>
            </w:r>
          </w:p>
        </w:tc>
        <w:tc>
          <w:tcPr>
            <w:tcW w:w="1697" w:type="dxa"/>
            <w:vAlign w:val="center"/>
          </w:tcPr>
          <w:p w14:paraId="1DFB4319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课堂提问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4B49CEA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6989BBD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3F781B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</w:tr>
      <w:tr w14:paraId="2694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</w:tcPr>
          <w:p w14:paraId="2F7CD0BF">
            <w:pPr>
              <w:pStyle w:val="14"/>
              <w:widowControl w:val="0"/>
              <w:rPr>
                <w:rFonts w:ascii="SimSun" w:hAnsi="SimSun" w:cs="Times New Roman"/>
                <w:bCs/>
                <w:sz w:val="21"/>
                <w:szCs w:val="21"/>
              </w:rPr>
            </w:pPr>
            <w:r>
              <w:rPr>
                <w:rFonts w:hint="eastAsia" w:ascii="SimSun" w:hAnsi="SimSun" w:cs="Times New Roman"/>
                <w:bCs/>
                <w:sz w:val="21"/>
                <w:szCs w:val="21"/>
              </w:rPr>
              <w:t>第四单元：</w:t>
            </w:r>
          </w:p>
          <w:p w14:paraId="6A257FD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日语词汇与语义</w:t>
            </w:r>
          </w:p>
        </w:tc>
        <w:tc>
          <w:tcPr>
            <w:tcW w:w="2690" w:type="dxa"/>
            <w:tcBorders>
              <w:bottom w:val="single" w:color="auto" w:sz="4" w:space="0"/>
            </w:tcBorders>
            <w:vAlign w:val="center"/>
          </w:tcPr>
          <w:p w14:paraId="3BA641D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讲述教学、小组讨论</w:t>
            </w:r>
          </w:p>
        </w:tc>
        <w:tc>
          <w:tcPr>
            <w:tcW w:w="1697" w:type="dxa"/>
            <w:tcBorders>
              <w:bottom w:val="single" w:color="auto" w:sz="4" w:space="0"/>
            </w:tcBorders>
            <w:vAlign w:val="center"/>
          </w:tcPr>
          <w:p w14:paraId="7438635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课堂提问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3247EE14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0C85374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6DA6799B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6</w:t>
            </w:r>
          </w:p>
        </w:tc>
      </w:tr>
      <w:tr w14:paraId="1FA69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  <w:bottom w:val="single" w:color="auto" w:sz="12" w:space="0"/>
            </w:tcBorders>
          </w:tcPr>
          <w:p w14:paraId="3CF706E9">
            <w:pPr>
              <w:pStyle w:val="14"/>
              <w:widowControl w:val="0"/>
              <w:rPr>
                <w:rFonts w:ascii="SimSun" w:hAnsi="SimSun" w:cs="Times New Roman"/>
                <w:bCs/>
                <w:sz w:val="21"/>
                <w:szCs w:val="21"/>
              </w:rPr>
            </w:pPr>
            <w:r>
              <w:rPr>
                <w:rFonts w:hint="eastAsia" w:ascii="SimSun" w:hAnsi="SimSun" w:cs="Times New Roman"/>
                <w:bCs/>
                <w:sz w:val="21"/>
                <w:szCs w:val="21"/>
              </w:rPr>
              <w:t>第五单元：</w:t>
            </w:r>
          </w:p>
          <w:p w14:paraId="190A3EB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</w:rPr>
              <w:t>日语语法</w:t>
            </w:r>
          </w:p>
        </w:tc>
        <w:tc>
          <w:tcPr>
            <w:tcW w:w="2690" w:type="dxa"/>
            <w:tcBorders>
              <w:bottom w:val="single" w:color="auto" w:sz="12" w:space="0"/>
            </w:tcBorders>
            <w:vAlign w:val="center"/>
          </w:tcPr>
          <w:p w14:paraId="39151946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讲述教学、小组讨论</w:t>
            </w:r>
          </w:p>
        </w:tc>
        <w:tc>
          <w:tcPr>
            <w:tcW w:w="1697" w:type="dxa"/>
            <w:tcBorders>
              <w:bottom w:val="single" w:color="auto" w:sz="12" w:space="0"/>
            </w:tcBorders>
            <w:vAlign w:val="center"/>
          </w:tcPr>
          <w:p w14:paraId="797752A4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课堂提问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71AA50F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2DF10972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3041BA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8</w:t>
            </w:r>
          </w:p>
        </w:tc>
      </w:tr>
      <w:tr w14:paraId="42740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C39A89">
            <w:pPr>
              <w:pStyle w:val="13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4A0C580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5699F1DD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AE085A5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32</w:t>
            </w:r>
          </w:p>
        </w:tc>
      </w:tr>
    </w:tbl>
    <w:p w14:paraId="30E65DEB">
      <w:pPr>
        <w:pStyle w:val="16"/>
        <w:spacing w:before="326" w:beforeLines="100" w:line="360" w:lineRule="auto"/>
        <w:ind w:firstLine="140" w:firstLineChars="50"/>
        <w:rPr>
          <w:rFonts w:ascii="SimHei" w:hAnsi="SimSun"/>
        </w:rPr>
      </w:pPr>
      <w:bookmarkStart w:id="2" w:name="OLE_LINK1"/>
      <w:bookmarkStart w:id="3" w:name="OLE_LINK2"/>
      <w:r>
        <w:rPr>
          <w:rFonts w:hint="eastAsia" w:ascii="SimHei" w:hAnsi="SimSun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312EC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128" w:hRule="atLeast"/>
        </w:trPr>
        <w:tc>
          <w:tcPr>
            <w:tcW w:w="8276" w:type="dxa"/>
            <w:vAlign w:val="center"/>
          </w:tcPr>
          <w:p w14:paraId="3F627692">
            <w:pPr>
              <w:widowControl/>
              <w:jc w:val="left"/>
              <w:rPr>
                <w:rFonts w:ascii="Times New Roman" w:hAnsi="Times New Roman" w:cs="SimSu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SimSun"/>
                <w:color w:val="000000"/>
                <w:sz w:val="21"/>
                <w:szCs w:val="21"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F6B8D57">
            <w:pPr>
              <w:widowControl/>
              <w:jc w:val="left"/>
              <w:rPr>
                <w:rFonts w:ascii="Times New Roman" w:hAnsi="Times New Roman" w:cs="SimSu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SimSun"/>
                <w:color w:val="000000"/>
                <w:sz w:val="21"/>
                <w:szCs w:val="21"/>
              </w:rPr>
              <w:t>①爱党爱国，坚决拥护党的领导，热爱祖国的大好河山、悠久历史、灿烂文化，自觉维护民族利益和国家尊严。</w:t>
            </w:r>
          </w:p>
          <w:p w14:paraId="6A5A9C65">
            <w:pPr>
              <w:widowControl/>
              <w:ind w:firstLine="420" w:firstLineChars="200"/>
              <w:jc w:val="left"/>
              <w:rPr>
                <w:rFonts w:cs="Times New Roman"/>
              </w:rPr>
            </w:pPr>
            <w:r>
              <w:rPr>
                <w:rFonts w:hint="eastAsia" w:ascii="Times New Roman" w:hAnsi="Times New Roman" w:cs="SimSun"/>
                <w:color w:val="000000"/>
                <w:sz w:val="21"/>
                <w:szCs w:val="21"/>
              </w:rPr>
              <w:t>面向大三学生，根据课堂实际教学情况，结合课文内容自然导入课程思政内容。教育日语专业学生要热爱国家热爱党，热爱我们的语言，感受到语言之美，并能在接下来的社会实践中运用所学专业知识。课堂讲解日本语言学方面的知识，并与汉语体系进行对比引导，在立足本土语言魅力的基础上，感受外语的魅力，实现文化交流和相互借鉴的结合，从而促使学生磨炼技能，提高专业素养。</w:t>
            </w:r>
          </w:p>
        </w:tc>
      </w:tr>
    </w:tbl>
    <w:p w14:paraId="698DB257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345C0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BFF9336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 w:cs="Times New Roman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16BF7621">
            <w:pPr>
              <w:pStyle w:val="16"/>
              <w:widowControl w:val="0"/>
              <w:spacing w:line="240" w:lineRule="auto"/>
              <w:jc w:val="center"/>
              <w:rPr>
                <w:rFonts w:ascii="SimHei" w:hAnsi="SimSun" w:cs="Times New Roman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A239F0A">
            <w:pPr>
              <w:pStyle w:val="16"/>
              <w:widowControl w:val="0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53990E4F">
            <w:pPr>
              <w:pStyle w:val="16"/>
              <w:widowControl w:val="0"/>
              <w:spacing w:line="240" w:lineRule="auto"/>
              <w:jc w:val="center"/>
              <w:rPr>
                <w:rFonts w:ascii="SimHei" w:hAnsi="SimSun" w:cs="Times New Roman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1C6D813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合计</w:t>
            </w:r>
          </w:p>
        </w:tc>
      </w:tr>
      <w:tr w14:paraId="633F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4ACD1BA4">
            <w:pPr>
              <w:widowControl w:val="0"/>
              <w:snapToGrid w:val="0"/>
              <w:jc w:val="center"/>
              <w:rPr>
                <w:rFonts w:ascii="SimHei" w:hAnsi="SimHei" w:eastAsia="SimHei" w:cs="Times New Roman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9AA3BBE">
            <w:pPr>
              <w:pStyle w:val="16"/>
              <w:widowControl w:val="0"/>
              <w:jc w:val="both"/>
              <w:rPr>
                <w:rFonts w:ascii="SimHei" w:hAnsi="SimHei" w:cs="Times New Roman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52C2C7B5">
            <w:pPr>
              <w:pStyle w:val="16"/>
              <w:widowControl w:val="0"/>
              <w:jc w:val="both"/>
              <w:rPr>
                <w:rFonts w:ascii="SimHei" w:hAnsi="SimHei" w:cs="Times New Roman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57442DF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28362FDE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41D71CBC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74761DE7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72661D4D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527F12E0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  <w:r>
              <w:rPr>
                <w:rFonts w:hint="eastAsia" w:ascii="SimHei" w:hAnsi="SimHei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7003F79C">
            <w:pPr>
              <w:pStyle w:val="16"/>
              <w:widowControl w:val="0"/>
              <w:spacing w:line="240" w:lineRule="auto"/>
              <w:jc w:val="center"/>
              <w:rPr>
                <w:rFonts w:ascii="SimHei" w:hAnsi="SimHei" w:cs="Times New Roman"/>
                <w:bCs/>
                <w:sz w:val="21"/>
                <w:szCs w:val="21"/>
              </w:rPr>
            </w:pPr>
          </w:p>
        </w:tc>
      </w:tr>
      <w:tr w14:paraId="34EB5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4CFECB6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7B8C3E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60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6406130">
            <w:pPr>
              <w:pStyle w:val="14"/>
              <w:widowControl w:val="0"/>
              <w:rPr>
                <w:rFonts w:cs="Times New Roman"/>
                <w:sz w:val="21"/>
                <w:szCs w:val="21"/>
              </w:rPr>
            </w:pPr>
            <w:r>
              <w:rPr>
                <w:rFonts w:ascii="SimSun" w:hAnsi="SimSun" w:eastAsia="SimSun" w:cs="Arial"/>
                <w:bCs/>
                <w:sz w:val="21"/>
                <w:szCs w:val="21"/>
              </w:rPr>
              <w:t>期末闭卷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EDD5A56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vAlign w:val="center"/>
          </w:tcPr>
          <w:p w14:paraId="7CDF5E4B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20</w:t>
            </w:r>
          </w:p>
        </w:tc>
        <w:tc>
          <w:tcPr>
            <w:tcW w:w="612" w:type="dxa"/>
            <w:vAlign w:val="center"/>
          </w:tcPr>
          <w:p w14:paraId="20316746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vAlign w:val="center"/>
          </w:tcPr>
          <w:p w14:paraId="22539E01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vAlign w:val="center"/>
          </w:tcPr>
          <w:p w14:paraId="7CE16154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612" w:type="dxa"/>
            <w:vAlign w:val="center"/>
          </w:tcPr>
          <w:p w14:paraId="6D5FD2F7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02D4CE3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</w:t>
            </w:r>
            <w:r>
              <w:rPr>
                <w:rFonts w:cs="Times New Roman"/>
              </w:rPr>
              <w:t>00</w:t>
            </w:r>
          </w:p>
        </w:tc>
      </w:tr>
      <w:tr w14:paraId="00194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46A45ED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C098052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38CA0DB">
            <w:pPr>
              <w:pStyle w:val="14"/>
              <w:widowControl w:val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503CDF2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vAlign w:val="center"/>
          </w:tcPr>
          <w:p w14:paraId="0E009555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476D9E3E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535C8B7C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612" w:type="dxa"/>
            <w:vAlign w:val="center"/>
          </w:tcPr>
          <w:p w14:paraId="20600185">
            <w:pPr>
              <w:pStyle w:val="14"/>
              <w:widowControl w:val="0"/>
              <w:rPr>
                <w:rFonts w:hint="default" w:eastAsia="SimSun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1E270D41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5B344A75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</w:t>
            </w:r>
            <w:r>
              <w:rPr>
                <w:rFonts w:cs="Times New Roman"/>
              </w:rPr>
              <w:t>00</w:t>
            </w:r>
          </w:p>
        </w:tc>
      </w:tr>
      <w:tr w14:paraId="3B8B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5D844B2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4D05DA6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8A56985">
            <w:pPr>
              <w:pStyle w:val="14"/>
              <w:widowControl w:val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</w:t>
            </w:r>
            <w:bookmarkStart w:id="6" w:name="_GoBack"/>
            <w:bookmarkEnd w:id="6"/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CCDE058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vAlign w:val="center"/>
          </w:tcPr>
          <w:p w14:paraId="41245F51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2B698DFA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vAlign w:val="center"/>
          </w:tcPr>
          <w:p w14:paraId="0B788AB6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612" w:type="dxa"/>
            <w:vAlign w:val="center"/>
          </w:tcPr>
          <w:p w14:paraId="2A6E2842">
            <w:pPr>
              <w:pStyle w:val="14"/>
              <w:widowControl w:val="0"/>
              <w:rPr>
                <w:rFonts w:hint="default" w:eastAsia="SimSun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5F0B3208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B8B56BD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</w:t>
            </w:r>
            <w:r>
              <w:rPr>
                <w:rFonts w:cs="Times New Roman"/>
              </w:rPr>
              <w:t>00</w:t>
            </w:r>
          </w:p>
        </w:tc>
      </w:tr>
      <w:tr w14:paraId="63E8B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0812B26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26614BEA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15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7DAA1444">
            <w:pPr>
              <w:pStyle w:val="14"/>
              <w:widowControl w:val="0"/>
              <w:rPr>
                <w:rFonts w:cs="Times New Roman"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00D860C1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  <w:r>
              <w:rPr>
                <w:rFonts w:hint="eastAsia" w:cs="Times New Roman"/>
              </w:rPr>
              <w:t>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08047CE5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2F381A30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6515CDF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A64A666">
            <w:pPr>
              <w:pStyle w:val="14"/>
              <w:widowControl w:val="0"/>
              <w:rPr>
                <w:rFonts w:hint="default" w:eastAsia="SimSun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10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2506EE9">
            <w:pPr>
              <w:pStyle w:val="14"/>
              <w:widowControl w:val="0"/>
              <w:rPr>
                <w:rFonts w:cs="Times New Roman"/>
              </w:rPr>
            </w:pP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2BBA654">
            <w:pPr>
              <w:pStyle w:val="14"/>
              <w:widowControl w:val="0"/>
              <w:rPr>
                <w:rFonts w:cs="Times New Roman"/>
              </w:rPr>
            </w:pPr>
            <w:r>
              <w:rPr>
                <w:rFonts w:hint="eastAsia" w:cs="Times New Roman"/>
              </w:rPr>
              <w:t>1</w:t>
            </w:r>
            <w:r>
              <w:rPr>
                <w:rFonts w:cs="Times New Roman"/>
              </w:rPr>
              <w:t>00</w:t>
            </w:r>
          </w:p>
        </w:tc>
      </w:tr>
    </w:tbl>
    <w:p w14:paraId="51000AF4">
      <w:pPr>
        <w:pStyle w:val="16"/>
        <w:spacing w:before="326" w:beforeLines="100" w:line="360" w:lineRule="auto"/>
        <w:rPr>
          <w:rFonts w:ascii="SimHei" w:hAnsi="SimSun"/>
        </w:rPr>
      </w:pPr>
      <w:r>
        <w:rPr>
          <w:rFonts w:hint="eastAsia" w:ascii="SimHei" w:hAnsi="SimSun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DEA8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8D21131">
            <w:pPr>
              <w:pStyle w:val="14"/>
              <w:widowControl w:val="0"/>
              <w:jc w:val="left"/>
              <w:rPr>
                <w:rFonts w:hint="eastAsia" w:ascii="SimHei" w:eastAsia="SimSun" w:cs="Times New Roman"/>
                <w:lang w:val="en-US" w:eastAsia="zh-CN"/>
              </w:rPr>
            </w:pPr>
            <w:r>
              <w:rPr>
                <w:rFonts w:hint="eastAsia" w:ascii="SimHei" w:cs="Times New Roman"/>
                <w:lang w:val="en-US" w:eastAsia="zh-CN"/>
              </w:rPr>
              <w:t>无</w:t>
            </w:r>
          </w:p>
        </w:tc>
      </w:tr>
    </w:tbl>
    <w:p w14:paraId="0881AE9A">
      <w:pPr>
        <w:pStyle w:val="16"/>
        <w:rPr>
          <w:rFonts w:ascii="SimHei" w:hAnsi="SimSun"/>
          <w:sz w:val="18"/>
          <w:szCs w:val="16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MingLiU">
    <w:altName w:val="Source Han Serif TC Medium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Source Han Serif TC Medium">
    <w:panose1 w:val="02020500000000000000"/>
    <w:charset w:val="88"/>
    <w:family w:val="auto"/>
    <w:pitch w:val="default"/>
    <w:sig w:usb0="30000083" w:usb1="2BDF3C10" w:usb2="00000016" w:usb3="00000000" w:csb0="603A0107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Microsoft YaHei"/>
    <w:panose1 w:val="020B0604020202020204"/>
    <w:charset w:val="86"/>
    <w:family w:val="script"/>
    <w:pitch w:val="default"/>
    <w:sig w:usb0="00000000" w:usb1="00000000" w:usb2="0000001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66BB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61E8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E645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3F94F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49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0C0378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i3Tv1gAAAAkBAAAPAAAAAAAAAAEAIAAAACIAAABkcnMvZG93bnJldi54bWxQSwECFAAU&#10;AAAACACHTuJA81QayvMBAADXAwAADgAAAAAAAAABACAAAAAlAQAAZHJzL2Uyb0RvYy54bWxQSwUG&#10;AAAAAAYABgBZAQAAigUAAAAA&#10;">
              <v:fill on="t" focussize="0,0"/>
              <v:stroke on="f"/>
              <v:imagedata o:title=""/>
              <o:lock v:ext="edit" aspectratio="f"/>
              <v:textbox>
                <w:txbxContent>
                  <w:p w14:paraId="600C0378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71CE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2D0C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02"/>
    <w:rsid w:val="001C2EE1"/>
    <w:rsid w:val="004712AE"/>
    <w:rsid w:val="00643E89"/>
    <w:rsid w:val="00713202"/>
    <w:rsid w:val="0075405F"/>
    <w:rsid w:val="007D0DC1"/>
    <w:rsid w:val="00801587"/>
    <w:rsid w:val="009B0F51"/>
    <w:rsid w:val="009C712E"/>
    <w:rsid w:val="009D6CFF"/>
    <w:rsid w:val="00A36384"/>
    <w:rsid w:val="00AA1CB0"/>
    <w:rsid w:val="00B8333C"/>
    <w:rsid w:val="00C95E04"/>
    <w:rsid w:val="00D01EA5"/>
    <w:rsid w:val="00E92AFB"/>
    <w:rsid w:val="00EB3CE4"/>
    <w:rsid w:val="039F4A72"/>
    <w:rsid w:val="47921228"/>
    <w:rsid w:val="79F837FB"/>
    <w:rsid w:val="7E9401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SimSu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Sun" w:hAnsi="SimSun" w:eastAsia="SimSun" w:cs="SimSu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SimHei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SimHei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SimSun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SimSun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782</Words>
  <Characters>862</Characters>
  <Lines>33</Lines>
  <Paragraphs>9</Paragraphs>
  <TotalTime>0</TotalTime>
  <ScaleCrop>false</ScaleCrop>
  <LinksUpToDate>false</LinksUpToDate>
  <CharactersWithSpaces>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AstheDew</cp:lastModifiedBy>
  <cp:lastPrinted>2023-11-21T00:52:00Z</cp:lastPrinted>
  <dcterms:modified xsi:type="dcterms:W3CDTF">2026-09-06T05:12:00Z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84b6ab16b30a4aba9f88aaee04c74fe3_23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