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49E56">
      <w:pPr>
        <w:spacing w:line="24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</w:rPr>
        <w:t>高级日语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7D1B0136">
      <w:pPr>
        <w:pStyle w:val="16"/>
        <w:spacing w:before="326" w:beforeLines="100" w:line="24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EB4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00A68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61A2E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color w:val="000000"/>
                <w:sz w:val="20"/>
                <w:szCs w:val="21"/>
              </w:rPr>
              <w:t>高级日语（</w:t>
            </w:r>
            <w:r>
              <w:rPr>
                <w:color w:val="000000"/>
                <w:sz w:val="20"/>
                <w:szCs w:val="21"/>
              </w:rPr>
              <w:t>1）</w:t>
            </w:r>
          </w:p>
        </w:tc>
      </w:tr>
      <w:tr w14:paraId="7F0E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49F6F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C9519E1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/>
                <w:color w:val="000000"/>
                <w:sz w:val="20"/>
                <w:szCs w:val="21"/>
              </w:rPr>
              <w:t>Senior Japanese (1)</w:t>
            </w:r>
          </w:p>
        </w:tc>
      </w:tr>
      <w:tr w14:paraId="0740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355E2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E6ADF01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1020087</w:t>
            </w:r>
          </w:p>
        </w:tc>
        <w:tc>
          <w:tcPr>
            <w:tcW w:w="2126" w:type="dxa"/>
            <w:gridSpan w:val="2"/>
            <w:vAlign w:val="center"/>
          </w:tcPr>
          <w:p w14:paraId="24FA108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8595C8B">
            <w:pPr>
              <w:widowControl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96F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7BAFB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41097D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72" w:type="dxa"/>
            <w:vAlign w:val="center"/>
          </w:tcPr>
          <w:p w14:paraId="6B9DA17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94933D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13" w:type="dxa"/>
            <w:gridSpan w:val="2"/>
            <w:vAlign w:val="center"/>
          </w:tcPr>
          <w:p w14:paraId="2855B91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BA95002">
            <w:pPr>
              <w:widowControl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7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192A8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081A79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906C27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3601A90">
            <w:pPr>
              <w:widowControl w:val="0"/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级下</w:t>
            </w:r>
          </w:p>
        </w:tc>
      </w:tr>
      <w:tr w14:paraId="4215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CB3B9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6BAD67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28C28A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A4E8A2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CF1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C52D0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65DE726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《日语综合教程》第六册；陈小芬编；上海外语教育出版社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4B7962B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ACCCC0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DBB7E8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3CB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3AC66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EDA3263">
            <w:pPr>
              <w:pStyle w:val="14"/>
              <w:widowControl w:val="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bCs/>
              </w:rPr>
              <w:t>基础日语</w:t>
            </w:r>
            <w:r>
              <w:rPr>
                <w:rFonts w:hint="eastAsia"/>
                <w:bCs/>
              </w:rPr>
              <w:t>2020052（10）、基础日语2020053（10）</w:t>
            </w:r>
          </w:p>
        </w:tc>
      </w:tr>
      <w:tr w14:paraId="4720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7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52C6C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6AD1F6A">
            <w:pPr>
              <w:widowControl w:val="0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本课程是日语本科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      </w:r>
          </w:p>
          <w:p w14:paraId="58A182B5">
            <w:pPr>
              <w:widowControl w:val="0"/>
              <w:adjustRightInd w:val="0"/>
              <w:snapToGrid w:val="0"/>
              <w:spacing w:line="300" w:lineRule="auto"/>
              <w:ind w:firstLine="40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课文选篇均为名家名篇，内容涉及日本社会、经济、文化、文学、风俗习惯及科普知识。语言表达规范，遣词造句丰富优美，可读性强。课文的难易程度安排合理，符合循序渐进的教学要求。本册更加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      </w:r>
          </w:p>
        </w:tc>
      </w:tr>
      <w:tr w14:paraId="7CE9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6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CDA983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90D43A7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本课程适合日语本科专业三年级第二学期开设。要求学生具有一定的日语基础知识，在日本的社会，文化，经济，文学，风俗习惯等方面有一定了解。</w:t>
            </w:r>
          </w:p>
        </w:tc>
      </w:tr>
      <w:tr w14:paraId="6AAB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4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842DC1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8019526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37515" cy="278765"/>
                  <wp:effectExtent l="0" t="0" r="4445" b="10795"/>
                  <wp:docPr id="1" name="图片 1" descr="鲁美玲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鲁美玲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FC3C140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3D9840D">
            <w:pPr>
              <w:widowControl w:val="0"/>
              <w:jc w:val="center"/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289D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D9AA9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771FEE0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0"/>
                <w:szCs w:val="21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3810</wp:posOffset>
                  </wp:positionV>
                  <wp:extent cx="482600" cy="349250"/>
                  <wp:effectExtent l="0" t="0" r="0" b="0"/>
                  <wp:wrapNone/>
                  <wp:docPr id="1156572700" name="图片 3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72700" name="图片 3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B4BD507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7385EE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  <w:tr w14:paraId="5815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C36B45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9B1FA1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49910" cy="317500"/>
                  <wp:effectExtent l="0" t="0" r="13970" b="2540"/>
                  <wp:docPr id="2" name="图片 2" descr="孔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孔辉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BD37DC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8CEAB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</w:tbl>
    <w:p w14:paraId="4EE70053">
      <w:pPr>
        <w:spacing w:line="100" w:lineRule="exact"/>
        <w:rPr>
          <w:rFonts w:ascii="Arial" w:hAnsi="Arial" w:eastAsia="黑体"/>
        </w:rPr>
      </w:pPr>
    </w:p>
    <w:p w14:paraId="0F044C6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2F362CF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0175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E2267C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8F5240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F74D4D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BA17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AEAA72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71AFE8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61A32A7A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34851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C216CD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95898E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6EF470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sz w:val="20"/>
                <w:szCs w:val="20"/>
              </w:rPr>
              <w:t>掌握日语语言基础知识，具有扎实的语言基本功和听、说、读、写、译等语言应用能力。</w:t>
            </w:r>
          </w:p>
        </w:tc>
      </w:tr>
      <w:tr w14:paraId="65095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017A72F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675978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844088F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掌握日语语言学、文学等相关知识，具备文学欣赏与文本分析能力。</w:t>
            </w:r>
          </w:p>
        </w:tc>
      </w:tr>
      <w:tr w14:paraId="0B51D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37439B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CD8129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4D8876">
            <w:pPr>
              <w:snapToGrid w:val="0"/>
              <w:jc w:val="center"/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317908C2">
            <w:pPr>
              <w:pStyle w:val="14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掌握文献检索的基本方法，具有初步的科学研究与实际工作能力。有质疑精神，能有逻辑的分析与批判。</w:t>
            </w:r>
          </w:p>
        </w:tc>
      </w:tr>
    </w:tbl>
    <w:p w14:paraId="5DD4F2E3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5B7B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D76E839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hint="eastAsia"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LO1</w:t>
            </w:r>
            <w:r>
              <w:rPr>
                <w:rFonts w:hint="eastAsia" w:eastAsia="MS Mincho"/>
                <w:sz w:val="21"/>
                <w:szCs w:val="21"/>
              </w:rPr>
              <w:t>④</w:t>
            </w:r>
            <w:r>
              <w:rPr>
                <w:rFonts w:hint="eastAsia"/>
                <w:bCs/>
                <w:sz w:val="21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  <w:r>
              <w:rPr>
                <w:bCs/>
                <w:sz w:val="21"/>
                <w:szCs w:val="21"/>
              </w:rPr>
              <w:t xml:space="preserve"> </w:t>
            </w:r>
          </w:p>
        </w:tc>
      </w:tr>
      <w:tr w14:paraId="63438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3579D8A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hint="eastAsia"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 w:val="21"/>
                <w:szCs w:val="21"/>
              </w:rPr>
              <w:t>LO</w:t>
            </w: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2</w:t>
            </w:r>
            <w:r>
              <w:rPr>
                <w:rFonts w:hint="eastAsia" w:eastAsia="MS Mincho" w:cs="Times New Roman"/>
                <w:sz w:val="21"/>
                <w:szCs w:val="21"/>
              </w:rPr>
              <w:t>④</w:t>
            </w:r>
            <w:r>
              <w:rPr>
                <w:rFonts w:hint="eastAsia"/>
                <w:bCs/>
                <w:sz w:val="21"/>
                <w:szCs w:val="21"/>
              </w:rPr>
              <w:t>掌握文献检索的基本方法，具有初步的科学研究与实际工作能力。</w:t>
            </w:r>
          </w:p>
        </w:tc>
      </w:tr>
      <w:tr w14:paraId="3C9C0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14B9B92">
            <w:pPr>
              <w:pStyle w:val="14"/>
              <w:widowControl w:val="0"/>
              <w:contextualSpacing/>
              <w:jc w:val="left"/>
              <w:rPr>
                <w:rFonts w:hint="eastAsia" w:ascii="宋体" w:hAnsi="宋体" w:eastAsiaTheme="minorEastAsia"/>
                <w:bCs/>
              </w:rPr>
            </w:pPr>
            <w:r>
              <w:rPr>
                <w:rFonts w:eastAsia="MS Mincho" w:cs="Times New Roman"/>
                <w:bCs/>
              </w:rPr>
              <w:t>LO3</w:t>
            </w:r>
            <w:r>
              <w:rPr>
                <w:rFonts w:hint="eastAsia" w:eastAsia="MS Mincho" w:cs="Times New Roman"/>
                <w:bCs/>
              </w:rPr>
              <w:t>①</w:t>
            </w:r>
            <w:r>
              <w:rPr>
                <w:rFonts w:hint="eastAsia" w:ascii="宋体" w:hAnsi="宋体"/>
                <w:bCs/>
                <w:color w:val="auto"/>
              </w:rPr>
              <w:t>掌握日语语言基础知识，具有扎实的语言基本功和听、说、读、写、译等语言应用能力。</w:t>
            </w:r>
          </w:p>
        </w:tc>
      </w:tr>
      <w:tr w14:paraId="69946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839B9A9">
            <w:pPr>
              <w:pStyle w:val="14"/>
              <w:widowControl w:val="0"/>
              <w:contextualSpacing/>
              <w:jc w:val="left"/>
              <w:rPr>
                <w:rFonts w:hint="eastAsia" w:eastAsia="MS Mincho"/>
                <w:bCs/>
              </w:rPr>
            </w:pPr>
            <w:r>
              <w:rPr>
                <w:rFonts w:eastAsia="MS Mincho" w:cs="Times New Roman"/>
                <w:bCs/>
              </w:rPr>
              <w:t>LO</w:t>
            </w:r>
            <w:r>
              <w:rPr>
                <w:rFonts w:hint="eastAsia" w:eastAsia="MS Mincho" w:cs="Times New Roman"/>
                <w:bCs/>
              </w:rPr>
              <w:t>8②</w:t>
            </w:r>
            <w:r>
              <w:rPr>
                <w:rFonts w:hint="eastAsia" w:ascii="宋体" w:hAnsi="宋体"/>
                <w:bCs/>
                <w:color w:val="auto"/>
              </w:rPr>
              <w:t>掌握文献检索的基本方法，具有初步的科学研究与实际工作能力。</w:t>
            </w:r>
          </w:p>
        </w:tc>
      </w:tr>
    </w:tbl>
    <w:p w14:paraId="7E74F35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4760"/>
        <w:gridCol w:w="1347"/>
      </w:tblGrid>
      <w:tr w14:paraId="2AE8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A8B54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E3F997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8EE81C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70F5A78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29BA9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505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71F55A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7CDE3B5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982511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0BD2E5B4">
            <w:pPr>
              <w:pStyle w:val="14"/>
              <w:jc w:val="left"/>
              <w:rPr>
                <w:rFonts w:hint="eastAsia" w:ascii="宋体" w:hAnsi="宋体" w:eastAsia="MS Mincho"/>
                <w:bCs/>
              </w:rPr>
            </w:pPr>
            <w:r>
              <w:rPr>
                <w:rFonts w:hint="eastAsia" w:eastAsia="MS Mincho" w:cs="Times New Roman"/>
                <w:bCs/>
              </w:rPr>
              <w:t>4</w:t>
            </w:r>
            <w:r>
              <w:rPr>
                <w:rFonts w:eastAsia="MS Mincho" w:cs="Times New Roman"/>
                <w:bCs/>
              </w:rPr>
              <w:t>.</w:t>
            </w:r>
            <w:r>
              <w:t xml:space="preserve"> 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34C2ECDA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5FE9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466050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A97D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31804BD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B7AA8E5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1</w:t>
            </w:r>
            <w:r>
              <w:rPr>
                <w:rFonts w:cs="Times New Roman" w:eastAsiaTheme="majorEastAsia"/>
              </w:rPr>
              <w:t>.</w:t>
            </w:r>
            <w:r>
              <w:rPr>
                <w:rFonts w:hint="eastAsia" w:ascii="Calibri" w:hAnsi="Calibri" w:cs="Times New Roman"/>
              </w:rP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7BAE11AF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ascii="宋体" w:hAnsi="宋体" w:eastAsia="MS Mincho"/>
                <w:bCs/>
                <w:lang w:eastAsia="ja-JP"/>
              </w:rPr>
              <w:t>100</w:t>
            </w:r>
          </w:p>
        </w:tc>
      </w:tr>
      <w:tr w14:paraId="5B20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974E3">
            <w:pPr>
              <w:pStyle w:val="14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LO3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65F066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DC43AEB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2C151640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2</w:t>
            </w:r>
            <w:r>
              <w:rPr>
                <w:rFonts w:cs="Times New Roman" w:eastAsiaTheme="majorEastAsia"/>
              </w:rPr>
              <w:t>.</w:t>
            </w:r>
            <w: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了解中日两国的社会、文化及中日文化差异，</w:t>
            </w:r>
            <w:r>
              <w:t>取长补短，提高个人素质。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00356AA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4E0A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908E894">
            <w:pPr>
              <w:pStyle w:val="14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5CF3CF3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A61FF2E">
            <w:pPr>
              <w:pStyle w:val="14"/>
              <w:rPr>
                <w:rFonts w:hint="eastAsia" w:ascii="宋体" w:hAnsi="宋体" w:eastAsia="MS Mincho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C877DC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eastAsia="MS Mincho"/>
                <w:bCs/>
              </w:rPr>
              <w:t>3</w:t>
            </w:r>
            <w:r>
              <w:rPr>
                <w:rFonts w:eastAsia="MS Mincho"/>
                <w:bCs/>
              </w:rPr>
              <w:t>.</w:t>
            </w:r>
            <w:r>
              <w:t xml:space="preserve"> 具有跨文化交际能力，掌握有效的认知、调控、交际策略和跨文化理解能力</w:t>
            </w:r>
            <w:r>
              <w:rPr>
                <w:bCs/>
              </w:rPr>
              <w:t>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F1DF24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</w:tbl>
    <w:p w14:paraId="77A167CB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617D7ED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00A7F8BC">
      <w:pPr>
        <w:pStyle w:val="17"/>
        <w:spacing w:before="81" w:after="163"/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D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bottom w:val="single" w:color="auto" w:sz="4" w:space="0"/>
            </w:tcBorders>
          </w:tcPr>
          <w:p w14:paraId="5BC35844">
            <w:pPr>
              <w:pStyle w:val="14"/>
              <w:widowControl w:val="0"/>
              <w:jc w:val="left"/>
            </w:pPr>
            <w:bookmarkStart w:id="0" w:name="OLE_LINK6"/>
            <w:bookmarkStart w:id="1" w:name="OLE_LINK5"/>
            <w:r>
              <w:rPr>
                <w:rFonts w:hint="eastAsia" w:asciiTheme="majorEastAsia" w:hAnsiTheme="majorEastAsia" w:eastAsiaTheme="majorEastAsia"/>
                <w:bCs/>
              </w:rPr>
              <w:t>(一)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日常生活中的礼仪</w:t>
            </w:r>
          </w:p>
          <w:p w14:paraId="701E193E">
            <w:pPr>
              <w:pStyle w:val="14"/>
              <w:widowControl w:val="0"/>
              <w:jc w:val="left"/>
            </w:pPr>
            <w:r>
              <w:t>要求学生理解中日两国民众在生活中礼仪的差异，举办与日本人交往的能力。用实例说明中日两国民众在日常生活的理由的差异，分析差异产生的原因。使学生在行为、 举止方面吸收好的做法，关键落实到行动中。</w:t>
            </w:r>
          </w:p>
        </w:tc>
      </w:tr>
      <w:tr w14:paraId="215FA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27517FF5">
            <w:pPr>
              <w:pStyle w:val="14"/>
              <w:widowControl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(二)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工作和交往的礼仪</w:t>
            </w:r>
          </w:p>
          <w:p w14:paraId="7CA6AD9F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使学生了解工作和人际交往过程中的各种礼仪的差异，提升个人的工作能力和人际交往能力。日本社会是等级社会，而中国是比较平等的社会。分析两国社会现状的历史原因和社会原 因等。使学生在以后的留学生活和工作中能够处理与中国不同的社会关系。</w:t>
            </w:r>
          </w:p>
        </w:tc>
      </w:tr>
      <w:tr w14:paraId="65E9A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6CD1E49D">
            <w:pPr>
              <w:pStyle w:val="14"/>
              <w:widowControl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(三)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衣食住行的差异</w:t>
            </w:r>
          </w:p>
          <w:p w14:paraId="4B3C5DDC">
            <w:pPr>
              <w:pStyle w:val="14"/>
              <w:widowControl w:val="0"/>
              <w:jc w:val="left"/>
            </w:pPr>
            <w:r>
              <w:t>这是中日文化差异的 一个部分。要求学生理解中日两国民众在衣食住行方面的差异，取长补短，提高个人素质。人们在衣食住行方面的习惯、习性是长期养成的，要改变自 己的行为、习性是痛苦的。需要用实例进行分析，人学生明白个人素质的重要性。落实到个人的行为、举止上是比较困难的。</w:t>
            </w:r>
          </w:p>
        </w:tc>
      </w:tr>
      <w:tr w14:paraId="02066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</w:tcBorders>
          </w:tcPr>
          <w:p w14:paraId="4EBD72AF">
            <w:pPr>
              <w:pStyle w:val="14"/>
              <w:widowControl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(四)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风俗习惯的差异</w:t>
            </w:r>
          </w:p>
          <w:p w14:paraId="54E576AB">
            <w:pPr>
              <w:pStyle w:val="14"/>
              <w:widowControl w:val="0"/>
              <w:jc w:val="left"/>
            </w:pPr>
            <w:r>
              <w:t>中日两国的风俗习惯、风土人情等存在着差异。要求学生理解这种差异，懂得入乡随 俗的重要性，以便在今后的留学和工作中能够适应环境的需要。日本的许多风俗习惯、风土人情是从中国引进的，但是随着历史的进程，许多风俗习惯、风土人情都发生了细微的变化。 这些细微的差异是教学中需要讲解的，也是重点和难点。只有尊重他人才能够得到他人的尊重。</w:t>
            </w:r>
          </w:p>
        </w:tc>
      </w:tr>
      <w:bookmarkEnd w:id="0"/>
      <w:bookmarkEnd w:id="1"/>
    </w:tbl>
    <w:p w14:paraId="4CF56A8C">
      <w:pPr>
        <w:pStyle w:val="17"/>
        <w:spacing w:before="81" w:after="163"/>
        <w:rPr>
          <w:rFonts w:hint="eastAsia"/>
        </w:rPr>
      </w:pPr>
    </w:p>
    <w:p w14:paraId="63A7A32C">
      <w:pPr>
        <w:pStyle w:val="17"/>
        <w:spacing w:before="81" w:after="163"/>
      </w:pPr>
      <w:bookmarkStart w:id="8" w:name="_GoBack"/>
      <w:bookmarkEnd w:id="8"/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5"/>
        <w:gridCol w:w="1265"/>
        <w:gridCol w:w="1265"/>
        <w:gridCol w:w="1265"/>
        <w:gridCol w:w="1263"/>
        <w:gridCol w:w="1263"/>
      </w:tblGrid>
      <w:tr w14:paraId="30C0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272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BF05942">
            <w:pPr>
              <w:ind w:firstLine="720" w:firstLineChars="300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课程目标</w:t>
            </w:r>
          </w:p>
          <w:p w14:paraId="3E9CF49F">
            <w:pPr>
              <w:rPr>
                <w:rFonts w:ascii="Arial" w:hAnsi="Arial" w:eastAsia="黑体"/>
                <w:bCs/>
                <w:color w:val="000000"/>
                <w:szCs w:val="16"/>
              </w:rPr>
            </w:pPr>
          </w:p>
          <w:p w14:paraId="266141B8">
            <w:pPr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7C22EE08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1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63129FF7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2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5C8FB8B2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2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-2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10AD6912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2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-3</w:t>
            </w:r>
          </w:p>
        </w:tc>
        <w:tc>
          <w:tcPr>
            <w:tcW w:w="745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A49A4C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ascii="Arial" w:hAnsi="Arial" w:eastAsia="黑体"/>
                <w:bCs/>
                <w:color w:val="000000"/>
                <w:szCs w:val="16"/>
              </w:rPr>
              <w:t>3-1</w:t>
            </w:r>
          </w:p>
        </w:tc>
      </w:tr>
      <w:tr w14:paraId="08C9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5CC008B5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 新词汇</w:t>
            </w:r>
          </w:p>
        </w:tc>
        <w:tc>
          <w:tcPr>
            <w:tcW w:w="746" w:type="pct"/>
            <w:vAlign w:val="center"/>
          </w:tcPr>
          <w:p w14:paraId="4E1AFC0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7C4408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6" w:type="pct"/>
            <w:vAlign w:val="center"/>
          </w:tcPr>
          <w:p w14:paraId="58FCE89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7974FB4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17D95CC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491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35F1E6C3">
            <w:pPr>
              <w:rPr>
                <w:rFonts w:ascii="Times New Roman" w:hAnsi="Times New Roman"/>
                <w:color w:val="000000"/>
                <w:szCs w:val="21"/>
              </w:rPr>
            </w:pPr>
            <w:bookmarkStart w:id="2" w:name="OLE_LINK9"/>
            <w:r>
              <w:rPr>
                <w:rFonts w:ascii="Times New Roman" w:hAnsi="Times New Roman"/>
                <w:color w:val="000000"/>
                <w:szCs w:val="21"/>
              </w:rPr>
              <w:t>2. 新句型和语篇衔接接续词等</w:t>
            </w:r>
            <w:bookmarkEnd w:id="2"/>
          </w:p>
        </w:tc>
        <w:tc>
          <w:tcPr>
            <w:tcW w:w="746" w:type="pct"/>
            <w:vAlign w:val="center"/>
          </w:tcPr>
          <w:p w14:paraId="1C2E8B4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0A0E9D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6" w:type="pct"/>
            <w:vAlign w:val="center"/>
          </w:tcPr>
          <w:p w14:paraId="7838DEC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38C6B50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3A1AE3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BBB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4CB240D8">
            <w:pPr>
              <w:rPr>
                <w:rFonts w:ascii="Times New Roman" w:hAnsi="Times New Roman"/>
                <w:color w:val="000000"/>
                <w:szCs w:val="21"/>
              </w:rPr>
            </w:pPr>
            <w:bookmarkStart w:id="3" w:name="OLE_LINK10"/>
            <w:r>
              <w:rPr>
                <w:rFonts w:ascii="Times New Roman" w:hAnsi="Times New Roman"/>
                <w:color w:val="000000"/>
                <w:szCs w:val="21"/>
              </w:rPr>
              <w:t>3. 判断、依据、倾向、时间、心情、对比、结果等表达方式</w:t>
            </w:r>
            <w:bookmarkEnd w:id="3"/>
          </w:p>
        </w:tc>
        <w:tc>
          <w:tcPr>
            <w:tcW w:w="746" w:type="pct"/>
            <w:vAlign w:val="center"/>
          </w:tcPr>
          <w:p w14:paraId="6D6E7E1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2E79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9822F8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22674CA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6FF3817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</w:tr>
      <w:tr w14:paraId="1FCB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1E469B3A">
            <w:pPr>
              <w:rPr>
                <w:rFonts w:ascii="Times New Roman" w:hAnsi="Times New Roman"/>
                <w:color w:val="000000"/>
                <w:szCs w:val="21"/>
              </w:rPr>
            </w:pPr>
            <w:bookmarkStart w:id="4" w:name="OLE_LINK11"/>
            <w:r>
              <w:rPr>
                <w:rFonts w:ascii="Times New Roman" w:hAnsi="Times New Roman"/>
                <w:color w:val="000000"/>
                <w:szCs w:val="21"/>
              </w:rPr>
              <w:t>4. 小说、随笔、散文、评论等各种文体篇章</w:t>
            </w:r>
            <w:bookmarkEnd w:id="4"/>
          </w:p>
        </w:tc>
        <w:tc>
          <w:tcPr>
            <w:tcW w:w="746" w:type="pct"/>
            <w:vAlign w:val="center"/>
          </w:tcPr>
          <w:p w14:paraId="15BDB2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2986D49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349592A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5" w:type="pct"/>
            <w:vAlign w:val="center"/>
          </w:tcPr>
          <w:p w14:paraId="69289BB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55EA7D0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67F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  <w:bottom w:val="single" w:color="auto" w:sz="12" w:space="0"/>
            </w:tcBorders>
          </w:tcPr>
          <w:p w14:paraId="6C514FAE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 理解当代中国之美丽的祖国</w:t>
            </w:r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066AB4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bookmarkStart w:id="5" w:name="OLE_LINK12"/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  <w:bookmarkEnd w:id="5"/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469BA11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5B7FBC3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bottom w:val="single" w:color="auto" w:sz="12" w:space="0"/>
            </w:tcBorders>
            <w:vAlign w:val="center"/>
          </w:tcPr>
          <w:p w14:paraId="4E650B3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6BE00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74286EB">
      <w:pPr>
        <w:pStyle w:val="17"/>
        <w:spacing w:before="81" w:after="163"/>
      </w:pPr>
    </w:p>
    <w:p w14:paraId="27916B9B">
      <w:pPr>
        <w:spacing w:before="81" w:beforeLines="25" w:after="163" w:afterLines="50" w:line="440" w:lineRule="exac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（三）课程教学方法概述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F24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10D9D421">
            <w:pPr>
              <w:spacing w:line="440" w:lineRule="exact"/>
              <w:ind w:firstLine="480" w:firstLineChars="200"/>
              <w:rPr>
                <w:rFonts w:hint="eastAsia" w:cs="仿宋"/>
                <w:szCs w:val="21"/>
              </w:rPr>
            </w:pPr>
            <w:r>
              <w:rPr>
                <w:rFonts w:cs="仿宋"/>
                <w:szCs w:val="21"/>
              </w:rPr>
              <w:t>课堂基础知识讲解，实践练习，小组讨论，点评，测试。</w:t>
            </w:r>
          </w:p>
          <w:p w14:paraId="0FABC005"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cs="仿宋"/>
                <w:szCs w:val="21"/>
              </w:rPr>
              <w:t>课堂以完成教材内容为主，讲解日语基础知识，让学生能够自主完成课后习题。每篇课文，教师应当训练以及提高学生的日语听、说、读、写、译等基本技能。与此同时，培养学生团队合作意识，做小组讨论和小组发表等自我成果展示，提高学生的学习积极性。教师应当进行阶段性学习内容的考核。</w:t>
            </w:r>
          </w:p>
        </w:tc>
      </w:tr>
    </w:tbl>
    <w:p w14:paraId="5DB50D40">
      <w:pPr>
        <w:pStyle w:val="17"/>
        <w:spacing w:before="81" w:after="163"/>
      </w:pPr>
    </w:p>
    <w:p w14:paraId="44379EAB">
      <w:pPr>
        <w:pStyle w:val="17"/>
        <w:spacing w:before="81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FD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CEE64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064272D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D3FC1D7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1FC1C6F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3C0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4E1BE7E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1F9BD43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382A342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1E952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E4CD7B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4FCDD4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76D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4F4A76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1.新词汇</w:t>
            </w:r>
          </w:p>
        </w:tc>
        <w:tc>
          <w:tcPr>
            <w:tcW w:w="2690" w:type="dxa"/>
            <w:vAlign w:val="center"/>
          </w:tcPr>
          <w:p w14:paraId="78C761A6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详细解说本课出现的新词汇，进行相应的练习。</w:t>
            </w:r>
          </w:p>
        </w:tc>
        <w:tc>
          <w:tcPr>
            <w:tcW w:w="1697" w:type="dxa"/>
            <w:vAlign w:val="center"/>
          </w:tcPr>
          <w:p w14:paraId="5A88B8AB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4A21613F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7D9C81A7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826E6B7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</w:tr>
      <w:tr w14:paraId="556F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F70B1C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2.</w:t>
            </w:r>
            <w:r>
              <w:rPr>
                <w:rFonts w:ascii="Times New Roman" w:hAnsi="Times New Roman"/>
                <w:bCs/>
                <w:sz w:val="20"/>
                <w:szCs w:val="21"/>
              </w:rPr>
              <w:t xml:space="preserve"> 新句型和语篇衔接接续词等</w:t>
            </w:r>
          </w:p>
        </w:tc>
        <w:tc>
          <w:tcPr>
            <w:tcW w:w="2690" w:type="dxa"/>
            <w:vAlign w:val="center"/>
          </w:tcPr>
          <w:p w14:paraId="4160186C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详细解说本课出现语法及句型，进行相应的练习。</w:t>
            </w:r>
          </w:p>
        </w:tc>
        <w:tc>
          <w:tcPr>
            <w:tcW w:w="1697" w:type="dxa"/>
            <w:vAlign w:val="center"/>
          </w:tcPr>
          <w:p w14:paraId="2BBB19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43C15DEA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6C3CA4EF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90573D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</w:tr>
      <w:tr w14:paraId="31A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769CE6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3. 判断、依据、倾向、时间、心情、对比、结果等表达方式</w:t>
            </w:r>
          </w:p>
        </w:tc>
        <w:tc>
          <w:tcPr>
            <w:tcW w:w="2690" w:type="dxa"/>
            <w:vAlign w:val="center"/>
          </w:tcPr>
          <w:p w14:paraId="71215130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讲解每个章节的翻译特点，同时进行相应的翻译练习。课堂中穿插团队小组讨论、互练，发表。</w:t>
            </w:r>
          </w:p>
        </w:tc>
        <w:tc>
          <w:tcPr>
            <w:tcW w:w="1697" w:type="dxa"/>
            <w:vAlign w:val="center"/>
          </w:tcPr>
          <w:p w14:paraId="19C573A8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46F2C315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6A32C84E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93B43B5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</w:tr>
      <w:tr w14:paraId="5132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649F5A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4. 小说、随笔、散文、评论等各种文体篇章</w:t>
            </w:r>
          </w:p>
        </w:tc>
        <w:tc>
          <w:tcPr>
            <w:tcW w:w="2690" w:type="dxa"/>
            <w:vAlign w:val="center"/>
          </w:tcPr>
          <w:p w14:paraId="2E60ADE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结合时代背景，讲解分析文章的文学特点。</w:t>
            </w:r>
          </w:p>
        </w:tc>
        <w:tc>
          <w:tcPr>
            <w:tcW w:w="1697" w:type="dxa"/>
            <w:vAlign w:val="center"/>
          </w:tcPr>
          <w:p w14:paraId="49B822C8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381B3E1B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082A576C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B6873E5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</w:tr>
      <w:tr w14:paraId="11C4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F8B396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5. 理解当代中国之美丽的祖国</w:t>
            </w:r>
          </w:p>
        </w:tc>
        <w:tc>
          <w:tcPr>
            <w:tcW w:w="2690" w:type="dxa"/>
            <w:vAlign w:val="center"/>
          </w:tcPr>
          <w:p w14:paraId="7B2579B5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培养学生爱岗敬业，热爱所学专业，遵守职业规范，具备职业道德操守。</w:t>
            </w:r>
          </w:p>
        </w:tc>
        <w:tc>
          <w:tcPr>
            <w:tcW w:w="1697" w:type="dxa"/>
            <w:vAlign w:val="center"/>
          </w:tcPr>
          <w:p w14:paraId="67BB006C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0C0C3031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AA16C11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DBB9EB8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</w:tr>
      <w:tr w14:paraId="5B1A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A706F19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662D598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128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08A8F4F3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C9C1C1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128</w:t>
            </w:r>
          </w:p>
        </w:tc>
      </w:tr>
    </w:tbl>
    <w:p w14:paraId="17C9FBE3">
      <w:pPr>
        <w:pStyle w:val="16"/>
        <w:spacing w:before="326" w:beforeLines="100" w:line="360" w:lineRule="auto"/>
        <w:rPr>
          <w:rFonts w:hint="eastAsia" w:ascii="黑体" w:hAnsi="宋体"/>
        </w:rPr>
      </w:pPr>
      <w:bookmarkStart w:id="6" w:name="OLE_LINK2"/>
      <w:bookmarkStart w:id="7" w:name="OLE_LINK1"/>
      <w:r>
        <w:rPr>
          <w:rFonts w:hint="eastAsia" w:ascii="黑体" w:hAnsi="宋体"/>
        </w:rPr>
        <w:t>四、课程思政教学设计</w:t>
      </w:r>
      <w:bookmarkEnd w:id="6"/>
      <w:bookmarkEnd w:id="7"/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645"/>
        <w:gridCol w:w="6831"/>
      </w:tblGrid>
      <w:tr w14:paraId="30D9A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3AD0FD32">
            <w:pPr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教学单元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7E8E36CF">
            <w:pPr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课程思政教学要点</w:t>
            </w:r>
          </w:p>
        </w:tc>
      </w:tr>
      <w:tr w14:paraId="3E593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28DA12AE">
            <w:pPr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1. 新词汇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7113765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通过语源、构词法、近义词辨析、语用分析等方法深入理解并尝试应用复合动词、拟声拟态词等副词、惯用句、谚语等。</w:t>
            </w:r>
          </w:p>
          <w:p w14:paraId="5A86F4D5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要求学生通过更多的学习思考正确掌握新词汇的语义，同时，明确其使用场合，丰富自己的语言表达。</w:t>
            </w:r>
          </w:p>
          <w:p w14:paraId="510B6CC9">
            <w:pPr>
              <w:rPr>
                <w:rFonts w:hint="eastAsia"/>
                <w:color w:val="000000"/>
                <w:sz w:val="20"/>
                <w:szCs w:val="21"/>
              </w:rPr>
            </w:pPr>
          </w:p>
        </w:tc>
      </w:tr>
      <w:tr w14:paraId="7BA37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7EBDF40E">
            <w:pPr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2. 新句型和语篇衔接接续词等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5F03294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掌握各类文体中涉及到语法和新句型，能够解决辨析、翻译等课后习题及相应的日语能力考试问题。</w:t>
            </w:r>
          </w:p>
          <w:p w14:paraId="3AD10F10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要求学生能熟练掌握各个句型的用法和不同使用场合，并加以运用。</w:t>
            </w:r>
          </w:p>
          <w:p w14:paraId="5848CB13">
            <w:pPr>
              <w:rPr>
                <w:rFonts w:hint="eastAsia"/>
                <w:color w:val="000000"/>
                <w:sz w:val="20"/>
                <w:szCs w:val="21"/>
              </w:rPr>
            </w:pPr>
          </w:p>
        </w:tc>
      </w:tr>
      <w:tr w14:paraId="7D0C7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4985C9BA">
            <w:pPr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3. 判断、依据、倾向、时间、心情、对比、结果等表达方式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DCA6402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理解并学会运用各种表示判断、依据、倾向、时间、心情、对比、结果的表达方式，并能理解各种表达之间的差异。能够用日语正确地表达自己的思想、感情。</w:t>
            </w:r>
          </w:p>
          <w:p w14:paraId="486B7060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要求学生能够掌握各种表达方式，并加以辨析，理解其不同使用场合。</w:t>
            </w:r>
          </w:p>
          <w:p w14:paraId="2C98CD66">
            <w:pPr>
              <w:rPr>
                <w:rFonts w:hint="eastAsia"/>
                <w:color w:val="000000"/>
                <w:sz w:val="20"/>
                <w:szCs w:val="21"/>
              </w:rPr>
            </w:pPr>
          </w:p>
        </w:tc>
      </w:tr>
      <w:tr w14:paraId="04EF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62AF4C72">
            <w:pPr>
              <w:rPr>
                <w:rFonts w:hint="eastAsia"/>
                <w:bCs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4. 小说、随笔、散文、评论等各种文体篇章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77F61A47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掌握小说、随笔、散文、评论等不同文体的阅读方式，理解日语篇章所表达的写作思路及构思技巧。</w:t>
            </w:r>
          </w:p>
          <w:p w14:paraId="375AFC39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要求在理解单词和语法的意义的基础上还要理解文章的深层含义。</w:t>
            </w:r>
          </w:p>
          <w:p w14:paraId="7A14A447">
            <w:pPr>
              <w:rPr>
                <w:rFonts w:hint="eastAsia"/>
                <w:color w:val="000000"/>
                <w:sz w:val="20"/>
                <w:szCs w:val="21"/>
              </w:rPr>
            </w:pPr>
          </w:p>
        </w:tc>
      </w:tr>
      <w:tr w14:paraId="559A2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65220763">
            <w:pPr>
              <w:rPr>
                <w:rFonts w:hint="eastAsia"/>
                <w:bCs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5. 理解当代中国之美丽的祖国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65825F97">
            <w:pPr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学习习近平总书记关于生态文明建设的重要讲话，深刻认识加强生态文明建设的重大意义，以及加强生态文明建设必须坚持的原则。</w:t>
            </w:r>
          </w:p>
        </w:tc>
      </w:tr>
    </w:tbl>
    <w:p w14:paraId="73B011D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A4F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69AED98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099DC13">
            <w:pPr>
              <w:jc w:val="center"/>
              <w:rPr>
                <w:rFonts w:hint="eastAsia" w:asci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99CA869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shd w:val="clear" w:color="auto" w:fill="auto"/>
            <w:vAlign w:val="center"/>
          </w:tcPr>
          <w:p w14:paraId="59F58003">
            <w:pPr>
              <w:jc w:val="center"/>
              <w:rPr>
                <w:rFonts w:hint="eastAsia" w:asci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A3CD1F3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合计</w:t>
            </w:r>
          </w:p>
        </w:tc>
      </w:tr>
      <w:tr w14:paraId="4A51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shd w:val="clear" w:color="auto" w:fill="auto"/>
          </w:tcPr>
          <w:p w14:paraId="5ADCE06A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</w:tcPr>
          <w:p w14:paraId="669A29D5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  <w:shd w:val="clear" w:color="auto" w:fill="auto"/>
          </w:tcPr>
          <w:p w14:paraId="4343BCBA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18ABF813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1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858B5D7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2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E44B0C8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2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C3E9A8F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2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8BC38BE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3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7D98DDE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shd w:val="clear" w:color="auto" w:fill="auto"/>
          </w:tcPr>
          <w:p w14:paraId="40244402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</w:tr>
      <w:tr w14:paraId="52F4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B3FB72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C2245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F84ACF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笔试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1B5ACC0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52FB4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B7F4DA7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D2DE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DB2991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7A86E8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3A458E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14:paraId="63F5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D09000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0F071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8511D8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随堂测试+平时表现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C0A4970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1B0097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968971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C789ED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A736D1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92DA96F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7C9CE2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14:paraId="678E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0B489F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DDDE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C67584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随堂测试+平时表现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33B1DEB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9BA5DF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DB47347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EB71F64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23C2CCD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98F7669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FBE6DF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14:paraId="2505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D01927B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05D4F4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5%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6B815E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随堂测试+平时表现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F2D7CC9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F190F80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F746B3B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0428615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31EB0B1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B6D40B4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582164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</w:tbl>
    <w:p w14:paraId="6FBE4DBA">
      <w:pPr>
        <w:rPr>
          <w:rFonts w:hint="eastAsia" w:ascii="黑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9D7C3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465A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B465A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2B9F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4BF3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D304B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588E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6FBA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E4F95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57FC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7FF3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52FF7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3A09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85233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9A8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86993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F32A1B"/>
    <w:rsid w:val="10BD2C22"/>
    <w:rsid w:val="22987C80"/>
    <w:rsid w:val="24192CCC"/>
    <w:rsid w:val="343E5C42"/>
    <w:rsid w:val="39A66CD4"/>
    <w:rsid w:val="3CD52CE1"/>
    <w:rsid w:val="410F2E6A"/>
    <w:rsid w:val="4430136C"/>
    <w:rsid w:val="4AB0382B"/>
    <w:rsid w:val="569868B5"/>
    <w:rsid w:val="57AA51CB"/>
    <w:rsid w:val="611F6817"/>
    <w:rsid w:val="66CA1754"/>
    <w:rsid w:val="6F1E65D4"/>
    <w:rsid w:val="6F266C86"/>
    <w:rsid w:val="6F5042C2"/>
    <w:rsid w:val="715601E4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1530</Words>
  <Characters>1605</Characters>
  <Lines>25</Lines>
  <Paragraphs>7</Paragraphs>
  <TotalTime>4</TotalTime>
  <ScaleCrop>false</ScaleCrop>
  <LinksUpToDate>false</LinksUpToDate>
  <CharactersWithSpaces>1619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2025-02-23T02:34:00Z</dcterms:created>
  <dc:creator>juvg</dc:creator>
  <cp:lastModifiedBy>灵儿</cp:lastModifiedBy>
  <cp:lastPrinted>2023-11-21T00:52:00Z</cp:lastPrinted>
  <dcterms:modified xsi:type="dcterms:W3CDTF">2026-03-09T03:13:01Z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eyJoZGlkIjoiMjNkZGU1MjBmMzEwYzMzMzVmZmM4N2M0NTM3NDM3MzQiLCJ1c2VySWQiOiI0NDk3NDA2MTIifQ==</vt:lpwstr>
  </property>
  <property fmtid="{D5CDD505-2E9C-101B-9397-08002B2CF9AE}" pid="4" name="ICV">
    <vt:lpwstr>D2E75720DD694E899754282913BEBEB1_13</vt:lpwstr>
  </property>
</Properties>
</file>