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9436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142240</wp:posOffset>
                </wp:positionV>
                <wp:extent cx="2635250" cy="280670"/>
                <wp:effectExtent l="0" t="0" r="1270" b="8890"/>
                <wp:wrapNone/>
                <wp:docPr id="440709761" name="文本框 440709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00E885">
                            <w: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11.2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SvaUm&#10;1AAAAAgBAAAPAAAAAAAAAAEAIAAAACIAAABkcnMvZG93bnJldi54bWxQSwECFAAUAAAACACHTuJA&#10;c3xmxF4CAACt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00E885">
                      <w: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Cs/>
          <w:sz w:val="32"/>
          <w:szCs w:val="32"/>
        </w:rPr>
        <w:t>《德语文学作品选读》课程教学大纲</w:t>
      </w:r>
    </w:p>
    <w:p w14:paraId="1B935055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6"/>
        <w:gridCol w:w="2268"/>
        <w:gridCol w:w="1276"/>
        <w:gridCol w:w="851"/>
        <w:gridCol w:w="567"/>
        <w:gridCol w:w="850"/>
        <w:gridCol w:w="788"/>
      </w:tblGrid>
      <w:tr w14:paraId="0A36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6EF6F1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13A852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德语文学作品选读</w:t>
            </w:r>
          </w:p>
        </w:tc>
      </w:tr>
      <w:tr w14:paraId="0F6E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6" w:type="dxa"/>
            <w:vMerge w:val="continue"/>
            <w:tcBorders>
              <w:left w:val="single" w:color="auto" w:sz="12" w:space="0"/>
            </w:tcBorders>
            <w:vAlign w:val="center"/>
          </w:tcPr>
          <w:p w14:paraId="174F88BF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667D2847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Selected works of German Literature</w:t>
            </w:r>
          </w:p>
        </w:tc>
      </w:tr>
      <w:tr w14:paraId="5261D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68734DB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2C7E295">
            <w:pPr>
              <w:jc w:val="left"/>
              <w:rPr>
                <w:rFonts w:hint="default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</w:rPr>
              <w:t>2020564</w:t>
            </w:r>
          </w:p>
        </w:tc>
        <w:tc>
          <w:tcPr>
            <w:tcW w:w="2127" w:type="dxa"/>
            <w:gridSpan w:val="2"/>
            <w:vAlign w:val="center"/>
          </w:tcPr>
          <w:p w14:paraId="42905F7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7CD9812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14:paraId="2EBC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75C09298">
            <w:pPr>
              <w:jc w:val="center"/>
              <w:rPr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课程学时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6BAD1A0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2BE1689F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14:paraId="31EE184E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14E4F8EA">
            <w:pPr>
              <w:jc w:val="center"/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color="auto" w:sz="12" w:space="0"/>
            </w:tcBorders>
            <w:vAlign w:val="center"/>
          </w:tcPr>
          <w:p w14:paraId="683C95C3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E26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4F13F1C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开课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14:paraId="57640C1C">
            <w:pPr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外语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与国际教育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14:paraId="4F2D25A4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适用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  <w:t>专业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1075FCE8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德语专业三年级</w:t>
            </w:r>
          </w:p>
        </w:tc>
      </w:tr>
      <w:tr w14:paraId="10EF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43DC660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14:paraId="4C71F607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专业选修课</w:t>
            </w:r>
          </w:p>
        </w:tc>
        <w:tc>
          <w:tcPr>
            <w:tcW w:w="2127" w:type="dxa"/>
            <w:gridSpan w:val="2"/>
            <w:vAlign w:val="center"/>
          </w:tcPr>
          <w:p w14:paraId="0C75FBF3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color="auto" w:sz="12" w:space="0"/>
            </w:tcBorders>
            <w:vAlign w:val="center"/>
          </w:tcPr>
          <w:p w14:paraId="34945B2F">
            <w:pPr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查</w:t>
            </w:r>
          </w:p>
        </w:tc>
      </w:tr>
      <w:tr w14:paraId="792B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5C9F5ADB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0C5A466A">
            <w:pPr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《德语文学史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教程》</w:t>
            </w:r>
            <w:r>
              <w:rPr>
                <w:rFonts w:hint="eastAsia" w:cs="微软雅黑" w:asciiTheme="minorEastAsia" w:hAnsiTheme="minorEastAsia" w:eastAsiaTheme="minorEastAsia"/>
                <w:kern w:val="0"/>
                <w:sz w:val="21"/>
                <w:szCs w:val="21"/>
                <w:shd w:val="clear" w:color="auto" w:fill="FFFFFF"/>
              </w:rPr>
              <w:t>（上海外语教育出版社，卢铭君编著）</w:t>
            </w:r>
          </w:p>
        </w:tc>
      </w:tr>
      <w:tr w14:paraId="7BE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6330934E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07B90630">
            <w:pPr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高级德语1，2020415（6）</w:t>
            </w:r>
          </w:p>
        </w:tc>
      </w:tr>
      <w:tr w14:paraId="272C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37D461C8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color="auto" w:sz="12" w:space="0"/>
            </w:tcBorders>
            <w:vAlign w:val="center"/>
          </w:tcPr>
          <w:p w14:paraId="50888397">
            <w:pPr>
              <w:snapToGrid w:val="0"/>
              <w:spacing w:line="288" w:lineRule="auto"/>
              <w:ind w:firstLine="400" w:firstLineChars="200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kern w:val="0"/>
                <w:sz w:val="20"/>
                <w:szCs w:val="20"/>
                <w:shd w:val="clear" w:color="auto" w:fill="FFFFFF"/>
              </w:rPr>
              <w:t>《德语文学作品选读》是德语本科三年级的一门专业选修课程，旨在通过对德语文学经典作品的研读，培养学生对德语文学的鉴赏能力、批判性思维以及对德语语言的深入理解和运用能力。本课程将引导学生了解德语文学的发展脉络、主要流派和代表作家，使学生能够在阅读和分析文学作品的过程中，提高德语语言水平，拓宽文化视野，增强人文素养。</w:t>
            </w:r>
          </w:p>
        </w:tc>
      </w:tr>
      <w:tr w14:paraId="634A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531F30CD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21"/>
                <w:szCs w:val="18"/>
              </w:rPr>
              <w:t>选课建议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color="auto" w:sz="4" w:space="0"/>
              <w:right w:val="single" w:color="auto" w:sz="12" w:space="0"/>
            </w:tcBorders>
            <w:vAlign w:val="center"/>
          </w:tcPr>
          <w:p w14:paraId="7A54BA4F">
            <w:pPr>
              <w:snapToGrid w:val="0"/>
              <w:spacing w:line="288" w:lineRule="auto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kern w:val="0"/>
                <w:sz w:val="20"/>
                <w:szCs w:val="20"/>
                <w:shd w:val="clear" w:color="auto" w:fill="FFFFFF"/>
              </w:rPr>
              <w:t>本课程适合对德语文学有浓厚兴趣，具备一定的德语语言基础和阅读能力，愿意深入探索德语文化内涵的三年级德语专业学生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。建议学生先修高级德语1。</w:t>
            </w:r>
          </w:p>
        </w:tc>
      </w:tr>
      <w:tr w14:paraId="2F94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0BE9B209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color="auto" w:sz="4" w:space="0"/>
            </w:tcBorders>
            <w:vAlign w:val="center"/>
          </w:tcPr>
          <w:p w14:paraId="2E1E0E3B">
            <w:pP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kern w:val="0"/>
                <w:sz w:val="28"/>
                <w:szCs w:val="28"/>
              </w:rPr>
              <w:drawing>
                <wp:inline distT="0" distB="0" distL="0" distR="0">
                  <wp:extent cx="393700" cy="215900"/>
                  <wp:effectExtent l="0" t="0" r="2540" b="12700"/>
                  <wp:docPr id="1750513253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513253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 w14:paraId="73B02B42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制/修定日期</w:t>
            </w:r>
          </w:p>
        </w:tc>
        <w:tc>
          <w:tcPr>
            <w:tcW w:w="163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286ECB5">
            <w:pPr>
              <w:jc w:val="left"/>
              <w:rPr>
                <w:rFonts w:hint="eastAsia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FE9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</w:tcBorders>
            <w:vAlign w:val="center"/>
          </w:tcPr>
          <w:p w14:paraId="0E3A5EE7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14:paraId="10FF3C00">
            <w:pPr>
              <w:jc w:val="right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drawing>
                <wp:inline distT="0" distB="0" distL="0" distR="0">
                  <wp:extent cx="393700" cy="215900"/>
                  <wp:effectExtent l="0" t="0" r="2540" b="12700"/>
                  <wp:docPr id="2" name="图片 191" descr="eb0f587b305cd537af4bc2edfd1aa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91" descr="eb0f587b305cd537af4bc2edfd1aa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14:paraId="02F55067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审定日期</w:t>
            </w:r>
          </w:p>
        </w:tc>
        <w:tc>
          <w:tcPr>
            <w:tcW w:w="1638" w:type="dxa"/>
            <w:gridSpan w:val="2"/>
            <w:tcBorders>
              <w:right w:val="single" w:color="auto" w:sz="12" w:space="0"/>
            </w:tcBorders>
            <w:vAlign w:val="center"/>
          </w:tcPr>
          <w:p w14:paraId="50CA8BDF">
            <w:pPr>
              <w:pStyle w:val="7"/>
              <w:widowControl w:val="0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</w:tr>
      <w:tr w14:paraId="1094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7" w:hRule="atLeast"/>
        </w:trPr>
        <w:tc>
          <w:tcPr>
            <w:tcW w:w="16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300E53">
            <w:pPr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color="auto" w:sz="12" w:space="0"/>
            </w:tcBorders>
            <w:vAlign w:val="center"/>
          </w:tcPr>
          <w:p w14:paraId="29E0133A">
            <w:pPr>
              <w:jc w:val="right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drawing>
                <wp:inline distT="0" distB="0" distL="114300" distR="114300">
                  <wp:extent cx="712470" cy="406400"/>
                  <wp:effectExtent l="0" t="0" r="3810" b="5080"/>
                  <wp:docPr id="1" name="图片 1" descr="6d0393ebd7e2174ac6553ec99ba24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d0393ebd7e2174ac6553ec99ba241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 w14:paraId="1F31BD33"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01EC10">
            <w:pPr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1F644172">
      <w:pPr>
        <w:spacing w:line="100" w:lineRule="exact"/>
      </w:pPr>
    </w:p>
    <w:p w14:paraId="645688B2">
      <w:pPr>
        <w:spacing w:line="100" w:lineRule="exact"/>
      </w:pPr>
    </w:p>
    <w:p w14:paraId="38C52122">
      <w:pPr>
        <w:spacing w:line="100" w:lineRule="exact"/>
      </w:pPr>
    </w:p>
    <w:p w14:paraId="1E2494FE">
      <w:pPr>
        <w:spacing w:line="100" w:lineRule="exact"/>
      </w:pPr>
    </w:p>
    <w:p w14:paraId="59BF0B75">
      <w:pPr>
        <w:spacing w:line="100" w:lineRule="exact"/>
      </w:pPr>
    </w:p>
    <w:p w14:paraId="771706F7">
      <w:pPr>
        <w:spacing w:line="100" w:lineRule="exact"/>
      </w:pPr>
    </w:p>
    <w:p w14:paraId="5CD90339">
      <w:pPr>
        <w:spacing w:line="100" w:lineRule="exact"/>
      </w:pPr>
    </w:p>
    <w:p w14:paraId="52D8A213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083CD8C9">
      <w:pPr>
        <w:pStyle w:val="8"/>
        <w:spacing w:before="156" w:after="156"/>
      </w:pPr>
      <w:r>
        <w:rPr>
          <w:rFonts w:hint="eastAsia"/>
        </w:rPr>
        <w:t xml:space="preserve">（一）课程目标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058F4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5DC2DD8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073B37C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CC46324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内容</w:t>
            </w:r>
          </w:p>
        </w:tc>
      </w:tr>
      <w:tr w14:paraId="3B5C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25F052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C481F1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F2FEB37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了解德语文学的发展脉络、主要流派</w:t>
            </w:r>
            <w:r>
              <w:rPr>
                <w:rFonts w:hint="eastAsia" w:ascii="宋体" w:hAnsi="宋体" w:cs="Segoe UI"/>
                <w:shd w:val="clear" w:color="auto" w:fill="FFFFFF"/>
              </w:rPr>
              <w:t>、</w:t>
            </w:r>
            <w:r>
              <w:rPr>
                <w:rFonts w:hint="eastAsia" w:ascii="宋体" w:hAnsi="宋体" w:cs="微软雅黑"/>
                <w:shd w:val="clear" w:color="auto" w:fill="FFFFFF"/>
              </w:rPr>
              <w:t>代表作家</w:t>
            </w:r>
            <w:r>
              <w:rPr>
                <w:rFonts w:hint="eastAsia" w:ascii="宋体" w:hAnsi="宋体"/>
              </w:rPr>
              <w:t>以及经典德语文学名著</w:t>
            </w:r>
          </w:p>
        </w:tc>
      </w:tr>
      <w:tr w14:paraId="52BCF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C5D1EB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014C6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58109D7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熟悉德语文献，并具备文献文献阅读能力</w:t>
            </w:r>
          </w:p>
        </w:tc>
      </w:tr>
      <w:tr w14:paraId="485B4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42D49A17">
            <w:pPr>
              <w:pStyle w:val="7"/>
              <w:rPr>
                <w:rFonts w:hint="eastAsia" w:ascii="宋体" w:hAnsi="宋体"/>
              </w:rPr>
            </w:pPr>
          </w:p>
        </w:tc>
        <w:tc>
          <w:tcPr>
            <w:tcW w:w="764" w:type="dxa"/>
            <w:vAlign w:val="center"/>
          </w:tcPr>
          <w:p w14:paraId="69F6946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63EB81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/>
              </w:rPr>
              <w:t>具备文学细读能力，把握文本母题与主题，拥有提出问题和分析文本的思辨能力，</w:t>
            </w:r>
            <w:r>
              <w:rPr>
                <w:rFonts w:hint="eastAsia" w:ascii="宋体" w:hAnsi="宋体" w:cs="Times New Roman"/>
              </w:rPr>
              <w:t>能对文学作品中做出有</w:t>
            </w:r>
            <w:r>
              <w:rPr>
                <w:rFonts w:ascii="宋体" w:hAnsi="宋体" w:cs="Times New Roman"/>
              </w:rPr>
              <w:t>逻辑的分析与批判</w:t>
            </w:r>
            <w:r>
              <w:rPr>
                <w:rFonts w:hint="eastAsia" w:ascii="宋体" w:hAnsi="宋体" w:cs="Times New Roman"/>
              </w:rPr>
              <w:t>，有自己的独到看法</w:t>
            </w:r>
            <w:r>
              <w:rPr>
                <w:rFonts w:ascii="宋体" w:hAnsi="宋体" w:cs="Times New Roman"/>
              </w:rPr>
              <w:t>。</w:t>
            </w:r>
          </w:p>
        </w:tc>
      </w:tr>
      <w:tr w14:paraId="3DC93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5B8321D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Cs w:val="18"/>
              </w:rPr>
              <w:t>素养目标</w:t>
            </w:r>
          </w:p>
          <w:p w14:paraId="19E3A66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1AAA1F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8BC2250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引导学生思考文学与社会、历史、文化的关系，培养学生的历史观和社会责任感</w:t>
            </w:r>
            <w:r>
              <w:rPr>
                <w:rFonts w:hint="eastAsia" w:ascii="宋体" w:hAnsi="宋体" w:cs="Segoe UI"/>
                <w:shd w:val="clear" w:color="auto" w:fill="FFFFFF"/>
              </w:rPr>
              <w:t>；</w:t>
            </w:r>
            <w:r>
              <w:rPr>
                <w:rFonts w:hint="eastAsia" w:ascii="宋体" w:hAnsi="宋体" w:cs="微软雅黑"/>
                <w:shd w:val="clear" w:color="auto" w:fill="FFFFFF"/>
              </w:rPr>
              <w:t>通过分析文学作品中的人物形象和主题，引导学生树立正确的价值观和人生观</w:t>
            </w:r>
            <w:r>
              <w:rPr>
                <w:rFonts w:hint="eastAsia" w:ascii="宋体" w:hAnsi="宋体" w:cs="Segoe UI"/>
                <w:shd w:val="clear" w:color="auto" w:fill="FFFFFF"/>
              </w:rPr>
              <w:t>；增强学生</w:t>
            </w:r>
            <w:r>
              <w:rPr>
                <w:rFonts w:hint="eastAsia" w:ascii="宋体" w:hAnsi="宋体" w:cs="Times New Roman"/>
              </w:rPr>
              <w:t>对德语文字有更加细致地把握能力，感受文字来带的情感，丰富自身阅读体验，丰富生命体验。</w:t>
            </w:r>
          </w:p>
        </w:tc>
      </w:tr>
    </w:tbl>
    <w:p w14:paraId="1F4327A9">
      <w:pPr>
        <w:pStyle w:val="8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6E46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276" w:type="dxa"/>
          </w:tcPr>
          <w:p w14:paraId="34E671E6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LO1品德修养</w:t>
            </w:r>
            <w:r>
              <w:rPr>
                <w:bCs/>
                <w:kern w:val="0"/>
                <w:sz w:val="20"/>
              </w:rPr>
              <w:t>：拥护</w:t>
            </w:r>
            <w:r>
              <w:rPr>
                <w:rFonts w:hint="eastAsia"/>
                <w:bCs/>
                <w:kern w:val="0"/>
                <w:sz w:val="20"/>
              </w:rPr>
              <w:t>中国共产</w:t>
            </w:r>
            <w:r>
              <w:rPr>
                <w:bCs/>
                <w:kern w:val="0"/>
                <w:sz w:val="20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kern w:val="0"/>
                <w:sz w:val="20"/>
              </w:rPr>
              <w:t>“感恩、回报、爱心、责任”</w:t>
            </w:r>
            <w:r>
              <w:rPr>
                <w:bCs/>
                <w:kern w:val="0"/>
                <w:sz w:val="20"/>
              </w:rPr>
              <w:t>八字校训，积极服务他人、服务社会、诚信尽责、爱岗敬业。</w:t>
            </w:r>
          </w:p>
          <w:p w14:paraId="0FEB144F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①</w:t>
            </w:r>
            <w:r>
              <w:rPr>
                <w:bCs/>
                <w:kern w:val="0"/>
                <w:sz w:val="20"/>
              </w:rPr>
              <w:t>爱党爱国，坚决拥护党的领导，热爱祖国的大好河山、悠久历史、灿烂文化，自觉维护民族利益和国家尊严。</w:t>
            </w:r>
          </w:p>
          <w:p w14:paraId="4222A87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</w:p>
        </w:tc>
      </w:tr>
      <w:tr w14:paraId="5E3A5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5AB89DD0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LO2专业能力</w:t>
            </w:r>
            <w:r>
              <w:rPr>
                <w:bCs/>
                <w:kern w:val="0"/>
                <w:sz w:val="20"/>
              </w:rPr>
              <w:t>：具有人文科学素养，具备</w:t>
            </w:r>
            <w:r>
              <w:rPr>
                <w:rFonts w:hint="eastAsia"/>
                <w:bCs/>
                <w:kern w:val="0"/>
                <w:sz w:val="20"/>
              </w:rPr>
              <w:t>全面的德语语言综合能力及专业细分方向的各项技能</w:t>
            </w:r>
            <w:r>
              <w:rPr>
                <w:bCs/>
                <w:kern w:val="0"/>
                <w:sz w:val="20"/>
              </w:rPr>
              <w:t>。</w:t>
            </w:r>
          </w:p>
          <w:p w14:paraId="39B581C7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①</w:t>
            </w:r>
            <w:r>
              <w:rPr>
                <w:bCs/>
                <w:kern w:val="0"/>
                <w:sz w:val="20"/>
              </w:rPr>
              <w:t>具有</w:t>
            </w:r>
            <w:r>
              <w:rPr>
                <w:rFonts w:hint="eastAsia"/>
                <w:bCs/>
                <w:kern w:val="0"/>
                <w:sz w:val="20"/>
              </w:rPr>
              <w:t>德语</w:t>
            </w:r>
            <w:r>
              <w:rPr>
                <w:bCs/>
                <w:kern w:val="0"/>
                <w:sz w:val="20"/>
              </w:rPr>
              <w:t>专业所需的人文科学素养。</w:t>
            </w:r>
          </w:p>
          <w:p w14:paraId="256BEB5E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Cs/>
                <w:kern w:val="0"/>
                <w:sz w:val="20"/>
              </w:rPr>
              <w:t>③掌握德语语言学、文学等相关知识，具有文学鉴赏能力。</w:t>
            </w:r>
          </w:p>
          <w:p w14:paraId="5FEA9386">
            <w:pPr>
              <w:pStyle w:val="7"/>
              <w:widowControl w:val="0"/>
              <w:snapToGrid w:val="0"/>
              <w:jc w:val="left"/>
              <w:rPr>
                <w:rFonts w:hint="eastAsia" w:ascii="宋体" w:hAnsi="宋体"/>
                <w:sz w:val="20"/>
              </w:rPr>
            </w:pPr>
          </w:p>
        </w:tc>
      </w:tr>
      <w:tr w14:paraId="573CA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249AD459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b/>
                <w:kern w:val="0"/>
                <w:sz w:val="20"/>
              </w:rPr>
              <w:t>LO5健康发展</w:t>
            </w:r>
            <w:r>
              <w:rPr>
                <w:bCs/>
                <w:kern w:val="0"/>
                <w:sz w:val="20"/>
              </w:rPr>
              <w:t>：懂得审美、热爱劳动、为人热忱、身心健康、耐挫折，具有可持续发展的能力。</w:t>
            </w:r>
          </w:p>
          <w:p w14:paraId="168EE001">
            <w:pPr>
              <w:pStyle w:val="9"/>
              <w:numPr>
                <w:ilvl w:val="0"/>
                <w:numId w:val="1"/>
              </w:numPr>
              <w:tabs>
                <w:tab w:val="left" w:pos="4200"/>
              </w:tabs>
              <w:spacing w:line="440" w:lineRule="exact"/>
              <w:ind w:firstLineChars="0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t>懂得审美，有发现美、感受美、鉴赏美、评价美、创造美的能力。</w:t>
            </w:r>
          </w:p>
        </w:tc>
      </w:tr>
      <w:tr w14:paraId="7CDB9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6" w:type="dxa"/>
          </w:tcPr>
          <w:p w14:paraId="19186E6B">
            <w:pPr>
              <w:tabs>
                <w:tab w:val="left" w:pos="4200"/>
              </w:tabs>
              <w:spacing w:line="440" w:lineRule="exact"/>
              <w:rPr>
                <w:bCs/>
                <w:kern w:val="0"/>
                <w:sz w:val="20"/>
              </w:rPr>
            </w:pPr>
            <w:r>
              <w:rPr>
                <w:rFonts w:hint="eastAsia"/>
                <w:b/>
                <w:kern w:val="0"/>
                <w:sz w:val="20"/>
              </w:rPr>
              <w:t>LO6协同创新:</w:t>
            </w:r>
            <w:r>
              <w:rPr>
                <w:rFonts w:hint="eastAsia"/>
                <w:bCs/>
                <w:kern w:val="0"/>
                <w:sz w:val="20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51F92B5B">
            <w:pPr>
              <w:tabs>
                <w:tab w:val="left" w:pos="4200"/>
              </w:tabs>
              <w:spacing w:line="440" w:lineRule="exact"/>
              <w:rPr>
                <w:b/>
                <w:kern w:val="0"/>
                <w:sz w:val="20"/>
              </w:rPr>
            </w:pPr>
            <w:r>
              <w:rPr>
                <w:bCs/>
                <w:kern w:val="0"/>
                <w:sz w:val="20"/>
              </w:rPr>
              <w:fldChar w:fldCharType="begin"/>
            </w:r>
            <w:r>
              <w:rPr>
                <w:bCs/>
                <w:kern w:val="0"/>
                <w:sz w:val="20"/>
              </w:rPr>
              <w:instrText xml:space="preserve"> </w:instrText>
            </w:r>
            <w:r>
              <w:rPr>
                <w:rFonts w:hint="eastAsia"/>
                <w:bCs/>
                <w:kern w:val="0"/>
                <w:sz w:val="20"/>
              </w:rPr>
              <w:instrText xml:space="preserve">eq \o\ac(</w:instrText>
            </w:r>
            <w:r>
              <w:rPr>
                <w:rFonts w:hint="eastAsia" w:ascii="宋体"/>
                <w:bCs/>
                <w:kern w:val="0"/>
                <w:position w:val="-4"/>
                <w:sz w:val="30"/>
              </w:rPr>
              <w:instrText xml:space="preserve">○</w:instrText>
            </w:r>
            <w:r>
              <w:rPr>
                <w:rFonts w:hint="eastAsia"/>
                <w:bCs/>
                <w:kern w:val="0"/>
                <w:sz w:val="20"/>
              </w:rPr>
              <w:instrText xml:space="preserve">,2)</w:instrText>
            </w:r>
            <w:r>
              <w:rPr>
                <w:bCs/>
                <w:kern w:val="0"/>
                <w:sz w:val="20"/>
              </w:rPr>
              <w:fldChar w:fldCharType="end"/>
            </w:r>
            <w:r>
              <w:rPr>
                <w:rFonts w:hint="eastAsia"/>
                <w:bCs/>
                <w:kern w:val="0"/>
                <w:sz w:val="20"/>
              </w:rPr>
              <w:t>协同创新:有质疑精神，能有逻辑的分析与批判。</w:t>
            </w:r>
          </w:p>
        </w:tc>
      </w:tr>
    </w:tbl>
    <w:p w14:paraId="294FB3F1">
      <w:pPr>
        <w:pStyle w:val="8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F98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9E2AE4F">
            <w:pPr>
              <w:pStyle w:val="10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E52EA75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2623F17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262CEF64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52FFE4">
            <w:pPr>
              <w:pStyle w:val="10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5A16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E7B373B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B98409F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09F34522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096A856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引导学生思考文学与社会、历史、文化的关系，培养学生的历史观和社会责任感</w:t>
            </w:r>
            <w:r>
              <w:rPr>
                <w:rFonts w:hint="eastAsia" w:ascii="宋体" w:hAnsi="宋体" w:cs="Segoe UI"/>
                <w:shd w:val="clear" w:color="auto" w:fill="FFFFFF"/>
              </w:rPr>
              <w:t>；</w:t>
            </w:r>
            <w:r>
              <w:rPr>
                <w:rFonts w:hint="eastAsia" w:ascii="宋体" w:hAnsi="宋体" w:cs="微软雅黑"/>
                <w:shd w:val="clear" w:color="auto" w:fill="FFFFFF"/>
              </w:rPr>
              <w:t>通过分析文学作品中的人物形象和主题，引导学生树立正确的价值观和人生观</w:t>
            </w:r>
            <w:r>
              <w:rPr>
                <w:rFonts w:hint="eastAsia" w:ascii="宋体" w:hAnsi="宋体" w:cs="Segoe UI"/>
                <w:shd w:val="clear" w:color="auto" w:fill="FFFFFF"/>
              </w:rPr>
              <w:t>；增强学生</w:t>
            </w:r>
            <w:r>
              <w:rPr>
                <w:rFonts w:hint="eastAsia" w:ascii="宋体" w:hAnsi="宋体" w:cs="Times New Roman"/>
              </w:rPr>
              <w:t>对德语文字有更加细致地把握能力，感受文字来带的情感，丰富自身阅读体验，丰富生命体验。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720C5AF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61C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7608751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B826BF5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69333936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2FD46A96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微软雅黑"/>
                <w:shd w:val="clear" w:color="auto" w:fill="FFFFFF"/>
              </w:rPr>
              <w:t>了解德语文学的发展脉络、主要流派</w:t>
            </w:r>
            <w:r>
              <w:rPr>
                <w:rFonts w:hint="eastAsia" w:ascii="宋体" w:hAnsi="宋体" w:cs="Segoe UI"/>
                <w:shd w:val="clear" w:color="auto" w:fill="FFFFFF"/>
              </w:rPr>
              <w:t>、</w:t>
            </w:r>
            <w:r>
              <w:rPr>
                <w:rFonts w:hint="eastAsia" w:ascii="宋体" w:hAnsi="宋体" w:cs="微软雅黑"/>
                <w:shd w:val="clear" w:color="auto" w:fill="FFFFFF"/>
              </w:rPr>
              <w:t>代表作家</w:t>
            </w:r>
            <w:r>
              <w:rPr>
                <w:rFonts w:hint="eastAsia" w:ascii="宋体" w:hAnsi="宋体"/>
              </w:rPr>
              <w:t>以及经典德语文学名著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004C199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38C3D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888613">
            <w:pPr>
              <w:pStyle w:val="7"/>
              <w:jc w:val="both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380BE7F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5F45B0AC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14:paraId="5C4B490D">
            <w:pPr>
              <w:pStyle w:val="7"/>
              <w:jc w:val="both"/>
              <w:rPr>
                <w:rFonts w:hint="eastAsia" w:ascii="宋体" w:hAnsi="宋体" w:cs="Times New Roman"/>
                <w:bCs/>
              </w:rPr>
            </w:pPr>
            <w:r>
              <w:rPr>
                <w:rFonts w:hint="eastAsia" w:ascii="宋体" w:hAnsi="宋体"/>
              </w:rPr>
              <w:t>具备文学细读能力，把握文本母题与主题，拥有提出问题和分析文本的思辨能力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3599A8C0">
            <w:pPr>
              <w:pStyle w:val="7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50%</w:t>
            </w:r>
          </w:p>
        </w:tc>
      </w:tr>
      <w:tr w14:paraId="3A5E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1090B6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95065E3">
            <w:pPr>
              <w:pStyle w:val="7"/>
              <w:rPr>
                <w:rFonts w:ascii="Cambria Math" w:hAnsi="Cambria Math" w:cs="Cambria Math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1B427C87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16F33D2D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熟悉德语文献，并具备文献文献阅读能力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835C32D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624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6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C38363">
            <w:pPr>
              <w:pStyle w:val="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10A260B">
            <w:pPr>
              <w:pStyle w:val="7"/>
              <w:rPr>
                <w:bCs/>
              </w:rPr>
            </w:pP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</w:instrText>
            </w:r>
            <w:r>
              <w:rPr>
                <w:rFonts w:hint="eastAsia"/>
                <w:bCs/>
                <w:sz w:val="22"/>
                <w:szCs w:val="22"/>
              </w:rPr>
              <w:instrText xml:space="preserve">eq \o\ac(○,2)</w:instrText>
            </w:r>
            <w:r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tcBorders>
              <w:right w:val="double" w:color="auto" w:sz="4" w:space="0"/>
            </w:tcBorders>
            <w:vAlign w:val="center"/>
          </w:tcPr>
          <w:p w14:paraId="03D15B80"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2B7C87AB">
            <w:pPr>
              <w:pStyle w:val="7"/>
              <w:jc w:val="left"/>
              <w:rPr>
                <w:rFonts w:hint="eastAsia" w:ascii="宋体" w:hAnsi="宋体" w:cs="Times New Roman"/>
              </w:rPr>
            </w:pPr>
            <w:r>
              <w:rPr>
                <w:rFonts w:ascii="宋体" w:hAnsi="宋体" w:cs="Times New Roman"/>
              </w:rPr>
              <w:t>有</w:t>
            </w:r>
            <w:r>
              <w:rPr>
                <w:rFonts w:hint="eastAsia" w:ascii="宋体" w:hAnsi="宋体" w:cs="Times New Roman"/>
              </w:rPr>
              <w:t>思辨能力</w:t>
            </w:r>
            <w:r>
              <w:rPr>
                <w:rFonts w:ascii="宋体" w:hAnsi="宋体" w:cs="Times New Roman"/>
              </w:rPr>
              <w:t>，</w:t>
            </w:r>
            <w:r>
              <w:rPr>
                <w:rFonts w:hint="eastAsia" w:ascii="宋体" w:hAnsi="宋体" w:cs="Times New Roman"/>
              </w:rPr>
              <w:t>能对文学作品中做出有</w:t>
            </w:r>
            <w:r>
              <w:rPr>
                <w:rFonts w:ascii="宋体" w:hAnsi="宋体" w:cs="Times New Roman"/>
              </w:rPr>
              <w:t>逻辑的分析与批判</w:t>
            </w:r>
            <w:r>
              <w:rPr>
                <w:rFonts w:hint="eastAsia" w:ascii="宋体" w:hAnsi="宋体" w:cs="Times New Roman"/>
              </w:rPr>
              <w:t>，有自己的独到看法</w:t>
            </w:r>
            <w:r>
              <w:rPr>
                <w:rFonts w:ascii="宋体" w:hAnsi="宋体" w:cs="Times New Roma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2EFCF78">
            <w:pPr>
              <w:pStyle w:val="7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70BBB0E3">
      <w:pPr>
        <w:pStyle w:val="6"/>
        <w:spacing w:before="312" w:beforeLines="100" w:line="360" w:lineRule="auto"/>
        <w:rPr>
          <w:rFonts w:hint="eastAsia" w:ascii="黑体" w:hAnsi="宋体"/>
        </w:rPr>
      </w:pPr>
    </w:p>
    <w:p w14:paraId="233BCC8F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EBC549">
      <w:pPr>
        <w:pStyle w:val="8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7D581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CD9596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第一单元</w:t>
            </w:r>
          </w:p>
          <w:p w14:paraId="7A20772E">
            <w:pPr>
              <w:pStyle w:val="7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 w:cs="Times New Roman"/>
                <w:sz w:val="20"/>
              </w:rPr>
              <w:t>知识点：德语文学的定义、范畴和重要性。德语</w:t>
            </w:r>
            <w:r>
              <w:rPr>
                <w:rFonts w:hint="eastAsia"/>
                <w:sz w:val="20"/>
                <w:szCs w:val="20"/>
              </w:rPr>
              <w:t>文学概念G</w:t>
            </w:r>
            <w:r>
              <w:rPr>
                <w:sz w:val="20"/>
                <w:szCs w:val="20"/>
              </w:rPr>
              <w:t>attun</w:t>
            </w:r>
            <w:r>
              <w:rPr>
                <w:rFonts w:hint="eastAsia"/>
                <w:sz w:val="20"/>
                <w:szCs w:val="20"/>
              </w:rPr>
              <w:t>g，</w:t>
            </w:r>
            <w:r>
              <w:rPr>
                <w:rFonts w:cs="Times New Roman"/>
                <w:sz w:val="21"/>
              </w:rPr>
              <w:t>Minnesang</w:t>
            </w:r>
            <w:r>
              <w:rPr>
                <w:rFonts w:hint="eastAsia"/>
                <w:sz w:val="20"/>
                <w:szCs w:val="20"/>
              </w:rPr>
              <w:t>；德语文学的历史分期和特点；</w:t>
            </w:r>
            <w:r>
              <w:rPr>
                <w:rFonts w:hint="eastAsia"/>
                <w:sz w:val="21"/>
              </w:rPr>
              <w:t>概述：</w:t>
            </w:r>
            <w:r>
              <w:rPr>
                <w:rFonts w:hint="eastAsia"/>
                <w:sz w:val="20"/>
                <w:szCs w:val="20"/>
              </w:rPr>
              <w:t>引入</w:t>
            </w:r>
            <w:r>
              <w:rPr>
                <w:rFonts w:hint="eastAsia"/>
                <w:sz w:val="21"/>
              </w:rPr>
              <w:t>中世纪西方社会、文化和宗教背景，中世纪德语文学形式（英雄史诗、骑士文学、宗教文学）与代表作家以及代表作品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 w:cs="Times New Roman"/>
                <w:sz w:val="21"/>
              </w:rPr>
              <w:t>文艺复兴时期的时代思潮和历史背景、人文主义思想的兴起对文学主题的影响，代表作家以及代表作品。</w:t>
            </w:r>
          </w:p>
          <w:p w14:paraId="76D83609">
            <w:pPr>
              <w:pStyle w:val="7"/>
              <w:widowControl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能力要求：了解文学的重要性，德语文学的体裁，理解历史文化背景与文学表现形式的关联。</w:t>
            </w:r>
          </w:p>
          <w:p w14:paraId="1E3F1F1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</w:t>
            </w:r>
            <w:r>
              <w:rPr>
                <w:rFonts w:cs="Times New Roman"/>
                <w:sz w:val="20"/>
              </w:rPr>
              <w:t>难点</w:t>
            </w:r>
            <w:r>
              <w:rPr>
                <w:rFonts w:hint="eastAsia" w:cs="Times New Roman"/>
                <w:sz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文学的功能，历史、文化、社会与文学的关联，</w:t>
            </w:r>
            <w:r>
              <w:rPr>
                <w:rFonts w:hint="eastAsia"/>
                <w:sz w:val="21"/>
              </w:rPr>
              <w:t>了解中世纪德语和文艺复兴时期文学作品的特点和文学主题</w:t>
            </w:r>
          </w:p>
        </w:tc>
      </w:tr>
      <w:tr w14:paraId="208D3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5E78DD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第二单元 </w:t>
            </w:r>
          </w:p>
          <w:p w14:paraId="154213FE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知识点：三大</w:t>
            </w:r>
            <w:r>
              <w:rPr>
                <w:kern w:val="0"/>
                <w:sz w:val="21"/>
                <w:szCs w:val="21"/>
              </w:rPr>
              <w:t>Gattung</w:t>
            </w:r>
            <w:r>
              <w:rPr>
                <w:rFonts w:hint="eastAsia"/>
                <w:kern w:val="0"/>
                <w:sz w:val="21"/>
                <w:szCs w:val="21"/>
              </w:rPr>
              <w:t>概念：</w:t>
            </w:r>
            <w:r>
              <w:rPr>
                <w:kern w:val="0"/>
                <w:sz w:val="21"/>
                <w:szCs w:val="21"/>
              </w:rPr>
              <w:t>Epik,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Lyrik,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Dramatik</w:t>
            </w:r>
            <w:r>
              <w:rPr>
                <w:rFonts w:hint="eastAsia"/>
                <w:kern w:val="0"/>
                <w:sz w:val="21"/>
                <w:szCs w:val="21"/>
              </w:rPr>
              <w:t>。概述：巴洛克时期历史文化背景，文学时期主要特点、文学表现形式、代表作家和代表作品。选读一首十四行诗选段、流浪汉小说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《痴儿历险记》</w:t>
            </w:r>
            <w:r>
              <w:rPr>
                <w:rFonts w:hint="eastAsia" w:cs="宋体"/>
                <w:kern w:val="0"/>
                <w:sz w:val="21"/>
                <w:szCs w:val="21"/>
              </w:rPr>
              <w:t>开篇段落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  <w:p w14:paraId="1A592118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能力要求：能看懂选读作品，阐释诗歌片段和小说开头段落（</w:t>
            </w:r>
            <w:r>
              <w:rPr>
                <w:kern w:val="0"/>
                <w:sz w:val="21"/>
                <w:szCs w:val="21"/>
              </w:rPr>
              <w:t>Anfang des literarischen Textes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kern w:val="0"/>
                <w:sz w:val="21"/>
                <w:szCs w:val="21"/>
              </w:rPr>
              <w:t>。</w:t>
            </w:r>
          </w:p>
          <w:p w14:paraId="5A179F8F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教学难点：从格律、主题、叙事视角、历史和文化等角度分析选读作品片段。</w:t>
            </w:r>
          </w:p>
        </w:tc>
      </w:tr>
      <w:tr w14:paraId="3988F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79A27B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第三单元 </w:t>
            </w:r>
          </w:p>
          <w:p w14:paraId="706CE625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知识点：引入概念</w:t>
            </w:r>
            <w:r>
              <w:rPr>
                <w:kern w:val="0"/>
                <w:sz w:val="21"/>
                <w:szCs w:val="21"/>
              </w:rPr>
              <w:t>Aufkl</w:t>
            </w:r>
            <w:r>
              <w:rPr>
                <w:kern w:val="0"/>
                <w:sz w:val="21"/>
                <w:szCs w:val="21"/>
                <w:lang w:val="de-DE"/>
              </w:rPr>
              <w:t>ärung,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kern w:val="0"/>
                <w:sz w:val="21"/>
                <w:szCs w:val="21"/>
              </w:rPr>
              <w:t>Roman，Fabel</w:t>
            </w:r>
            <w:r>
              <w:rPr>
                <w:rFonts w:hint="eastAsia"/>
                <w:kern w:val="0"/>
                <w:sz w:val="21"/>
                <w:szCs w:val="21"/>
              </w:rPr>
              <w:t>。概述：启蒙运动时期历史背景和思潮，德语文学特点，重要文学主题，代表作家和作品，选读一篇寓言故事。</w:t>
            </w:r>
          </w:p>
          <w:p w14:paraId="213E0ECF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能力要求：掌握Epik,Lyrik,Dramatik题材的特点，能判断选读作品所属题材，能读懂作品和阐释作品。</w:t>
            </w:r>
          </w:p>
          <w:p w14:paraId="5160127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教学难点：能结合文学时期的思潮阐释一篇寓言故事。</w:t>
            </w:r>
          </w:p>
        </w:tc>
      </w:tr>
      <w:tr w14:paraId="0A674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39C2DA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第</w:t>
            </w:r>
            <w:r>
              <w:rPr>
                <w:rFonts w:hint="eastAsia" w:cs="Times New Roman"/>
                <w:sz w:val="20"/>
              </w:rPr>
              <w:t>四</w:t>
            </w:r>
            <w:r>
              <w:rPr>
                <w:rFonts w:cs="Times New Roman"/>
                <w:sz w:val="20"/>
              </w:rPr>
              <w:t>单元</w:t>
            </w:r>
            <w:r>
              <w:rPr>
                <w:rFonts w:hint="eastAsia" w:cs="Times New Roman"/>
                <w:sz w:val="20"/>
              </w:rPr>
              <w:t xml:space="preserve"> </w:t>
            </w:r>
          </w:p>
          <w:p w14:paraId="1B3FC766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知识点：狂飙突进历史背景，天才（</w:t>
            </w:r>
            <w:r>
              <w:rPr>
                <w:kern w:val="0"/>
                <w:sz w:val="21"/>
                <w:szCs w:val="21"/>
              </w:rPr>
              <w:t>Genie</w:t>
            </w:r>
            <w:r>
              <w:rPr>
                <w:rFonts w:hint="eastAsia"/>
                <w:kern w:val="0"/>
                <w:sz w:val="21"/>
                <w:szCs w:val="21"/>
              </w:rPr>
              <w:t>）概念，文学表现形式、文学主题、代表作家和代表作品，歌德小说《少年维特的烦恼》片段选读。</w:t>
            </w:r>
          </w:p>
          <w:p w14:paraId="47974C5E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能力要求：掌握狂飙突进时期文学作品特点、代表作家以及作品，能读懂和阐释文学选段。</w:t>
            </w:r>
          </w:p>
          <w:p w14:paraId="78D8FB5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教学难点：理解并阐释德语文学作品反映的主题。</w:t>
            </w:r>
          </w:p>
        </w:tc>
      </w:tr>
      <w:tr w14:paraId="2888A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21A457F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 xml:space="preserve">第五单元 </w:t>
            </w:r>
          </w:p>
          <w:p w14:paraId="50C9A10A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知识点：引入</w:t>
            </w:r>
            <w:r>
              <w:rPr>
                <w:kern w:val="0"/>
                <w:sz w:val="21"/>
                <w:szCs w:val="21"/>
              </w:rPr>
              <w:t>Klassik</w:t>
            </w:r>
            <w:r>
              <w:rPr>
                <w:rFonts w:hint="eastAsia"/>
                <w:kern w:val="0"/>
                <w:sz w:val="21"/>
                <w:szCs w:val="21"/>
              </w:rPr>
              <w:t>概念，魏玛古典文学历史背景，文学形式，文学主题，代表作家和代表作品，选读歌德诗歌《漫游者的夜歌》。</w:t>
            </w:r>
          </w:p>
          <w:p w14:paraId="549664FB">
            <w:pPr>
              <w:snapToGrid w:val="0"/>
              <w:spacing w:line="288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能力要求：掌握魏玛古典时期文学形式以及特点，熟悉文学主题，能理解并阐释诗篇。</w:t>
            </w:r>
          </w:p>
          <w:p w14:paraId="14DCBA7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</w:t>
            </w:r>
            <w:r>
              <w:rPr>
                <w:rFonts w:hint="eastAsia" w:cs="Times New Roman"/>
                <w:sz w:val="21"/>
              </w:rPr>
              <w:t>界定Klassik概念，解释古典的目光、意大利作为古典典范、康德哲学、席勒的审美教育思想</w:t>
            </w:r>
          </w:p>
        </w:tc>
      </w:tr>
      <w:tr w14:paraId="7DE49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1000D5C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第六单元</w:t>
            </w:r>
          </w:p>
          <w:p w14:paraId="7D7A989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知识点：引入Romantik概念，浪漫主义历史背景和文学思潮，文学形式，文学主题，代表作家和代表作品，选读艾兴多夫诗歌“Mondnacht”和蒂克诗歌</w:t>
            </w:r>
            <w:r>
              <w:rPr>
                <w:rFonts w:hint="eastAsia" w:cs="Times New Roman"/>
                <w:color w:val="111111"/>
                <w:sz w:val="21"/>
                <w:shd w:val="clear" w:color="auto" w:fill="FFFFFF"/>
              </w:rPr>
              <w:t>“</w:t>
            </w:r>
            <w:r>
              <w:rPr>
                <w:rFonts w:eastAsia="Helvetica" w:cs="Times New Roman"/>
                <w:color w:val="111111"/>
                <w:sz w:val="21"/>
                <w:shd w:val="clear" w:color="auto" w:fill="FFFFFF"/>
              </w:rPr>
              <w:t>Waldeinsamkeit</w:t>
            </w:r>
            <w:r>
              <w:rPr>
                <w:rFonts w:hint="eastAsia" w:cs="Times New Roman"/>
                <w:color w:val="111111"/>
                <w:sz w:val="21"/>
                <w:shd w:val="clear" w:color="auto" w:fill="FFFFFF"/>
              </w:rPr>
              <w:t>”</w:t>
            </w:r>
            <w:r>
              <w:rPr>
                <w:rFonts w:eastAsia="Helvetica" w:cs="Times New Roman"/>
                <w:color w:val="111111"/>
                <w:sz w:val="21"/>
                <w:shd w:val="clear" w:color="auto" w:fill="FFFFFF"/>
              </w:rPr>
              <w:t xml:space="preserve"> </w:t>
            </w:r>
          </w:p>
          <w:p w14:paraId="0AE6A94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能力要求：掌握浪漫主义文学思潮主要特点、文学主题和代表作家，能读懂和阐释选读诗篇。</w:t>
            </w:r>
          </w:p>
          <w:p w14:paraId="566658E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教学难点：浪漫主义与启蒙运动的关系，浪漫主义文学与浪漫派哲学思想的关联</w:t>
            </w:r>
          </w:p>
        </w:tc>
      </w:tr>
      <w:tr w14:paraId="14CB8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AC6DD3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第七单元</w:t>
            </w:r>
          </w:p>
          <w:p w14:paraId="51C5A19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知识点：比德迈耶与青年德意志的历史背景，文学思潮特点、代表文学形式、代表作家和作品，选读海涅诗歌《罗蕾莱》。</w:t>
            </w:r>
          </w:p>
          <w:p w14:paraId="317A82E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能力要求：了解比德迈耶与青年德意志文学特点以及代表文学形式和代表作家，能理解和阐释选读诗篇。</w:t>
            </w:r>
          </w:p>
          <w:p w14:paraId="6562D40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教学难点：比德迈耶与青年德意志的历史背景，比德迈耶与青年德意志文学作品与政治的关联</w:t>
            </w:r>
          </w:p>
        </w:tc>
      </w:tr>
      <w:tr w14:paraId="6E5D5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5A431A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第八单元</w:t>
            </w:r>
          </w:p>
          <w:p w14:paraId="0A648AB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知识点：诗意现实主义的历史和文化背景，文学思潮特点、代表文学形式、代表作家和作品，选读Gottfried Keller小说《绿衣亨利》片段。</w:t>
            </w:r>
          </w:p>
          <w:p w14:paraId="632DFD5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能力要求：掌握诗意现实主义的历史文化背景，文学思潮特点、代表文学形式、代表作家和作品，能理解和阐释选读小说片段。</w:t>
            </w:r>
          </w:p>
          <w:p w14:paraId="7124EFE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教学难点：诗意现实主义主义的历史背景，这一时期文学主题与学科发展的关联</w:t>
            </w:r>
          </w:p>
        </w:tc>
      </w:tr>
      <w:tr w14:paraId="305F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FD82C3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第九单元</w:t>
            </w:r>
          </w:p>
          <w:p w14:paraId="6B40D50D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知识点：自然主义的历史和文化背景，文学思潮特点、代表文学形式、代表作家和作品，选读戏剧“Sonnenaufgang”中节选的对话片段。</w:t>
            </w:r>
          </w:p>
          <w:p w14:paraId="12432E91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能力要求：掌握自然主义的历史和文化背景，文学思潮特点、代表文学形式、代表作家和作品，能理解和阐释选读戏剧作品片段。</w:t>
            </w:r>
          </w:p>
          <w:p w14:paraId="6ED1BE3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教学难点：自然主义的历史和文化背景，自然主义文学与社会和学科发展的关联</w:t>
            </w:r>
          </w:p>
        </w:tc>
      </w:tr>
      <w:tr w14:paraId="55514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2081639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第十单元</w:t>
            </w:r>
          </w:p>
          <w:p w14:paraId="652B393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知识点：引入Symbolismus等概念，概述世纪之交的历史和文化背景，现代主义文学思潮特点、代表文学形式、代表作家和作品，选读Arthur Schnitzler小说Lieutenant Gustl (1900)的开篇。</w:t>
            </w:r>
          </w:p>
          <w:p w14:paraId="733E145A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能力要求：了解世纪之交的历史和文化背景，现代主义文学思潮特点、代表文学形式、代表作家和作品，能理解和阐释小说选篇。</w:t>
            </w:r>
          </w:p>
          <w:p w14:paraId="5E2A989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教学难点：世纪之交的历史和文化背景，现代主义文学的特点</w:t>
            </w:r>
          </w:p>
        </w:tc>
      </w:tr>
      <w:tr w14:paraId="650C5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022AB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第十一单元</w:t>
            </w:r>
          </w:p>
          <w:p w14:paraId="432A23CF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知识点：引入表现主义和达达主义概念，两种文学思潮的特点、代表文学形式、代表作家和作品，选读Jakob van Hoddis诗作“Weltende”</w:t>
            </w:r>
          </w:p>
          <w:p w14:paraId="0D6803E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能力要求：掌握表现主义和达达主义概念，两种文学思潮的特点、代表文学形式、代表作家和作品，能理解和阐释选读诗篇。</w:t>
            </w:r>
          </w:p>
          <w:p w14:paraId="30D7227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教学难点：表现主义和达达主义概念及其文学表现形式和特点、文学主题，文学与现代人生活的关联</w:t>
            </w:r>
          </w:p>
        </w:tc>
      </w:tr>
      <w:tr w14:paraId="7FAC7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927ED7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第十二单元</w:t>
            </w:r>
          </w:p>
          <w:p w14:paraId="7DB5AF05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知识点：二战时期的德国历史，流亡文学与内心流亡文学的特点、代表文学形式、代表作家和作品，选读Paul Celan的诗歌Todesfuge (1948)。</w:t>
            </w:r>
          </w:p>
          <w:p w14:paraId="3FE96F57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能力要求：掌握流亡文学与内心流亡文学概念，代表文学形式、代表作家和作品，能理解和阐释选读的诗歌。</w:t>
            </w:r>
          </w:p>
          <w:p w14:paraId="490A3064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教学难点：区分流亡与内心流亡概念，战争和政治意识形态对文学主题以及表现形式的影响</w:t>
            </w:r>
          </w:p>
        </w:tc>
      </w:tr>
      <w:tr w14:paraId="1D13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D585A56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第十三单元</w:t>
            </w:r>
          </w:p>
          <w:p w14:paraId="1064632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知识点：引入废墟文学概念，概述二战结束后的（1950年代）历史、文化和政治背景，代表文学形式、代表作家和作品，选读</w:t>
            </w:r>
            <w:r>
              <w:rPr>
                <w:rFonts w:cs="Times New Roman"/>
                <w:sz w:val="20"/>
                <w:lang w:val="de-DE"/>
              </w:rPr>
              <w:t>Günter Eich</w:t>
            </w:r>
            <w:r>
              <w:rPr>
                <w:rFonts w:hint="eastAsia" w:cs="Times New Roman"/>
                <w:sz w:val="20"/>
              </w:rPr>
              <w:t>的诗歌</w:t>
            </w:r>
            <w:r>
              <w:rPr>
                <w:rFonts w:cs="Times New Roman"/>
                <w:sz w:val="20"/>
                <w:lang w:val="de-DE"/>
              </w:rPr>
              <w:t>Inventur</w:t>
            </w:r>
            <w:r>
              <w:rPr>
                <w:rFonts w:hint="eastAsia" w:cs="Times New Roman"/>
                <w:sz w:val="20"/>
                <w:lang w:val="de-DE"/>
              </w:rPr>
              <w:t>。</w:t>
            </w:r>
          </w:p>
          <w:p w14:paraId="4302ABB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能力要求：掌握废墟文学概念，掌握二战结束至两德并立初期代表文学形式、代表作家和作品，能理解和阐释选读的诗歌。</w:t>
            </w:r>
          </w:p>
          <w:p w14:paraId="1B6FF9EC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教学难点：废墟文学概念，战后历史背景，战争创伤对文学表现形式和文学主题的影响</w:t>
            </w:r>
          </w:p>
        </w:tc>
      </w:tr>
      <w:tr w14:paraId="25A8D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96FA092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第十四单元</w:t>
            </w:r>
          </w:p>
          <w:p w14:paraId="63C68E1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知识点：1960年代至两德统一时的历史背景，文化学和文学学关键词：新主体性、女性文学、后现代文学，代表文学形式、代表作家和作品，选读Ingeborg Bachmann的诗歌“Wie soll ich mich nennen”和现代日常生活诗“Oh, friedlicher Mittag”。</w:t>
            </w:r>
          </w:p>
          <w:p w14:paraId="350FED9E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能力要求：掌握后现代文学主题以及代表文学形式、代表作家和作品，能理解和阐释选读诗篇。</w:t>
            </w:r>
          </w:p>
          <w:p w14:paraId="4683A5B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教学难点：文化学和文学学关键词：新主体性、女性文学、后现代文学，战后反思思潮、现代日常生活与文学的关联</w:t>
            </w:r>
          </w:p>
        </w:tc>
      </w:tr>
      <w:tr w14:paraId="102A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5F76808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第十五单元</w:t>
            </w:r>
          </w:p>
          <w:p w14:paraId="5BA2C4A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知识点：1960年代至两德统一时的历史背景，文化学和文学学关键词：新主体性、女性文学、后现代文学，代表文学形式、代表作家和作品，选读</w:t>
            </w:r>
            <w:r>
              <w:rPr>
                <w:rFonts w:cs="Times New Roman"/>
                <w:sz w:val="20"/>
                <w:lang w:val="de-DE"/>
              </w:rPr>
              <w:t>Herta Müller</w:t>
            </w:r>
            <w:r>
              <w:rPr>
                <w:rFonts w:hint="eastAsia" w:cs="Times New Roman"/>
                <w:sz w:val="20"/>
              </w:rPr>
              <w:t>小说</w:t>
            </w:r>
            <w:r>
              <w:rPr>
                <w:rFonts w:hint="eastAsia" w:cs="Times New Roman"/>
                <w:sz w:val="20"/>
                <w:lang w:val="de-DE"/>
              </w:rPr>
              <w:t>《</w:t>
            </w:r>
            <w:r>
              <w:rPr>
                <w:rFonts w:hint="eastAsia" w:cs="Times New Roman"/>
                <w:sz w:val="20"/>
              </w:rPr>
              <w:t>呼吸秋千</w:t>
            </w:r>
            <w:r>
              <w:rPr>
                <w:rFonts w:hint="eastAsia" w:cs="Times New Roman"/>
                <w:sz w:val="20"/>
                <w:lang w:val="de-DE"/>
              </w:rPr>
              <w:t>》</w:t>
            </w:r>
            <w:r>
              <w:rPr>
                <w:rFonts w:hint="eastAsia" w:cs="Times New Roman"/>
                <w:sz w:val="20"/>
              </w:rPr>
              <w:t>片段和Rolf Dieter Brinkmann《罗马·目光》片段。</w:t>
            </w:r>
          </w:p>
          <w:p w14:paraId="3BAB0700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能力要求：能理解和阐释选读小说片段。</w:t>
            </w:r>
          </w:p>
          <w:p w14:paraId="6B7B401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教学难点：后现代文学的主要体裁和文学表现形式</w:t>
            </w:r>
          </w:p>
        </w:tc>
      </w:tr>
      <w:tr w14:paraId="71A70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3C3949B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第十六单元</w:t>
            </w:r>
          </w:p>
          <w:p w14:paraId="3383C883">
            <w:pPr>
              <w:pStyle w:val="7"/>
              <w:widowControl w:val="0"/>
              <w:jc w:val="left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复习总结：综述本课程重要概念，德语文学时期的划分和特点，阐释文学作品的方法，文献搜集途径，学期论文格式以及要求。</w:t>
            </w:r>
          </w:p>
        </w:tc>
      </w:tr>
    </w:tbl>
    <w:p w14:paraId="3DD8C12B">
      <w:pPr>
        <w:pStyle w:val="8"/>
        <w:spacing w:before="156" w:after="156"/>
      </w:pPr>
      <w:r>
        <w:rPr>
          <w:rFonts w:hint="eastAsia"/>
        </w:rPr>
        <w:t>（二）各教学单元对课程目标的支撑关系</w:t>
      </w:r>
    </w:p>
    <w:p w14:paraId="4D8C09A5">
      <w:pPr>
        <w:rPr>
          <w:color w:val="000000"/>
          <w:szCs w:val="21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220"/>
        <w:gridCol w:w="1314"/>
        <w:gridCol w:w="1314"/>
        <w:gridCol w:w="1314"/>
        <w:gridCol w:w="1314"/>
      </w:tblGrid>
      <w:tr w14:paraId="5DA8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8" w:hRule="atLeast"/>
          <w:jc w:val="center"/>
        </w:trPr>
        <w:tc>
          <w:tcPr>
            <w:tcW w:w="322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4BF907C">
            <w:pPr>
              <w:pStyle w:val="10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AB7DFDF">
            <w:pPr>
              <w:pStyle w:val="10"/>
              <w:ind w:right="210"/>
              <w:jc w:val="left"/>
              <w:rPr>
                <w:szCs w:val="16"/>
              </w:rPr>
            </w:pPr>
          </w:p>
          <w:p w14:paraId="7231E033">
            <w:pPr>
              <w:pStyle w:val="10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736BB401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5B3AB5F0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314" w:type="dxa"/>
            <w:tcBorders>
              <w:top w:val="single" w:color="auto" w:sz="12" w:space="0"/>
            </w:tcBorders>
            <w:vAlign w:val="center"/>
          </w:tcPr>
          <w:p w14:paraId="33C0A72E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31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3453A9">
            <w:pPr>
              <w:pStyle w:val="1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14:paraId="7538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4498E33">
            <w:pPr>
              <w:pStyle w:val="7"/>
              <w:jc w:val="left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314" w:type="dxa"/>
          </w:tcPr>
          <w:p w14:paraId="761816B2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09807182">
            <w:pPr>
              <w:pStyle w:val="7"/>
            </w:pPr>
          </w:p>
        </w:tc>
        <w:tc>
          <w:tcPr>
            <w:tcW w:w="1314" w:type="dxa"/>
            <w:vAlign w:val="center"/>
          </w:tcPr>
          <w:p w14:paraId="427FC72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4D49FB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20CD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088E7CC1">
            <w:pPr>
              <w:pStyle w:val="7"/>
              <w:jc w:val="left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314" w:type="dxa"/>
          </w:tcPr>
          <w:p w14:paraId="1CEB709B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6446DA6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5925DDC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43ED141F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3C80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  <w:vAlign w:val="center"/>
          </w:tcPr>
          <w:p w14:paraId="1417E32F">
            <w:pPr>
              <w:pStyle w:val="7"/>
              <w:widowControl w:val="0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314" w:type="dxa"/>
          </w:tcPr>
          <w:p w14:paraId="570347D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262701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316A82A1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CE74E4F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2297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  <w:vAlign w:val="center"/>
          </w:tcPr>
          <w:p w14:paraId="16C85DC0">
            <w:pPr>
              <w:pStyle w:val="7"/>
              <w:widowControl w:val="0"/>
              <w:jc w:val="both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314" w:type="dxa"/>
          </w:tcPr>
          <w:p w14:paraId="59BBC1E2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65596D00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75B7C8F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5C47CCC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4493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DD1DAD8">
            <w:pPr>
              <w:pStyle w:val="7"/>
              <w:jc w:val="left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314" w:type="dxa"/>
          </w:tcPr>
          <w:p w14:paraId="0E34DBD3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169E3E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58C4BD71">
            <w:pPr>
              <w:pStyle w:val="7"/>
            </w:pP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5370305C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</w:tr>
      <w:tr w14:paraId="7E1A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7979667">
            <w:pPr>
              <w:pStyle w:val="7"/>
              <w:jc w:val="left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314" w:type="dxa"/>
          </w:tcPr>
          <w:p w14:paraId="19D723B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81FE2E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6931B39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54A77F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309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385ADFF6">
            <w:pPr>
              <w:pStyle w:val="7"/>
              <w:jc w:val="left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1314" w:type="dxa"/>
          </w:tcPr>
          <w:p w14:paraId="4FA09095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6F049D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116A5DB9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790B1E7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ED3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0F6E65A9">
            <w:pPr>
              <w:pStyle w:val="7"/>
              <w:jc w:val="left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1314" w:type="dxa"/>
          </w:tcPr>
          <w:p w14:paraId="734C961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EE7EA8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EAF0C2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C9FAE85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6F9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51592D9">
            <w:pPr>
              <w:pStyle w:val="7"/>
              <w:jc w:val="left"/>
            </w:pPr>
            <w:r>
              <w:rPr>
                <w:rFonts w:hint="eastAsia"/>
              </w:rPr>
              <w:t>第九单元</w:t>
            </w:r>
          </w:p>
        </w:tc>
        <w:tc>
          <w:tcPr>
            <w:tcW w:w="1314" w:type="dxa"/>
          </w:tcPr>
          <w:p w14:paraId="607A86F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C7DB29C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479996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2A3DAC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1B54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55A196CA">
            <w:pPr>
              <w:pStyle w:val="7"/>
              <w:jc w:val="left"/>
            </w:pPr>
            <w:r>
              <w:rPr>
                <w:rFonts w:hint="eastAsia"/>
              </w:rPr>
              <w:t>第十单元</w:t>
            </w:r>
          </w:p>
        </w:tc>
        <w:tc>
          <w:tcPr>
            <w:tcW w:w="1314" w:type="dxa"/>
          </w:tcPr>
          <w:p w14:paraId="5125EB1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61AF0E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5D719DFD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4EF273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2DBA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38D3E2C">
            <w:pPr>
              <w:pStyle w:val="7"/>
              <w:jc w:val="left"/>
            </w:pPr>
            <w:r>
              <w:rPr>
                <w:rFonts w:hint="eastAsia"/>
              </w:rPr>
              <w:t>第十一单元</w:t>
            </w:r>
          </w:p>
        </w:tc>
        <w:tc>
          <w:tcPr>
            <w:tcW w:w="1314" w:type="dxa"/>
          </w:tcPr>
          <w:p w14:paraId="1447CFD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2DB4E46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E9EF6C1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411CA39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2EE5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4AAE51EF">
            <w:pPr>
              <w:pStyle w:val="7"/>
              <w:jc w:val="left"/>
            </w:pPr>
            <w:r>
              <w:rPr>
                <w:rFonts w:hint="eastAsia"/>
              </w:rPr>
              <w:t>第十二单元</w:t>
            </w:r>
          </w:p>
        </w:tc>
        <w:tc>
          <w:tcPr>
            <w:tcW w:w="1314" w:type="dxa"/>
          </w:tcPr>
          <w:p w14:paraId="04EA0EDA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4188512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2F168425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6E496D4C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69BD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70B17880">
            <w:pPr>
              <w:pStyle w:val="7"/>
              <w:jc w:val="left"/>
            </w:pPr>
            <w:r>
              <w:rPr>
                <w:rFonts w:hint="eastAsia"/>
              </w:rPr>
              <w:t>第十三单元</w:t>
            </w:r>
          </w:p>
        </w:tc>
        <w:tc>
          <w:tcPr>
            <w:tcW w:w="1314" w:type="dxa"/>
          </w:tcPr>
          <w:p w14:paraId="6932B13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05A40311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10A185A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7FAFD73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0B97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6E70DACD">
            <w:pPr>
              <w:pStyle w:val="7"/>
              <w:jc w:val="left"/>
            </w:pPr>
            <w:r>
              <w:rPr>
                <w:rFonts w:hint="eastAsia"/>
              </w:rPr>
              <w:t>第十四单元</w:t>
            </w:r>
          </w:p>
        </w:tc>
        <w:tc>
          <w:tcPr>
            <w:tcW w:w="1314" w:type="dxa"/>
          </w:tcPr>
          <w:p w14:paraId="6A781532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405391BD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6FC74404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03ED3320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4785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2608D8A5">
            <w:pPr>
              <w:pStyle w:val="7"/>
              <w:jc w:val="left"/>
            </w:pPr>
            <w:r>
              <w:rPr>
                <w:rFonts w:hint="eastAsia"/>
              </w:rPr>
              <w:t>第十五单元</w:t>
            </w:r>
          </w:p>
        </w:tc>
        <w:tc>
          <w:tcPr>
            <w:tcW w:w="1314" w:type="dxa"/>
          </w:tcPr>
          <w:p w14:paraId="42BE4AF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7B77C3B8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vAlign w:val="center"/>
          </w:tcPr>
          <w:p w14:paraId="36816E37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1A5F8354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</w:tr>
      <w:tr w14:paraId="1807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220" w:type="dxa"/>
            <w:tcBorders>
              <w:left w:val="single" w:color="auto" w:sz="12" w:space="0"/>
            </w:tcBorders>
          </w:tcPr>
          <w:p w14:paraId="162F64B8">
            <w:pPr>
              <w:pStyle w:val="7"/>
              <w:jc w:val="left"/>
            </w:pPr>
            <w:r>
              <w:rPr>
                <w:rFonts w:hint="eastAsia"/>
              </w:rPr>
              <w:t>第十六单元</w:t>
            </w:r>
          </w:p>
        </w:tc>
        <w:tc>
          <w:tcPr>
            <w:tcW w:w="1314" w:type="dxa"/>
          </w:tcPr>
          <w:p w14:paraId="3E8835F6">
            <w:pPr>
              <w:pStyle w:val="7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</w:tcPr>
          <w:p w14:paraId="381CAD85">
            <w:pPr>
              <w:pStyle w:val="7"/>
              <w:rPr>
                <w:rFonts w:hint="eastAsia" w:ascii="宋体" w:hAnsi="宋体"/>
              </w:rPr>
            </w:pPr>
          </w:p>
        </w:tc>
        <w:tc>
          <w:tcPr>
            <w:tcW w:w="1314" w:type="dxa"/>
            <w:vAlign w:val="center"/>
          </w:tcPr>
          <w:p w14:paraId="549CFF4E">
            <w:pPr>
              <w:pStyle w:val="7"/>
            </w:pPr>
            <w:r>
              <w:rPr>
                <w:rFonts w:ascii="宋体" w:hAnsi="宋体"/>
              </w:rPr>
              <w:t>√</w:t>
            </w:r>
          </w:p>
        </w:tc>
        <w:tc>
          <w:tcPr>
            <w:tcW w:w="1314" w:type="dxa"/>
            <w:tcBorders>
              <w:right w:val="single" w:color="auto" w:sz="12" w:space="0"/>
            </w:tcBorders>
          </w:tcPr>
          <w:p w14:paraId="7FDB0C92">
            <w:pPr>
              <w:pStyle w:val="7"/>
              <w:rPr>
                <w:rFonts w:hint="eastAsia" w:ascii="宋体" w:hAnsi="宋体"/>
              </w:rPr>
            </w:pPr>
          </w:p>
        </w:tc>
      </w:tr>
    </w:tbl>
    <w:p w14:paraId="74BE7975">
      <w:pPr>
        <w:pStyle w:val="8"/>
        <w:spacing w:before="156" w:after="156"/>
      </w:pPr>
      <w:r>
        <w:rPr>
          <w:rFonts w:hint="eastAsia"/>
        </w:rPr>
        <w:t>（三）教学方法与学时分配</w:t>
      </w:r>
    </w:p>
    <w:p w14:paraId="6E3902C9">
      <w:pPr>
        <w:rPr>
          <w:color w:val="000000"/>
          <w:szCs w:val="21"/>
        </w:rPr>
      </w:pP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888"/>
        <w:gridCol w:w="1739"/>
        <w:gridCol w:w="1738"/>
        <w:gridCol w:w="725"/>
        <w:gridCol w:w="669"/>
        <w:gridCol w:w="717"/>
      </w:tblGrid>
      <w:tr w14:paraId="42431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88" w:type="dxa"/>
            <w:vMerge w:val="restart"/>
            <w:vAlign w:val="center"/>
          </w:tcPr>
          <w:p w14:paraId="600E674F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教学单元</w:t>
            </w:r>
          </w:p>
        </w:tc>
        <w:tc>
          <w:tcPr>
            <w:tcW w:w="1739" w:type="dxa"/>
            <w:vMerge w:val="restart"/>
            <w:vAlign w:val="center"/>
          </w:tcPr>
          <w:p w14:paraId="6F0B41C9">
            <w:pPr>
              <w:pStyle w:val="10"/>
              <w:widowControl w:val="0"/>
              <w:rPr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vAlign w:val="center"/>
          </w:tcPr>
          <w:p w14:paraId="453E9A73">
            <w:pPr>
              <w:pStyle w:val="10"/>
              <w:widowControl w:val="0"/>
              <w:rPr>
                <w:rFonts w:hint="eastAsia" w:ascii="黑体" w:hAnsi="黑体"/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评价方式</w:t>
            </w:r>
          </w:p>
        </w:tc>
        <w:tc>
          <w:tcPr>
            <w:tcW w:w="2111" w:type="dxa"/>
            <w:gridSpan w:val="3"/>
            <w:vAlign w:val="center"/>
          </w:tcPr>
          <w:p w14:paraId="47D7D4E6">
            <w:pPr>
              <w:pStyle w:val="10"/>
              <w:widowControl w:val="0"/>
              <w:rPr>
                <w:rFonts w:hint="eastAsia" w:ascii="黑体" w:hAnsi="黑体"/>
                <w:sz w:val="20"/>
                <w:szCs w:val="21"/>
              </w:rPr>
            </w:pPr>
            <w:r>
              <w:rPr>
                <w:rFonts w:hint="eastAsia" w:ascii="黑体" w:hAnsi="黑体"/>
                <w:sz w:val="20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 w:val="20"/>
                <w:szCs w:val="21"/>
              </w:rPr>
              <w:t>分配</w:t>
            </w:r>
          </w:p>
        </w:tc>
      </w:tr>
      <w:tr w14:paraId="01D64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888" w:type="dxa"/>
            <w:vMerge w:val="continue"/>
          </w:tcPr>
          <w:p w14:paraId="7CC1EEDE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739" w:type="dxa"/>
            <w:vMerge w:val="continue"/>
          </w:tcPr>
          <w:p w14:paraId="67787AB6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390BE549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E8D97A6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1B81D28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实践</w:t>
            </w:r>
          </w:p>
        </w:tc>
        <w:tc>
          <w:tcPr>
            <w:tcW w:w="717" w:type="dxa"/>
            <w:vAlign w:val="center"/>
          </w:tcPr>
          <w:p w14:paraId="246B4A43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小计</w:t>
            </w:r>
          </w:p>
        </w:tc>
      </w:tr>
      <w:tr w14:paraId="4FB8A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4DE6996F">
            <w:pPr>
              <w:snapToGrid w:val="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第一单元</w:t>
            </w:r>
          </w:p>
        </w:tc>
        <w:tc>
          <w:tcPr>
            <w:tcW w:w="1739" w:type="dxa"/>
            <w:vAlign w:val="center"/>
          </w:tcPr>
          <w:p w14:paraId="2057EFB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96B689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1BD6E69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EE70CD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F3107D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01117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6FF2E1C5">
            <w:pPr>
              <w:snapToGrid w:val="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第二单元</w:t>
            </w:r>
          </w:p>
        </w:tc>
        <w:tc>
          <w:tcPr>
            <w:tcW w:w="1739" w:type="dxa"/>
          </w:tcPr>
          <w:p w14:paraId="268BAF4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64053E1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3D13576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EE1E26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32DCBDD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4BCE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1F49A55B">
            <w:pPr>
              <w:snapToGrid w:val="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第三单元</w:t>
            </w:r>
          </w:p>
        </w:tc>
        <w:tc>
          <w:tcPr>
            <w:tcW w:w="1739" w:type="dxa"/>
          </w:tcPr>
          <w:p w14:paraId="76E78F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18D396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FA92C2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57C7A3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54797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775BB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" w:hRule="atLeast"/>
          <w:jc w:val="center"/>
        </w:trPr>
        <w:tc>
          <w:tcPr>
            <w:tcW w:w="2888" w:type="dxa"/>
            <w:vAlign w:val="center"/>
          </w:tcPr>
          <w:p w14:paraId="33A5448A">
            <w:pPr>
              <w:snapToGrid w:val="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第四单元</w:t>
            </w:r>
          </w:p>
        </w:tc>
        <w:tc>
          <w:tcPr>
            <w:tcW w:w="1739" w:type="dxa"/>
          </w:tcPr>
          <w:p w14:paraId="086ACFE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4B7866D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032ED7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F78551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7F713C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A98B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  <w:vAlign w:val="center"/>
          </w:tcPr>
          <w:p w14:paraId="4D71FDFD">
            <w:pPr>
              <w:snapToGrid w:val="0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第五单元</w:t>
            </w:r>
          </w:p>
        </w:tc>
        <w:tc>
          <w:tcPr>
            <w:tcW w:w="1739" w:type="dxa"/>
          </w:tcPr>
          <w:p w14:paraId="17A2FCC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150F6B4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45FCCFD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775C15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A4F876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D89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7D1D737D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第六单元</w:t>
            </w:r>
          </w:p>
        </w:tc>
        <w:tc>
          <w:tcPr>
            <w:tcW w:w="1739" w:type="dxa"/>
          </w:tcPr>
          <w:p w14:paraId="262B68D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1940F78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063588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F21E08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4B7AF9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09E1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300795E9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第七单元</w:t>
            </w:r>
          </w:p>
        </w:tc>
        <w:tc>
          <w:tcPr>
            <w:tcW w:w="1739" w:type="dxa"/>
          </w:tcPr>
          <w:p w14:paraId="1EB2058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0AC7D76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1C81B48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AF4C06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2A09F8E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E68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3A1836E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第八单元</w:t>
            </w:r>
          </w:p>
        </w:tc>
        <w:tc>
          <w:tcPr>
            <w:tcW w:w="1739" w:type="dxa"/>
          </w:tcPr>
          <w:p w14:paraId="5042831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AEC9B5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5949CC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BF8C27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A60073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5ED77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32787118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第九单元</w:t>
            </w:r>
          </w:p>
        </w:tc>
        <w:tc>
          <w:tcPr>
            <w:tcW w:w="1739" w:type="dxa"/>
          </w:tcPr>
          <w:p w14:paraId="4C34EFA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86411A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0B347A3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663189D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652A5D7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4137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1121172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第十单元</w:t>
            </w:r>
          </w:p>
        </w:tc>
        <w:tc>
          <w:tcPr>
            <w:tcW w:w="1739" w:type="dxa"/>
          </w:tcPr>
          <w:p w14:paraId="63E5A3B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5B3061E8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05A5D9C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D3532E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75F193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24E2B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505FDD58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第十一单元</w:t>
            </w:r>
          </w:p>
        </w:tc>
        <w:tc>
          <w:tcPr>
            <w:tcW w:w="1739" w:type="dxa"/>
          </w:tcPr>
          <w:p w14:paraId="603E29E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7CFB6B3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E3E9E2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442ABF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DCE1A3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14F9E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69E43CAB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第十二单元</w:t>
            </w:r>
          </w:p>
        </w:tc>
        <w:tc>
          <w:tcPr>
            <w:tcW w:w="1739" w:type="dxa"/>
          </w:tcPr>
          <w:p w14:paraId="6540622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288FC21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75C9E805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972754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9802F8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78F2D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55311C19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第十三单元</w:t>
            </w:r>
          </w:p>
        </w:tc>
        <w:tc>
          <w:tcPr>
            <w:tcW w:w="1739" w:type="dxa"/>
          </w:tcPr>
          <w:p w14:paraId="73CD207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586882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153B86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554638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538B236E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2A7F6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62B404DF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第十四单元</w:t>
            </w:r>
          </w:p>
        </w:tc>
        <w:tc>
          <w:tcPr>
            <w:tcW w:w="1739" w:type="dxa"/>
          </w:tcPr>
          <w:p w14:paraId="666F3D7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AF68A0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5DCE43CC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18D499B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586AA52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B7D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23B7567C">
            <w:pPr>
              <w:pStyle w:val="7"/>
              <w:jc w:val="left"/>
              <w:rPr>
                <w:sz w:val="21"/>
              </w:rPr>
            </w:pPr>
            <w:r>
              <w:rPr>
                <w:rFonts w:hint="eastAsia"/>
                <w:sz w:val="20"/>
              </w:rPr>
              <w:t>第十五单元</w:t>
            </w:r>
          </w:p>
        </w:tc>
        <w:tc>
          <w:tcPr>
            <w:tcW w:w="1739" w:type="dxa"/>
          </w:tcPr>
          <w:p w14:paraId="3D6EB4C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38684AA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6C9E5EC0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D733361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7C7F74F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C332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888" w:type="dxa"/>
          </w:tcPr>
          <w:p w14:paraId="023CDD93">
            <w:pPr>
              <w:pStyle w:val="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第十六单元</w:t>
            </w:r>
          </w:p>
        </w:tc>
        <w:tc>
          <w:tcPr>
            <w:tcW w:w="1739" w:type="dxa"/>
          </w:tcPr>
          <w:p w14:paraId="04768177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讨论、讲解、指导</w:t>
            </w:r>
          </w:p>
        </w:tc>
        <w:tc>
          <w:tcPr>
            <w:tcW w:w="1738" w:type="dxa"/>
            <w:vAlign w:val="center"/>
          </w:tcPr>
          <w:p w14:paraId="05DA152F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笔试、课堂报告、学期报告</w:t>
            </w:r>
          </w:p>
        </w:tc>
        <w:tc>
          <w:tcPr>
            <w:tcW w:w="725" w:type="dxa"/>
            <w:vAlign w:val="center"/>
          </w:tcPr>
          <w:p w14:paraId="7834D02B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5247A63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0B98A434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2</w:t>
            </w:r>
          </w:p>
        </w:tc>
      </w:tr>
      <w:tr w14:paraId="3506E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vAlign w:val="center"/>
          </w:tcPr>
          <w:p w14:paraId="7931C439">
            <w:pPr>
              <w:pStyle w:val="10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合计</w:t>
            </w:r>
          </w:p>
        </w:tc>
        <w:tc>
          <w:tcPr>
            <w:tcW w:w="725" w:type="dxa"/>
            <w:vAlign w:val="center"/>
          </w:tcPr>
          <w:p w14:paraId="33DEA7E9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3</w:t>
            </w: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598B7E96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center"/>
          </w:tcPr>
          <w:p w14:paraId="15DB6C1A">
            <w:pPr>
              <w:snapToGrid w:val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3</w:t>
            </w:r>
            <w:r>
              <w:rPr>
                <w:bCs/>
                <w:kern w:val="0"/>
                <w:sz w:val="21"/>
                <w:szCs w:val="21"/>
              </w:rPr>
              <w:t>2</w:t>
            </w:r>
          </w:p>
        </w:tc>
      </w:tr>
    </w:tbl>
    <w:p w14:paraId="2CBFED0A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E4B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17BCFF5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1、在介绍德语文学发展的过程中，引导学生思考文学与社会、历史、文化的关系，培养学生的历史观和社会责任感。</w:t>
            </w:r>
          </w:p>
          <w:p w14:paraId="4ACA1BEF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2、通过分析文学作品中的人物形象和主题，引导学生树立正确的价值观和人生观，如诚信、友善、勇敢、正义等。</w:t>
            </w:r>
          </w:p>
          <w:p w14:paraId="45CC2D73">
            <w:pPr>
              <w:pStyle w:val="7"/>
              <w:widowControl w:val="0"/>
              <w:jc w:val="left"/>
              <w:rPr>
                <w:rFonts w:hint="eastAsia"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3、在讨论和写作训练中，鼓励学生关注社会现实，培养学生的创新意识和批判性思维，为解决社会问题贡献自己的智慧和力量。</w:t>
            </w:r>
          </w:p>
        </w:tc>
      </w:tr>
    </w:tbl>
    <w:p w14:paraId="77277CFF">
      <w:pPr>
        <w:pStyle w:val="6"/>
        <w:spacing w:before="312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五、评价方式</w:t>
      </w:r>
    </w:p>
    <w:p w14:paraId="62F91D78">
      <w:pPr>
        <w:rPr>
          <w:color w:val="00000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976"/>
        <w:gridCol w:w="709"/>
        <w:gridCol w:w="709"/>
        <w:gridCol w:w="709"/>
        <w:gridCol w:w="708"/>
        <w:gridCol w:w="920"/>
      </w:tblGrid>
      <w:tr w14:paraId="55F9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30CFE2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02AB55">
            <w:pPr>
              <w:pStyle w:val="6"/>
              <w:widowControl w:val="0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976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C4902E8">
            <w:pPr>
              <w:pStyle w:val="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CD38E06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C733B4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254D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65FD3DC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2750DEBA">
            <w:pPr>
              <w:pStyle w:val="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F703D54">
            <w:pPr>
              <w:pStyle w:val="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2C79A6F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F20A99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602C6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A913D4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920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315C275">
            <w:pPr>
              <w:pStyle w:val="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CB2D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ECDD3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1BC9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B317E8C">
            <w:pPr>
              <w:pStyle w:val="7"/>
              <w:widowContro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期末测试（开卷）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1F408C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13E74A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99C109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76B0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25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B5A63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49D0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73C78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D6F0F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39638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小组作业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225A2DF5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C0D26D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7BB39A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DEB6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36ED6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6438A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8FD5B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F439D6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006422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课堂报告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D91A598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C813C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0591B5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330BE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401BF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14:paraId="48FEB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401F02C">
            <w:pPr>
              <w:snapToGrid w:val="0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DFF9D8">
            <w:pPr>
              <w:pStyle w:val="7"/>
              <w:widowControl w:val="0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D726AD9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课后作业</w:t>
            </w:r>
          </w:p>
        </w:tc>
        <w:tc>
          <w:tcPr>
            <w:tcW w:w="709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3BA3C181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9087A42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CA901AC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6E9DECE">
            <w:pPr>
              <w:pStyle w:val="7"/>
              <w:widowControl w:val="0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6D763D">
            <w:pPr>
              <w:pStyle w:val="7"/>
              <w:widowControl w:val="0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</w:tbl>
    <w:p w14:paraId="5AE520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D0B2F8-AC95-4038-8BB7-F7FA3CC5413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20321F-4C50-41F7-9F0C-C24BA96DCC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BCE6BC4-3F1F-4A0C-A956-B81BE0A54A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22CD47-2B80-41F8-9CB1-DFA0799F47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AFEFE0B-56DE-4FB3-9CA1-F2DB51DA2815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6" w:fontKey="{DF68D85C-0C29-4960-BEBC-67FA0114023B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CC06B587-C265-4C8C-9C7B-215CF10CC15A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8" w:fontKey="{E7BB5C16-0EEE-427E-B061-86A2D8D9A78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4A3C49"/>
    <w:multiLevelType w:val="multilevel"/>
    <w:tmpl w:val="384A3C4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YzcyYTg1ZmRjYWE0ZWUzZGI2ODg4MzJlNzg3OWQifQ=="/>
    <w:docVar w:name="KSO_WPS_MARK_KEY" w:val="1d6004a8-2774-47af-b8f2-fafee85214c4"/>
  </w:docVars>
  <w:rsids>
    <w:rsidRoot w:val="00000000"/>
    <w:rsid w:val="08BC4970"/>
    <w:rsid w:val="19D201F3"/>
    <w:rsid w:val="1C323847"/>
    <w:rsid w:val="20967516"/>
    <w:rsid w:val="5E8720EC"/>
    <w:rsid w:val="60A76A75"/>
    <w:rsid w:val="73F8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一级标题DG"/>
    <w:basedOn w:val="1"/>
    <w:qFormat/>
    <w:uiPriority w:val="0"/>
    <w:pPr>
      <w:widowControl/>
      <w:spacing w:line="480" w:lineRule="auto"/>
      <w:jc w:val="left"/>
      <w:outlineLvl w:val="0"/>
    </w:pPr>
    <w:rPr>
      <w:rFonts w:ascii="Arial" w:hAnsi="Arial" w:eastAsia="黑体" w:cs="宋体"/>
      <w:kern w:val="0"/>
      <w:sz w:val="28"/>
    </w:rPr>
  </w:style>
  <w:style w:type="paragraph" w:customStyle="1" w:styleId="7">
    <w:name w:val="表格正文DG"/>
    <w:basedOn w:val="1"/>
    <w:qFormat/>
    <w:uiPriority w:val="0"/>
    <w:pPr>
      <w:widowControl/>
      <w:jc w:val="center"/>
    </w:pPr>
    <w:rPr>
      <w:rFonts w:cs="宋体"/>
      <w:color w:val="000000"/>
      <w:kern w:val="0"/>
      <w:szCs w:val="21"/>
    </w:rPr>
  </w:style>
  <w:style w:type="paragraph" w:customStyle="1" w:styleId="8">
    <w:name w:val="二级标题DG"/>
    <w:basedOn w:val="2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0">
    <w:name w:val="表格标题DG"/>
    <w:basedOn w:val="1"/>
    <w:qFormat/>
    <w:uiPriority w:val="0"/>
    <w:pPr>
      <w:widowControl/>
      <w:snapToGrid w:val="0"/>
      <w:jc w:val="center"/>
    </w:pPr>
    <w:rPr>
      <w:rFonts w:ascii="Arial" w:hAnsi="Arial" w:eastAsia="黑体" w:cs="宋体"/>
      <w:bCs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1850</Words>
  <Characters>1995</Characters>
  <Lines>0</Lines>
  <Paragraphs>0</Paragraphs>
  <TotalTime>0</TotalTime>
  <ScaleCrop>false</ScaleCrop>
  <LinksUpToDate>false</LinksUpToDate>
  <CharactersWithSpaces>2017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2025-02-24T08:36:00Z</dcterms:created>
  <dc:creator>雷蕾</dc:creator>
  <cp:lastModifiedBy>Angela</cp:lastModifiedBy>
  <dcterms:modified xsi:type="dcterms:W3CDTF">2026-03-09T16:23:57Z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6ACDC5A134794C218B7FD3143736C7EF</vt:lpwstr>
  </property>
  <property fmtid="{D5CDD505-2E9C-101B-9397-08002B2CF9AE}" pid="4" name="KSOTemplateDocerSaveRecord">
    <vt:lpwstr>eyJoZGlkIjoiYzlmYzcyYTg1ZmRjYWE0ZWUzZGI2ODg4MzJlNzg3OWQiLCJ1c2VySWQiOiI0NTAzNTUzMjQifQ==</vt:lpwstr>
  </property>
</Properties>
</file>