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9D6F6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《基础德语2》课程教学大纲</w:t>
      </w:r>
    </w:p>
    <w:p w14:paraId="393860C0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2226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2E4873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424C856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基础德语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专业核心课</w:t>
            </w:r>
          </w:p>
        </w:tc>
      </w:tr>
      <w:tr w14:paraId="00F9A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362EA63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6AC099D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Basic German 2</w:t>
            </w:r>
          </w:p>
        </w:tc>
      </w:tr>
      <w:tr w14:paraId="1AEA6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0385BDC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CCD23F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2020408</w:t>
            </w:r>
          </w:p>
        </w:tc>
        <w:tc>
          <w:tcPr>
            <w:tcW w:w="2126" w:type="dxa"/>
            <w:gridSpan w:val="2"/>
            <w:vAlign w:val="center"/>
          </w:tcPr>
          <w:p w14:paraId="24E90544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A7BD01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2FFAC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2DC942BE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D122E4B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272" w:type="dxa"/>
            <w:vAlign w:val="center"/>
          </w:tcPr>
          <w:p w14:paraId="5D86C0B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159C4C0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413" w:type="dxa"/>
            <w:gridSpan w:val="2"/>
            <w:vAlign w:val="center"/>
          </w:tcPr>
          <w:p w14:paraId="281C913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AFABB9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  <w:tr w14:paraId="59BE6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42CEDAF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14B2D5A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2BBB29A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63AD306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德语专业一年级</w:t>
            </w:r>
          </w:p>
        </w:tc>
      </w:tr>
      <w:tr w14:paraId="7D51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795D72A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1104907E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必修课</w:t>
            </w:r>
          </w:p>
        </w:tc>
        <w:tc>
          <w:tcPr>
            <w:tcW w:w="2126" w:type="dxa"/>
            <w:gridSpan w:val="2"/>
            <w:vAlign w:val="center"/>
          </w:tcPr>
          <w:p w14:paraId="7727F62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31C3CB1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0A175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322D83A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721597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《当代大学德语2》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梁敏，聂黎曦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9787521308303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外语教学与研究出版社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019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413" w:type="dxa"/>
            <w:gridSpan w:val="2"/>
            <w:vAlign w:val="center"/>
          </w:tcPr>
          <w:p w14:paraId="757301D9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581AE22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A6404C3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EC93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3D94B81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D6675FD">
            <w:pPr>
              <w:pStyle w:val="14"/>
              <w:widowControl w:val="0"/>
              <w:jc w:val="both"/>
            </w:pPr>
            <w:r>
              <w:rPr>
                <w:rFonts w:cs="Times New Roman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基础德语</w:t>
            </w:r>
            <w:r>
              <w:rPr>
                <w:rFonts w:hint="eastAsia" w:cs="Times New Roman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2020363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D94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77572E5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A72AB2A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基础德语2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是德语专业基础阶段必修课程，在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基础德语1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上，深入教授德语语言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基本理论和知识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《基础德语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共分为十五个单元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教授和训练的内容有语法、词汇、课文（阅读和听力），句型操练，翻译和口头复述等等，是一门语言技能综合训练课。</w:t>
            </w:r>
          </w:p>
          <w:p w14:paraId="7C1D424C">
            <w:pPr>
              <w:pStyle w:val="23"/>
              <w:ind w:firstLine="0" w:firstLineChars="0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Cs w:val="21"/>
              </w:rPr>
              <w:t>本课程教学贯彻“</w:t>
            </w:r>
            <w:r>
              <w:rPr>
                <w:bCs/>
              </w:rPr>
              <w:t>厚植家国情怀</w:t>
            </w:r>
            <w:r>
              <w:rPr>
                <w:rFonts w:hint="eastAsia" w:ascii="宋体" w:hAnsi="宋体" w:eastAsia="宋体"/>
                <w:szCs w:val="21"/>
              </w:rPr>
              <w:t>”思政育人教学目标，将中华优秀传统文化、社会主义先进文化融于课堂教学内容当中，注重培养学生</w:t>
            </w:r>
            <w:r>
              <w:rPr>
                <w:bCs/>
              </w:rPr>
              <w:t>热爱祖国的大好河山、悠久历史、灿烂文化</w:t>
            </w:r>
            <w:r>
              <w:rPr>
                <w:rFonts w:hint="eastAsia" w:ascii="宋体" w:hAnsi="宋体" w:eastAsia="宋体"/>
                <w:szCs w:val="21"/>
              </w:rPr>
              <w:t>的爱国主义思想。</w:t>
            </w:r>
          </w:p>
          <w:p w14:paraId="66999925">
            <w:pPr>
              <w:pStyle w:val="14"/>
              <w:widowControl w:val="0"/>
              <w:jc w:val="both"/>
            </w:pPr>
            <w:r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通过本课程的学习，学生的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语言水平能够达到欧洲语言标准的A2级别</w:t>
            </w:r>
            <w:r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能够理解日常对话中的重要信息，听懂日常广播通告和电话留言，从简单报纸文章、日常广告、和公共指示牌中提取重要信息；学会撰写日常生活所需的短信、邮件、公告等；能够在交谈中自我介绍并且交流各自的生活状况；对日常生活中的问题能进行提问并回答；明白日常对话中别人提出的请求和指示。</w:t>
            </w:r>
          </w:p>
        </w:tc>
      </w:tr>
      <w:tr w14:paraId="30806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09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vAlign w:val="center"/>
          </w:tcPr>
          <w:p w14:paraId="47AE69B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091973E9">
            <w:pPr>
              <w:pStyle w:val="14"/>
              <w:widowControl w:val="0"/>
              <w:jc w:val="both"/>
            </w:pPr>
            <w:r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本课程是德语专业本科生一年级第二学期专业必修课，要求学生</w:t>
            </w:r>
            <w:r>
              <w:rPr>
                <w:rFonts w:hint="eastAsia"/>
              </w:rPr>
              <w:t>掌握初级德语水平的词汇、句法和语法知识。</w:t>
            </w:r>
          </w:p>
        </w:tc>
      </w:tr>
      <w:tr w14:paraId="128DA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3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vAlign w:val="center"/>
          </w:tcPr>
          <w:p w14:paraId="48C28749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9CCE6A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682625" cy="230505"/>
                  <wp:effectExtent l="0" t="0" r="3175" b="0"/>
                  <wp:docPr id="70050395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50395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256" cy="238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6" w:name="_GoBack"/>
            <w:r>
              <w:drawing>
                <wp:inline distT="0" distB="0" distL="114300" distR="114300">
                  <wp:extent cx="529590" cy="266065"/>
                  <wp:effectExtent l="0" t="0" r="3810" b="63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6"/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4B9FE37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1E5A8ADB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.02</w:t>
            </w:r>
          </w:p>
        </w:tc>
      </w:tr>
      <w:tr w14:paraId="18B1E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5F08D90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17B6A9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396240" cy="220980"/>
                  <wp:effectExtent l="0" t="0" r="3810" b="7620"/>
                  <wp:docPr id="33561315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61315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74" cy="220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26B401E9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62BA1B30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.03</w:t>
            </w:r>
          </w:p>
        </w:tc>
      </w:tr>
      <w:tr w14:paraId="5DD21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D1AA46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022271F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385445" cy="192405"/>
                  <wp:effectExtent l="0" t="0" r="0" b="0"/>
                  <wp:docPr id="71839479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39479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25" cy="19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7E7BDDEF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0FE10A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2026.03</w:t>
            </w:r>
          </w:p>
        </w:tc>
      </w:tr>
    </w:tbl>
    <w:p w14:paraId="5FDACB47">
      <w:pPr>
        <w:spacing w:line="100" w:lineRule="exact"/>
        <w:rPr>
          <w:rFonts w:ascii="Arial" w:hAnsi="Arial" w:eastAsia="黑体"/>
        </w:rPr>
      </w:pPr>
      <w:r>
        <w:br w:type="page"/>
      </w:r>
    </w:p>
    <w:p w14:paraId="67B55295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22E1EA2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 w14:paraId="2DD2A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2E59F409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4BF3C62D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2067C12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1EA427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4B3815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75750F2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26D39913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cs="Times New Roman"/>
              </w:rPr>
              <w:t>掌握重点语法知识，如现在完成时、各类从句（时间状语从句、条件状语从句、宾语从句、原因状语从句）、形容词变格、反身动词、过去时，使自己的德语表达更加准确、流畅。</w:t>
            </w:r>
          </w:p>
        </w:tc>
      </w:tr>
      <w:tr w14:paraId="1A218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A7BCE15">
            <w:pPr>
              <w:pStyle w:val="14"/>
              <w:rPr>
                <w:bCs/>
              </w:rPr>
            </w:pPr>
          </w:p>
        </w:tc>
        <w:tc>
          <w:tcPr>
            <w:tcW w:w="764" w:type="dxa"/>
            <w:vAlign w:val="center"/>
          </w:tcPr>
          <w:p w14:paraId="1A9DCEB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331079E8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cs="Times New Roman"/>
              </w:rPr>
              <w:t>识记约</w:t>
            </w:r>
            <w:r>
              <w:rPr>
                <w:rFonts w:cs="Times New Roman"/>
              </w:rPr>
              <w:t>700</w:t>
            </w:r>
            <w:r>
              <w:rPr>
                <w:rFonts w:hint="eastAsia" w:cs="Times New Roman"/>
              </w:rPr>
              <w:t>个单词，能够将其中约</w:t>
            </w:r>
            <w:r>
              <w:rPr>
                <w:rFonts w:cs="Times New Roman"/>
              </w:rPr>
              <w:t>500</w:t>
            </w:r>
            <w:r>
              <w:rPr>
                <w:rFonts w:hint="eastAsia" w:cs="Times New Roman"/>
              </w:rPr>
              <w:t>个单词正确熟练运用到书面和口头表达中。</w:t>
            </w:r>
          </w:p>
        </w:tc>
      </w:tr>
      <w:tr w14:paraId="44BAD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131BF4B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3287267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05DB2F86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</w:rPr>
              <w:t>听懂日常生活场景中的对话或阐述、</w:t>
            </w:r>
            <w:r>
              <w:rPr>
                <w:rFonts w:hint="eastAsia" w:cs="Times New Roman"/>
              </w:rPr>
              <w:t>收音机中的报导或者采访、电话录音和公共广播，</w:t>
            </w:r>
            <w:r>
              <w:rPr>
                <w:rFonts w:hint="eastAsia" w:ascii="宋体" w:hAnsi="宋体"/>
              </w:rPr>
              <w:t>从中提取和处理信息。</w:t>
            </w:r>
          </w:p>
        </w:tc>
      </w:tr>
      <w:tr w14:paraId="58337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4E3FED2B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64" w:type="dxa"/>
            <w:vAlign w:val="center"/>
          </w:tcPr>
          <w:p w14:paraId="057A7B1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46D0ED7C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</w:rPr>
              <w:t>运用所学的词汇及语法知识完成短篇记叙文的写作。</w:t>
            </w:r>
          </w:p>
        </w:tc>
      </w:tr>
      <w:tr w14:paraId="33B69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B99810B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64" w:type="dxa"/>
            <w:vAlign w:val="center"/>
          </w:tcPr>
          <w:p w14:paraId="4AF8724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38446A81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cs="Times New Roman"/>
              </w:rPr>
              <w:t>能搜集、获取达到目标所需要的学习资源，实施学习计划、反思学习计划、持续改进，达到学习目标。</w:t>
            </w:r>
          </w:p>
        </w:tc>
      </w:tr>
      <w:tr w14:paraId="69F63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4E03097A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64" w:type="dxa"/>
            <w:vAlign w:val="center"/>
          </w:tcPr>
          <w:p w14:paraId="658F77B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4BF0A4FC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cs="Times New Roman"/>
              </w:rPr>
              <w:t>可以理解与重要领域相关的语句和常用表达（例如个人和家庭信息、购物、工作、当地情况）。能够在熟悉语境下进行语速中等，语音清晰的交流。能够应对基本的社会交际场景，如：租房、通话、做客</w:t>
            </w:r>
            <w:r>
              <w:rPr>
                <w:rFonts w:hint="eastAsia" w:cs="Times New Roman"/>
                <w:color w:val="auto"/>
              </w:rPr>
              <w:t>、就医、</w:t>
            </w:r>
            <w:r>
              <w:rPr>
                <w:rFonts w:hint="eastAsia" w:cs="Times New Roman"/>
              </w:rPr>
              <w:t>寒暄</w:t>
            </w:r>
            <w:r>
              <w:rPr>
                <w:rFonts w:cs="Times New Roman"/>
              </w:rPr>
              <w:t>等</w:t>
            </w:r>
            <w:r>
              <w:rPr>
                <w:rFonts w:hint="eastAsia" w:cs="Times New Roman"/>
              </w:rPr>
              <w:t>。</w:t>
            </w:r>
            <w:r>
              <w:rPr>
                <w:rFonts w:cs="Times New Roman"/>
              </w:rPr>
              <w:t>能用简单的方式描述自己的出身和教育、当前的环境和与当前需要相关的事物。</w:t>
            </w:r>
          </w:p>
        </w:tc>
      </w:tr>
      <w:tr w14:paraId="3F78E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37" w:hRule="atLeast"/>
          <w:jc w:val="center"/>
        </w:trPr>
        <w:tc>
          <w:tcPr>
            <w:tcW w:w="1206" w:type="dxa"/>
            <w:vAlign w:val="center"/>
          </w:tcPr>
          <w:p w14:paraId="4955FF2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0329DE79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78488BF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7</w:t>
            </w:r>
          </w:p>
        </w:tc>
        <w:tc>
          <w:tcPr>
            <w:tcW w:w="6306" w:type="dxa"/>
            <w:vAlign w:val="center"/>
          </w:tcPr>
          <w:p w14:paraId="122F666C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cs="Times New Roman"/>
              </w:rPr>
              <w:t>通过对中国传统节日、自然与人文景观及中医药等主题的学习与讨论，培养学生热爱祖国的深厚感情，</w:t>
            </w:r>
            <w:r>
              <w:rPr>
                <w:rFonts w:cs="Times New Roman"/>
              </w:rPr>
              <w:t>激发学生的民族自豪感</w:t>
            </w:r>
            <w:r>
              <w:rPr>
                <w:rFonts w:hint="eastAsia" w:cs="Times New Roman"/>
              </w:rPr>
              <w:t>。</w:t>
            </w:r>
          </w:p>
        </w:tc>
      </w:tr>
    </w:tbl>
    <w:p w14:paraId="33A429CC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6753E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4667061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LO1品德修养：拥护</w:t>
            </w:r>
            <w:r>
              <w:rPr>
                <w:rFonts w:hint="eastAsia" w:cs="Times New Roman"/>
              </w:rPr>
              <w:t>中国共产</w:t>
            </w:r>
            <w:r>
              <w:rPr>
                <w:rFonts w:cs="Times New Roman"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 w:cs="Times New Roman"/>
              </w:rPr>
              <w:t>“感恩、回报、爱心、责任”</w:t>
            </w:r>
            <w:r>
              <w:rPr>
                <w:rFonts w:cs="Times New Roman"/>
              </w:rPr>
              <w:t>八字校训，积极服务他人、服务社会、诚信尽责、爱岗敬业。</w:t>
            </w:r>
          </w:p>
          <w:p w14:paraId="25AFE0E8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cs="Times New Roman"/>
              </w:rPr>
              <w:t>①爱党爱国，坚决拥护党的领导，热爱祖国的大好河山、悠久历史、灿烂文化，自觉维护民族利益和国家尊严。</w:t>
            </w:r>
          </w:p>
        </w:tc>
      </w:tr>
      <w:tr w14:paraId="6E7EC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3EB4EC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cs="Times New Roman"/>
              </w:rPr>
              <w:t>LO2专业能力：</w:t>
            </w:r>
            <w:r>
              <w:rPr>
                <w:bCs/>
              </w:rPr>
              <w:t>具有人文科学素养，具备</w:t>
            </w:r>
            <w:r>
              <w:rPr>
                <w:rFonts w:hint="eastAsia"/>
                <w:bCs/>
              </w:rPr>
              <w:t>全面的德语语言综合能力及专业细分方向的各项技能</w:t>
            </w:r>
            <w:r>
              <w:rPr>
                <w:bCs/>
              </w:rPr>
              <w:t>。</w:t>
            </w:r>
          </w:p>
          <w:p w14:paraId="5BE4AAF1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cs="Times New Roman"/>
              </w:rPr>
              <w:t>②掌握德语语言基本理论与知识，具备扎实的语言基本功和听、说、读、写、译等语言应用能力。</w:t>
            </w:r>
          </w:p>
        </w:tc>
      </w:tr>
      <w:tr w14:paraId="3D503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083CE593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LO4</w:t>
            </w:r>
            <w:r>
              <w:rPr>
                <w:rFonts w:hint="eastAsia" w:cs="Times New Roman"/>
              </w:rPr>
              <w:t>自主学习</w:t>
            </w:r>
            <w:r>
              <w:rPr>
                <w:rFonts w:cs="Times New Roman"/>
              </w:rPr>
              <w:t>：</w:t>
            </w:r>
            <w:r>
              <w:rPr>
                <w:rFonts w:hint="eastAsia" w:cs="Times New Roman"/>
              </w:rPr>
              <w:t>能根据环境需要确定自己的学习目标，并主动地通过搜集信息、分析信息、讨论、实践、质疑、创造等方法来实现学习目标。</w:t>
            </w:r>
          </w:p>
          <w:p w14:paraId="0D6380C8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cs="Times New Roman"/>
              </w:rPr>
              <w:t>②能搜集、获取达到目标所需要的学习资源，实施学习计划、反思学习计划、持续改进，达到学习目标。</w:t>
            </w:r>
          </w:p>
        </w:tc>
      </w:tr>
      <w:tr w14:paraId="00FB0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86EFC6E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LO8</w:t>
            </w:r>
            <w:r>
              <w:rPr>
                <w:rFonts w:hint="eastAsia" w:cs="Times New Roman"/>
              </w:rPr>
              <w:t>国际视野</w:t>
            </w:r>
            <w:r>
              <w:rPr>
                <w:rFonts w:cs="Times New Roman"/>
              </w:rPr>
              <w:t>：</w:t>
            </w:r>
            <w:r>
              <w:rPr>
                <w:rFonts w:hint="eastAsia" w:cs="Times New Roman"/>
              </w:rPr>
              <w:t>具有基本的外语表达沟通能力与跨文化理解能力，有国际竞争与合作的意识。</w:t>
            </w:r>
          </w:p>
          <w:p w14:paraId="694E6EBC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①具备外语表达沟通能力，达到本专业的要求。</w:t>
            </w:r>
          </w:p>
        </w:tc>
      </w:tr>
    </w:tbl>
    <w:p w14:paraId="4A63275F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1FA56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8EA55A8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0E4E85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58B166E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28C5B94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462DC2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12E04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620075C">
            <w:pPr>
              <w:pStyle w:val="14"/>
              <w:rPr>
                <w:b/>
              </w:rPr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15C6FC96">
            <w:pPr>
              <w:pStyle w:val="14"/>
              <w:rPr>
                <w:bCs/>
              </w:rPr>
            </w:pPr>
            <w:r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vAlign w:val="center"/>
          </w:tcPr>
          <w:p w14:paraId="0DD4C7C2">
            <w:pPr>
              <w:pStyle w:val="14"/>
              <w:rPr>
                <w:rFonts w:hint="eastAsia"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370018F8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</w:rPr>
              <w:t xml:space="preserve">7. </w:t>
            </w:r>
            <w:r>
              <w:rPr>
                <w:rFonts w:hint="eastAsia" w:cs="Times New Roman"/>
              </w:rPr>
              <w:t>通过对中国传统节日、自然与人文景观及中医药等主题的学习与讨论，培养学生热爱祖国的深厚感情，</w:t>
            </w:r>
            <w:r>
              <w:rPr>
                <w:rFonts w:cs="Times New Roman"/>
              </w:rPr>
              <w:t>激发学生的民族自豪感</w:t>
            </w:r>
            <w:r>
              <w:rPr>
                <w:rFonts w:hint="eastAsia" w:cs="Times New Roman"/>
              </w:rPr>
              <w:t>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19CAC47A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100%</w:t>
            </w:r>
          </w:p>
        </w:tc>
      </w:tr>
      <w:tr w14:paraId="330B5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06DB610">
            <w:pPr>
              <w:pStyle w:val="14"/>
            </w:pPr>
            <w:r>
              <w:rPr>
                <w:rFonts w:cs="Times New Roman"/>
                <w:b/>
              </w:rPr>
              <w:t>LO2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4BEE5662">
            <w:pPr>
              <w:pStyle w:val="14"/>
              <w:rPr>
                <w:rFonts w:cs="Times New Roman"/>
                <w:bCs/>
              </w:rPr>
            </w:pPr>
            <w:r>
              <w:rPr>
                <w:rFonts w:cs="Cambria Math" w:asciiTheme="majorHAnsi" w:hAnsiTheme="majorHAnsi"/>
                <w:bCs/>
              </w:rPr>
              <w:t>②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vAlign w:val="center"/>
          </w:tcPr>
          <w:p w14:paraId="1174CDE3">
            <w:pPr>
              <w:pStyle w:val="14"/>
              <w:rPr>
                <w:rFonts w:hint="eastAsia"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490B409A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</w:rPr>
              <w:t>1.</w:t>
            </w:r>
            <w:r>
              <w:rPr>
                <w:rFonts w:hint="eastAsia" w:cs="Times New Roman"/>
              </w:rPr>
              <w:t xml:space="preserve"> 掌握重点语法知识，如现在完成时、各类从句（时间状语从句、条件状语从句、宾语从句、原因状语从句）、形容词变格、反身动词、过去时，使自己的德语表达更加准确、流畅。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4FBA2431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50%</w:t>
            </w:r>
          </w:p>
        </w:tc>
      </w:tr>
      <w:tr w14:paraId="66007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591F2AF">
            <w:pPr>
              <w:pStyle w:val="14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5B180E92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vAlign w:val="center"/>
          </w:tcPr>
          <w:p w14:paraId="44F3DF90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4651" w:type="dxa"/>
            <w:vAlign w:val="center"/>
          </w:tcPr>
          <w:p w14:paraId="5AD48010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</w:rPr>
              <w:t xml:space="preserve">2. </w:t>
            </w:r>
            <w:r>
              <w:rPr>
                <w:rFonts w:hint="eastAsia" w:cs="Times New Roman"/>
              </w:rPr>
              <w:t>识记约</w:t>
            </w:r>
            <w:r>
              <w:rPr>
                <w:rFonts w:cs="Times New Roman"/>
              </w:rPr>
              <w:t>700</w:t>
            </w:r>
            <w:r>
              <w:rPr>
                <w:rFonts w:hint="eastAsia" w:cs="Times New Roman"/>
              </w:rPr>
              <w:t>个单词，能够将其中约</w:t>
            </w:r>
            <w:r>
              <w:rPr>
                <w:rFonts w:cs="Times New Roman"/>
              </w:rPr>
              <w:t>500</w:t>
            </w:r>
            <w:r>
              <w:rPr>
                <w:rFonts w:hint="eastAsia" w:cs="Times New Roman"/>
              </w:rPr>
              <w:t>个单词正确熟练运用到书面和口头表达中。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2541BD1B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25%</w:t>
            </w:r>
          </w:p>
        </w:tc>
      </w:tr>
      <w:tr w14:paraId="4CE47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C3141B7">
            <w:pPr>
              <w:pStyle w:val="14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48B2CAF8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vAlign w:val="center"/>
          </w:tcPr>
          <w:p w14:paraId="0E215C7F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4651" w:type="dxa"/>
            <w:vAlign w:val="center"/>
          </w:tcPr>
          <w:p w14:paraId="30E623CB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</w:rPr>
              <w:t>3.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听懂日常生活场景中的对话或阐述、</w:t>
            </w:r>
            <w:r>
              <w:rPr>
                <w:rFonts w:hint="eastAsia" w:cs="Times New Roman"/>
              </w:rPr>
              <w:t>收音机中的报导或者采访、电话录音和公共广播，</w:t>
            </w:r>
            <w:r>
              <w:rPr>
                <w:rFonts w:hint="eastAsia" w:ascii="宋体" w:hAnsi="宋体"/>
              </w:rPr>
              <w:t>从中提取和处理信息。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07F7EA4E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10%</w:t>
            </w:r>
          </w:p>
        </w:tc>
      </w:tr>
      <w:tr w14:paraId="181F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5F7C0A2">
            <w:pPr>
              <w:pStyle w:val="14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0CA5C366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vAlign w:val="center"/>
          </w:tcPr>
          <w:p w14:paraId="4E45CA8A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4651" w:type="dxa"/>
            <w:vAlign w:val="center"/>
          </w:tcPr>
          <w:p w14:paraId="6677E998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</w:rPr>
              <w:t xml:space="preserve">4. </w:t>
            </w:r>
            <w:r>
              <w:rPr>
                <w:rFonts w:hint="eastAsia" w:ascii="宋体" w:hAnsi="宋体"/>
              </w:rPr>
              <w:t>运用所学的词汇及语法知识完成短篇记叙文的写作。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214967C7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15%</w:t>
            </w:r>
          </w:p>
        </w:tc>
      </w:tr>
      <w:tr w14:paraId="4E495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3D1AF53">
            <w:pPr>
              <w:pStyle w:val="14"/>
            </w:pPr>
            <w:r>
              <w:rPr>
                <w:rFonts w:cs="Times New Roman"/>
                <w:b/>
              </w:rPr>
              <w:t>LO4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4E3FE90E">
            <w:pPr>
              <w:pStyle w:val="14"/>
              <w:rPr>
                <w:rFonts w:cs="Times New Roman"/>
                <w:bCs/>
              </w:rPr>
            </w:pPr>
            <w:r>
              <w:rPr>
                <w:rFonts w:cs="Cambria Math" w:asciiTheme="majorHAnsi" w:hAnsiTheme="majorHAnsi"/>
                <w:bCs/>
              </w:rPr>
              <w:t>②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vAlign w:val="center"/>
          </w:tcPr>
          <w:p w14:paraId="04DC9921">
            <w:pPr>
              <w:pStyle w:val="14"/>
              <w:rPr>
                <w:rFonts w:hint="eastAsia" w:ascii="宋体" w:hAnsi="宋体"/>
              </w:rPr>
            </w:pPr>
            <w:r>
              <w:rPr>
                <w:rFonts w:hint="eastAsia" w:cs="Times New Roman"/>
              </w:rPr>
              <w:t>M</w:t>
            </w:r>
          </w:p>
        </w:tc>
        <w:tc>
          <w:tcPr>
            <w:tcW w:w="4651" w:type="dxa"/>
            <w:vAlign w:val="center"/>
          </w:tcPr>
          <w:p w14:paraId="1DEB2EB4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</w:rPr>
              <w:t xml:space="preserve">5. </w:t>
            </w:r>
            <w:r>
              <w:rPr>
                <w:rFonts w:hint="eastAsia" w:cs="Times New Roman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626B6D34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100%</w:t>
            </w:r>
          </w:p>
        </w:tc>
      </w:tr>
      <w:tr w14:paraId="180A5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6046E1E">
            <w:pPr>
              <w:pStyle w:val="14"/>
            </w:pPr>
            <w:r>
              <w:rPr>
                <w:rFonts w:cs="Times New Roman"/>
                <w:b/>
              </w:rPr>
              <w:t>LO8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6301539B">
            <w:pPr>
              <w:pStyle w:val="14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44F151ED">
            <w:pPr>
              <w:pStyle w:val="14"/>
              <w:rPr>
                <w:rFonts w:hint="eastAsia"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78E0CB29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</w:rPr>
              <w:t xml:space="preserve">6. </w:t>
            </w:r>
            <w:r>
              <w:rPr>
                <w:rFonts w:hint="eastAsia" w:cs="Times New Roman"/>
              </w:rPr>
              <w:t>可以理解与重要领域相关的语句和常用表达（例如个人和家庭信息、购物、工作、当地情况）。能够在熟悉语境下进行语速中等，语音清晰的交流。能够应对基本的社会交际场景，如：租房、通话、做客</w:t>
            </w:r>
            <w:r>
              <w:rPr>
                <w:rFonts w:hint="eastAsia" w:cs="Times New Roman"/>
                <w:color w:val="auto"/>
              </w:rPr>
              <w:t>、就医、</w:t>
            </w:r>
            <w:r>
              <w:rPr>
                <w:rFonts w:hint="eastAsia" w:cs="Times New Roman"/>
              </w:rPr>
              <w:t>寒暄</w:t>
            </w:r>
            <w:r>
              <w:rPr>
                <w:rFonts w:cs="Times New Roman"/>
              </w:rPr>
              <w:t>等</w:t>
            </w:r>
            <w:r>
              <w:rPr>
                <w:rFonts w:hint="eastAsia" w:cs="Times New Roman"/>
              </w:rPr>
              <w:t>。</w:t>
            </w:r>
            <w:r>
              <w:rPr>
                <w:rFonts w:cs="Times New Roman"/>
              </w:rPr>
              <w:t>能用简单的方式描述自己的出身和教育、当前的环境和与当前需要相关的事物。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2DECA78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100%</w:t>
            </w:r>
          </w:p>
        </w:tc>
      </w:tr>
    </w:tbl>
    <w:p w14:paraId="6FBA2816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53A0D5EB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26DA9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043A2F3">
            <w:pPr>
              <w:pStyle w:val="14"/>
              <w:widowControl w:val="0"/>
              <w:jc w:val="left"/>
              <w:rPr>
                <w:rFonts w:cs="Times New Roman"/>
              </w:rPr>
            </w:pPr>
            <w:bookmarkStart w:id="0" w:name="OLE_LINK6"/>
            <w:bookmarkStart w:id="1" w:name="OLE_LINK5"/>
            <w:r>
              <w:rPr>
                <w:rFonts w:hint="eastAsia" w:cs="Times New Roman"/>
              </w:rPr>
              <w:t xml:space="preserve">第一册第九单元 </w:t>
            </w:r>
            <w:r>
              <w:rPr>
                <w:rFonts w:cs="Times New Roman"/>
              </w:rPr>
              <w:t>Ein Dach über dem Kopf</w:t>
            </w:r>
          </w:p>
          <w:p w14:paraId="7DCF2049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知识点：理解9个</w:t>
            </w:r>
            <w:r>
              <w:rPr>
                <w:szCs w:val="20"/>
              </w:rPr>
              <w:t>带第三格和第四格的介词</w:t>
            </w:r>
            <w:r>
              <w:rPr>
                <w:rFonts w:hint="eastAsia"/>
                <w:szCs w:val="20"/>
              </w:rPr>
              <w:t>的格位选择；理解</w:t>
            </w:r>
            <w:r>
              <w:rPr>
                <w:szCs w:val="20"/>
              </w:rPr>
              <w:t>情态动词dürfen和sollen</w:t>
            </w:r>
            <w:r>
              <w:rPr>
                <w:rFonts w:hint="eastAsia"/>
                <w:szCs w:val="20"/>
              </w:rPr>
              <w:t>的变位及用法；知道</w:t>
            </w:r>
            <w:r>
              <w:rPr>
                <w:szCs w:val="20"/>
              </w:rPr>
              <w:t>不定代词</w:t>
            </w:r>
            <w:r>
              <w:rPr>
                <w:rFonts w:hint="eastAsia"/>
                <w:szCs w:val="20"/>
              </w:rPr>
              <w:t>man和e</w:t>
            </w:r>
            <w:r>
              <w:rPr>
                <w:szCs w:val="20"/>
              </w:rPr>
              <w:t>in-</w:t>
            </w:r>
            <w:r>
              <w:rPr>
                <w:rFonts w:hint="eastAsia"/>
                <w:szCs w:val="20"/>
              </w:rPr>
              <w:t>；运用wohnen的语义场内的词汇描述居住情况；运用gefallen</w:t>
            </w:r>
            <w:r>
              <w:rPr>
                <w:szCs w:val="20"/>
              </w:rPr>
              <w:t>/</w:t>
            </w:r>
            <w:r>
              <w:rPr>
                <w:rFonts w:hint="eastAsia"/>
                <w:szCs w:val="20"/>
              </w:rPr>
              <w:t>finden表达个人喜好。</w:t>
            </w:r>
          </w:p>
          <w:p w14:paraId="0E1692D3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能力要求：</w:t>
            </w:r>
            <w:r>
              <w:rPr>
                <w:szCs w:val="20"/>
              </w:rPr>
              <w:t>描述</w:t>
            </w:r>
            <w:r>
              <w:rPr>
                <w:rFonts w:hint="eastAsia"/>
                <w:szCs w:val="20"/>
              </w:rPr>
              <w:t>住房类型、房间布置并对房屋进行评价；</w:t>
            </w:r>
            <w:r>
              <w:rPr>
                <w:szCs w:val="20"/>
              </w:rPr>
              <w:t>运用合适的情态动词给出意见、提出理由、征求许可、禁止某人做某事</w:t>
            </w:r>
            <w:r>
              <w:rPr>
                <w:rFonts w:hint="eastAsia"/>
                <w:szCs w:val="20"/>
              </w:rPr>
              <w:t>。</w:t>
            </w:r>
          </w:p>
          <w:p w14:paraId="5F85B0C0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cs="Times New Roman"/>
              </w:rPr>
              <w:t>教学难点：静三动四介词的格位辨析；</w:t>
            </w:r>
            <w:r>
              <w:rPr>
                <w:szCs w:val="20"/>
              </w:rPr>
              <w:t>情态动词的变位以及在句子中的正确使用</w:t>
            </w:r>
            <w:r>
              <w:rPr>
                <w:rFonts w:hint="eastAsia"/>
                <w:szCs w:val="20"/>
              </w:rPr>
              <w:t>。</w:t>
            </w:r>
          </w:p>
        </w:tc>
      </w:tr>
      <w:tr w14:paraId="3C65C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5BA37E1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第一册第十单元 </w:t>
            </w:r>
            <w:r>
              <w:rPr>
                <w:rFonts w:cs="Times New Roman"/>
              </w:rPr>
              <w:t>Ein Blick zurück</w:t>
            </w:r>
          </w:p>
          <w:p w14:paraId="23FE799F">
            <w:pPr>
              <w:pStyle w:val="14"/>
              <w:widowControl w:val="0"/>
              <w:jc w:val="left"/>
              <w:rPr>
                <w:szCs w:val="20"/>
              </w:rPr>
            </w:pPr>
            <w:r>
              <w:rPr>
                <w:rFonts w:hint="eastAsia" w:cs="Times New Roman"/>
              </w:rPr>
              <w:t>知识点：理解并运用</w:t>
            </w:r>
            <w:r>
              <w:rPr>
                <w:szCs w:val="20"/>
              </w:rPr>
              <w:t>haben引导的规则动词完成时</w:t>
            </w:r>
            <w:r>
              <w:rPr>
                <w:rFonts w:hint="eastAsia"/>
                <w:szCs w:val="20"/>
              </w:rPr>
              <w:t>；知道</w:t>
            </w:r>
            <w:r>
              <w:rPr>
                <w:szCs w:val="20"/>
              </w:rPr>
              <w:t>haben和sein的过去时</w:t>
            </w:r>
            <w:r>
              <w:rPr>
                <w:rFonts w:hint="eastAsia"/>
                <w:szCs w:val="20"/>
              </w:rPr>
              <w:t>变位；理解</w:t>
            </w:r>
            <w:r>
              <w:rPr>
                <w:szCs w:val="20"/>
              </w:rPr>
              <w:t>介词补足语</w:t>
            </w:r>
            <w:r>
              <w:rPr>
                <w:rFonts w:hint="eastAsia"/>
                <w:szCs w:val="20"/>
              </w:rPr>
              <w:t>的功能；知道表达时间的副词；理解haben和machen的区别；知道常用的可分动词。</w:t>
            </w:r>
          </w:p>
          <w:p w14:paraId="748C9C27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能力要求：运用相关句型和词汇进行通话；</w:t>
            </w:r>
            <w:r>
              <w:rPr>
                <w:szCs w:val="20"/>
              </w:rPr>
              <w:t>运用</w:t>
            </w:r>
            <w:r>
              <w:rPr>
                <w:rFonts w:hint="eastAsia"/>
                <w:szCs w:val="20"/>
              </w:rPr>
              <w:t>完成时</w:t>
            </w:r>
            <w:r>
              <w:rPr>
                <w:szCs w:val="20"/>
              </w:rPr>
              <w:t>谈论过去的事情</w:t>
            </w:r>
            <w:r>
              <w:rPr>
                <w:rFonts w:hint="eastAsia"/>
                <w:szCs w:val="20"/>
              </w:rPr>
              <w:t>；做出猜测。</w:t>
            </w:r>
          </w:p>
          <w:p w14:paraId="4315F506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教学难点：</w:t>
            </w:r>
            <w:r>
              <w:rPr>
                <w:szCs w:val="20"/>
              </w:rPr>
              <w:t>现在</w:t>
            </w:r>
            <w:r>
              <w:rPr>
                <w:rFonts w:hint="eastAsia"/>
                <w:szCs w:val="20"/>
              </w:rPr>
              <w:t>完成时</w:t>
            </w:r>
            <w:r>
              <w:rPr>
                <w:szCs w:val="20"/>
              </w:rPr>
              <w:t>的构成规则及结构；动词的</w:t>
            </w:r>
            <w:r>
              <w:rPr>
                <w:rFonts w:hint="eastAsia"/>
                <w:szCs w:val="20"/>
              </w:rPr>
              <w:t>完成时</w:t>
            </w:r>
            <w:r>
              <w:rPr>
                <w:szCs w:val="20"/>
              </w:rPr>
              <w:t>变位</w:t>
            </w:r>
            <w:r>
              <w:rPr>
                <w:rFonts w:hint="eastAsia"/>
                <w:szCs w:val="20"/>
              </w:rPr>
              <w:t>。</w:t>
            </w:r>
          </w:p>
        </w:tc>
      </w:tr>
      <w:tr w14:paraId="6D2B1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38A5730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第一册第十一单元 </w:t>
            </w:r>
            <w:r>
              <w:rPr>
                <w:rFonts w:cs="Times New Roman"/>
              </w:rPr>
              <w:t>Fröhliche Weihnachten und ein gutes neues Jahr!</w:t>
            </w:r>
          </w:p>
          <w:p w14:paraId="1D3FC72C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知识点：知道</w:t>
            </w:r>
            <w:r>
              <w:rPr>
                <w:szCs w:val="20"/>
              </w:rPr>
              <w:t>情态动词过去式</w:t>
            </w:r>
            <w:r>
              <w:rPr>
                <w:rFonts w:hint="eastAsia"/>
                <w:szCs w:val="20"/>
              </w:rPr>
              <w:t>；理解并运用</w:t>
            </w:r>
            <w:r>
              <w:rPr>
                <w:szCs w:val="20"/>
              </w:rPr>
              <w:t>haben引导的不规则动词的现在完成时</w:t>
            </w:r>
            <w:r>
              <w:rPr>
                <w:rFonts w:hint="eastAsia"/>
                <w:szCs w:val="20"/>
              </w:rPr>
              <w:t>；理解并运用</w:t>
            </w:r>
            <w:r>
              <w:rPr>
                <w:szCs w:val="20"/>
              </w:rPr>
              <w:t>sein引导的完成时</w:t>
            </w:r>
            <w:r>
              <w:rPr>
                <w:rFonts w:hint="eastAsia"/>
                <w:szCs w:val="20"/>
              </w:rPr>
              <w:t>；知道</w:t>
            </w:r>
            <w:r>
              <w:rPr>
                <w:szCs w:val="20"/>
              </w:rPr>
              <w:t>可分动词</w:t>
            </w:r>
            <w:r>
              <w:rPr>
                <w:rFonts w:hint="eastAsia"/>
                <w:szCs w:val="20"/>
              </w:rPr>
              <w:t>的完成时构成规律；运用Weihnachten语义场内的词汇描述圣诞节活动；知道常用的书信问候语，理解官方与非官方问候的区别，运用相应表达书写贺卡。</w:t>
            </w:r>
          </w:p>
          <w:p w14:paraId="32C8AAD7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能力要求：</w:t>
            </w:r>
            <w:r>
              <w:rPr>
                <w:szCs w:val="20"/>
              </w:rPr>
              <w:t>运用现在</w:t>
            </w:r>
            <w:r>
              <w:rPr>
                <w:rFonts w:hint="eastAsia"/>
                <w:szCs w:val="20"/>
              </w:rPr>
              <w:t>完成时描述经历</w:t>
            </w:r>
            <w:r>
              <w:rPr>
                <w:szCs w:val="20"/>
              </w:rPr>
              <w:t>；描述节日及庆祝活动</w:t>
            </w:r>
            <w:r>
              <w:rPr>
                <w:rFonts w:hint="eastAsia"/>
                <w:szCs w:val="20"/>
              </w:rPr>
              <w:t>；复述故事；书写贺卡。</w:t>
            </w:r>
          </w:p>
          <w:p w14:paraId="00E1B00A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教学难点：</w:t>
            </w:r>
            <w:r>
              <w:rPr>
                <w:rFonts w:hint="eastAsia"/>
              </w:rPr>
              <w:t>haben和sein作为完成时助动词的用法区别</w:t>
            </w:r>
            <w:r>
              <w:rPr>
                <w:rFonts w:hint="eastAsia"/>
                <w:szCs w:val="20"/>
              </w:rPr>
              <w:t>。</w:t>
            </w:r>
          </w:p>
        </w:tc>
      </w:tr>
      <w:tr w14:paraId="617BD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07424FC9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第一册第十二单元 </w:t>
            </w:r>
            <w:r>
              <w:rPr>
                <w:rFonts w:cs="Times New Roman"/>
              </w:rPr>
              <w:t>Das Lernen lernen: Wiederholen</w:t>
            </w:r>
          </w:p>
          <w:p w14:paraId="15FB930F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知识点：</w:t>
            </w:r>
            <w:r>
              <w:rPr>
                <w:rFonts w:hint="eastAsia"/>
              </w:rPr>
              <w:t>理解5种句中</w:t>
            </w:r>
            <w:r>
              <w:rPr>
                <w:szCs w:val="20"/>
              </w:rPr>
              <w:t>框架结构</w:t>
            </w:r>
            <w:r>
              <w:rPr>
                <w:rFonts w:hint="eastAsia"/>
                <w:szCs w:val="20"/>
              </w:rPr>
              <w:t>；知道5个不占位</w:t>
            </w:r>
            <w:r>
              <w:rPr>
                <w:szCs w:val="20"/>
              </w:rPr>
              <w:t>连词、</w:t>
            </w:r>
            <w:r>
              <w:rPr>
                <w:rFonts w:hint="eastAsia"/>
                <w:szCs w:val="20"/>
              </w:rPr>
              <w:t>运用</w:t>
            </w:r>
            <w:r>
              <w:rPr>
                <w:szCs w:val="20"/>
              </w:rPr>
              <w:t>命令式</w:t>
            </w:r>
            <w:r>
              <w:rPr>
                <w:rFonts w:hint="eastAsia"/>
                <w:szCs w:val="20"/>
              </w:rPr>
              <w:t>/一般疑问句表达自身要求；理解</w:t>
            </w:r>
            <w:r>
              <w:rPr>
                <w:szCs w:val="20"/>
              </w:rPr>
              <w:t>句型结构</w:t>
            </w:r>
            <w:r>
              <w:rPr>
                <w:rFonts w:hint="eastAsia"/>
                <w:szCs w:val="20"/>
              </w:rPr>
              <w:t>；知道常见的名词词尾对应的复数构成及词性规律；运用Studentenleben语义场的词汇描述校园生活。</w:t>
            </w:r>
          </w:p>
          <w:p w14:paraId="6F457366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能力要求：</w:t>
            </w:r>
            <w:r>
              <w:rPr>
                <w:szCs w:val="20"/>
              </w:rPr>
              <w:t>分析课本上提到的复习方法</w:t>
            </w:r>
            <w:r>
              <w:rPr>
                <w:rFonts w:hint="eastAsia"/>
                <w:szCs w:val="20"/>
              </w:rPr>
              <w:t>并给出评价；</w:t>
            </w:r>
            <w:r>
              <w:rPr>
                <w:szCs w:val="20"/>
              </w:rPr>
              <w:t>整合知识结构，对本册教材所学内容进行有效复习和总结</w:t>
            </w:r>
            <w:r>
              <w:rPr>
                <w:rFonts w:hint="eastAsia"/>
                <w:szCs w:val="20"/>
              </w:rPr>
              <w:t>。</w:t>
            </w:r>
          </w:p>
          <w:p w14:paraId="72813284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教学难点：句型结构，</w:t>
            </w:r>
            <w:r>
              <w:rPr>
                <w:rFonts w:hint="eastAsia"/>
                <w:szCs w:val="20"/>
              </w:rPr>
              <w:t>尤其是动词的配价。</w:t>
            </w:r>
          </w:p>
        </w:tc>
      </w:tr>
      <w:tr w14:paraId="16B08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503C3EF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第二册第一单元 W</w:t>
            </w:r>
            <w:r>
              <w:rPr>
                <w:rFonts w:cs="Times New Roman"/>
              </w:rPr>
              <w:t>enn einer eine Reise tut, …</w:t>
            </w:r>
          </w:p>
          <w:p w14:paraId="4C8069E9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知识点：运用</w:t>
            </w:r>
            <w:r>
              <w:rPr>
                <w:rFonts w:cs="Times New Roman"/>
              </w:rPr>
              <w:t>wenn作连词的条件从句和时间从句</w:t>
            </w:r>
            <w:r>
              <w:rPr>
                <w:rFonts w:hint="eastAsia" w:cs="Times New Roman"/>
              </w:rPr>
              <w:t>优化表达</w:t>
            </w:r>
            <w:r>
              <w:rPr>
                <w:rFonts w:cs="Times New Roman"/>
              </w:rPr>
              <w:t>；</w:t>
            </w:r>
            <w:r>
              <w:rPr>
                <w:rFonts w:hint="eastAsia" w:cs="Times New Roman"/>
              </w:rPr>
              <w:t>理解</w:t>
            </w:r>
            <w:r>
              <w:rPr>
                <w:rFonts w:cs="Times New Roman"/>
              </w:rPr>
              <w:t>第二格及带第二格的介词</w:t>
            </w:r>
            <w:r>
              <w:rPr>
                <w:rFonts w:hint="eastAsia" w:cs="Times New Roman"/>
              </w:rPr>
              <w:t>；知道描述天气的词汇；知道亲属类词汇；运用方位类词汇描述位置关系；知道地理名词派生为形容词的用法。</w:t>
            </w:r>
          </w:p>
          <w:p w14:paraId="756BF16C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能力</w:t>
            </w:r>
            <w:r>
              <w:rPr>
                <w:rFonts w:cs="Times New Roman"/>
              </w:rPr>
              <w:t>要求</w:t>
            </w:r>
            <w:r>
              <w:rPr>
                <w:rFonts w:hint="eastAsia" w:cs="Times New Roman"/>
              </w:rPr>
              <w:t>：谈论假期和休闲时间；以口头和书面的形式描述节日和假期；描述天气情况；介绍家乡。</w:t>
            </w:r>
          </w:p>
          <w:p w14:paraId="211AA820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教学</w:t>
            </w:r>
            <w:r>
              <w:rPr>
                <w:rFonts w:cs="Times New Roman"/>
              </w:rPr>
              <w:t>难点</w:t>
            </w:r>
            <w:r>
              <w:rPr>
                <w:rFonts w:hint="eastAsia" w:cs="Times New Roman"/>
              </w:rPr>
              <w:t>：从句的用法及构成特征；</w:t>
            </w:r>
            <w:r>
              <w:rPr>
                <w:szCs w:val="20"/>
              </w:rPr>
              <w:t>第二格的理解</w:t>
            </w:r>
            <w:r>
              <w:rPr>
                <w:rFonts w:hint="eastAsia"/>
                <w:szCs w:val="20"/>
              </w:rPr>
              <w:t>。</w:t>
            </w:r>
          </w:p>
        </w:tc>
      </w:tr>
      <w:tr w14:paraId="156DC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B9B43A4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第二册第二单元 </w:t>
            </w:r>
            <w:r>
              <w:rPr>
                <w:rFonts w:cs="Times New Roman"/>
              </w:rPr>
              <w:t>Schein und Sein</w:t>
            </w:r>
          </w:p>
          <w:p w14:paraId="0E7EE085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知识点：理解形容词变位（第一格、第四格）；知道身体部位的词汇；知道前缀un的用法。</w:t>
            </w:r>
          </w:p>
          <w:p w14:paraId="3477FE32">
            <w:pPr>
              <w:pStyle w:val="14"/>
              <w:widowControl w:val="0"/>
              <w:jc w:val="left"/>
              <w:rPr>
                <w:szCs w:val="20"/>
              </w:rPr>
            </w:pPr>
            <w:r>
              <w:rPr>
                <w:rFonts w:hint="eastAsia" w:cs="Times New Roman"/>
              </w:rPr>
              <w:t>能力要求：</w:t>
            </w:r>
            <w:r>
              <w:rPr>
                <w:szCs w:val="20"/>
              </w:rPr>
              <w:t>运用形容词变位的准确形式对人进行形容和评价；理解个人自传</w:t>
            </w:r>
            <w:r>
              <w:rPr>
                <w:rFonts w:hint="eastAsia"/>
                <w:szCs w:val="20"/>
              </w:rPr>
              <w:t>。</w:t>
            </w:r>
          </w:p>
          <w:p w14:paraId="40B907D2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/>
                <w:szCs w:val="20"/>
              </w:rPr>
              <w:t>教学难点：</w:t>
            </w:r>
            <w:r>
              <w:rPr>
                <w:szCs w:val="20"/>
              </w:rPr>
              <w:t>形容词</w:t>
            </w:r>
            <w:r>
              <w:rPr>
                <w:rFonts w:hint="eastAsia"/>
                <w:szCs w:val="20"/>
              </w:rPr>
              <w:t>作定语和作表语的用法区别；形容词变格的依据及规律。</w:t>
            </w:r>
          </w:p>
        </w:tc>
      </w:tr>
      <w:tr w14:paraId="7E34D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1A1F982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第二册第三单元 </w:t>
            </w:r>
            <w:r>
              <w:rPr>
                <w:rFonts w:cs="Times New Roman"/>
              </w:rPr>
              <w:t>Raub, Lüge und Betrug - Ein Krimi</w:t>
            </w:r>
          </w:p>
          <w:p w14:paraId="7DEDD2E7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知识点：运用</w:t>
            </w:r>
            <w:r>
              <w:rPr>
                <w:szCs w:val="20"/>
              </w:rPr>
              <w:t>从句（dass从句、ob从句</w:t>
            </w:r>
            <w:r>
              <w:rPr>
                <w:rFonts w:hint="eastAsia"/>
                <w:szCs w:val="20"/>
              </w:rPr>
              <w:t>，W</w:t>
            </w:r>
            <w:r>
              <w:rPr>
                <w:szCs w:val="20"/>
              </w:rPr>
              <w:t>-F</w:t>
            </w:r>
            <w:r>
              <w:rPr>
                <w:rFonts w:hint="eastAsia"/>
                <w:szCs w:val="20"/>
              </w:rPr>
              <w:t>rage从句</w:t>
            </w:r>
            <w:r>
              <w:rPr>
                <w:szCs w:val="20"/>
              </w:rPr>
              <w:t>）</w:t>
            </w:r>
            <w:r>
              <w:rPr>
                <w:rFonts w:hint="eastAsia"/>
                <w:szCs w:val="20"/>
              </w:rPr>
              <w:t>优化表达</w:t>
            </w:r>
            <w:r>
              <w:rPr>
                <w:szCs w:val="20"/>
              </w:rPr>
              <w:t>；</w:t>
            </w:r>
            <w:r>
              <w:rPr>
                <w:rFonts w:hint="eastAsia"/>
                <w:szCs w:val="20"/>
              </w:rPr>
              <w:t>理解</w:t>
            </w:r>
            <w:r>
              <w:rPr>
                <w:szCs w:val="20"/>
              </w:rPr>
              <w:t>形容词变位（第二格、第三格）；</w:t>
            </w:r>
            <w:r>
              <w:rPr>
                <w:rFonts w:hint="eastAsia"/>
                <w:szCs w:val="20"/>
              </w:rPr>
              <w:t>知道</w:t>
            </w:r>
            <w:r>
              <w:rPr>
                <w:szCs w:val="20"/>
              </w:rPr>
              <w:t>序数词</w:t>
            </w:r>
            <w:r>
              <w:rPr>
                <w:rFonts w:hint="eastAsia"/>
                <w:szCs w:val="20"/>
              </w:rPr>
              <w:t>的用法及构成</w:t>
            </w:r>
            <w:r>
              <w:rPr>
                <w:szCs w:val="20"/>
              </w:rPr>
              <w:t>；</w:t>
            </w:r>
            <w:r>
              <w:rPr>
                <w:rFonts w:hint="eastAsia"/>
                <w:szCs w:val="20"/>
              </w:rPr>
              <w:t>知道</w:t>
            </w:r>
            <w:r>
              <w:rPr>
                <w:szCs w:val="20"/>
              </w:rPr>
              <w:t>日期、颜色表述</w:t>
            </w:r>
            <w:r>
              <w:rPr>
                <w:rFonts w:hint="eastAsia"/>
                <w:szCs w:val="20"/>
              </w:rPr>
              <w:t>。</w:t>
            </w:r>
          </w:p>
          <w:p w14:paraId="27C0F097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能力要求：</w:t>
            </w:r>
            <w:r>
              <w:rPr>
                <w:szCs w:val="20"/>
              </w:rPr>
              <w:t>运用相关句型，讲述完整的故事；运用形容词描述衣服和外貌</w:t>
            </w:r>
            <w:r>
              <w:rPr>
                <w:rFonts w:hint="eastAsia"/>
                <w:szCs w:val="20"/>
              </w:rPr>
              <w:t>；能够使用相关句型进行询问、反问与反驳；谈论计划。</w:t>
            </w:r>
          </w:p>
          <w:p w14:paraId="7A147762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教学难点：</w:t>
            </w:r>
            <w:r>
              <w:rPr>
                <w:szCs w:val="20"/>
              </w:rPr>
              <w:t>从句</w:t>
            </w:r>
            <w:r>
              <w:rPr>
                <w:rFonts w:hint="eastAsia"/>
                <w:szCs w:val="20"/>
              </w:rPr>
              <w:t>连词的选择。</w:t>
            </w:r>
          </w:p>
        </w:tc>
      </w:tr>
      <w:tr w14:paraId="7669D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EDF6DDB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第二册第四单元 </w:t>
            </w:r>
            <w:r>
              <w:rPr>
                <w:rFonts w:cs="Times New Roman"/>
              </w:rPr>
              <w:t>Gute Besserung!</w:t>
            </w:r>
          </w:p>
          <w:p w14:paraId="0C86631F">
            <w:pPr>
              <w:pStyle w:val="14"/>
              <w:widowControl w:val="0"/>
              <w:jc w:val="left"/>
              <w:rPr>
                <w:szCs w:val="20"/>
              </w:rPr>
            </w:pPr>
            <w:r>
              <w:rPr>
                <w:rFonts w:hint="eastAsia" w:cs="Times New Roman"/>
              </w:rPr>
              <w:t>知识点：理解并运用</w:t>
            </w:r>
            <w:r>
              <w:rPr>
                <w:szCs w:val="20"/>
              </w:rPr>
              <w:t>反身动词；</w:t>
            </w:r>
            <w:r>
              <w:rPr>
                <w:rFonts w:hint="eastAsia"/>
                <w:szCs w:val="20"/>
              </w:rPr>
              <w:t>知道</w:t>
            </w:r>
            <w:r>
              <w:rPr>
                <w:szCs w:val="20"/>
              </w:rPr>
              <w:t>带四格的介词；</w:t>
            </w:r>
            <w:r>
              <w:rPr>
                <w:rFonts w:hint="eastAsia"/>
                <w:szCs w:val="20"/>
              </w:rPr>
              <w:t>知道</w:t>
            </w:r>
            <w:r>
              <w:rPr>
                <w:szCs w:val="20"/>
              </w:rPr>
              <w:t>名词四格作说明语；</w:t>
            </w:r>
            <w:r>
              <w:rPr>
                <w:rFonts w:hint="eastAsia"/>
                <w:szCs w:val="20"/>
              </w:rPr>
              <w:t>运用加时间的介词描述先后顺序。</w:t>
            </w:r>
          </w:p>
          <w:p w14:paraId="1A9559C8">
            <w:pPr>
              <w:pStyle w:val="14"/>
              <w:widowControl w:val="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能力要求：</w:t>
            </w:r>
            <w:r>
              <w:rPr>
                <w:szCs w:val="20"/>
              </w:rPr>
              <w:t>理解反身代词；理解德语笑话；运用相关</w:t>
            </w:r>
            <w:r>
              <w:rPr>
                <w:rFonts w:hint="eastAsia"/>
                <w:szCs w:val="20"/>
              </w:rPr>
              <w:t>句型和词汇描述</w:t>
            </w:r>
            <w:r>
              <w:rPr>
                <w:szCs w:val="20"/>
              </w:rPr>
              <w:t>健康</w:t>
            </w:r>
            <w:r>
              <w:rPr>
                <w:rFonts w:hint="eastAsia"/>
                <w:szCs w:val="20"/>
              </w:rPr>
              <w:t>状况</w:t>
            </w:r>
            <w:r>
              <w:rPr>
                <w:szCs w:val="20"/>
              </w:rPr>
              <w:t>，进行医生和病人之间的情景演练</w:t>
            </w:r>
            <w:r>
              <w:rPr>
                <w:rFonts w:hint="eastAsia"/>
                <w:szCs w:val="20"/>
              </w:rPr>
              <w:t>；使用相关句型和词汇给出建议，采纳或摒弃建议；商定日程安排。</w:t>
            </w:r>
          </w:p>
          <w:p w14:paraId="6E05FA8D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教学难点：</w:t>
            </w:r>
            <w:r>
              <w:rPr>
                <w:szCs w:val="20"/>
              </w:rPr>
              <w:t>反身动词的含义</w:t>
            </w:r>
            <w:r>
              <w:rPr>
                <w:rFonts w:hint="eastAsia"/>
                <w:szCs w:val="20"/>
              </w:rPr>
              <w:t>及反身代词的格位的判断。</w:t>
            </w:r>
          </w:p>
        </w:tc>
      </w:tr>
      <w:tr w14:paraId="39A1F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8CD1E9E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第二册第五单元 </w:t>
            </w:r>
            <w:r>
              <w:rPr>
                <w:rFonts w:cs="Times New Roman"/>
              </w:rPr>
              <w:t>Das Lernen lernen: Lesen</w:t>
            </w:r>
          </w:p>
          <w:p w14:paraId="501C6D89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知识点：知道</w:t>
            </w:r>
            <w:r>
              <w:rPr>
                <w:szCs w:val="20"/>
              </w:rPr>
              <w:t>代副词</w:t>
            </w:r>
            <w:r>
              <w:rPr>
                <w:rFonts w:hint="eastAsia"/>
                <w:szCs w:val="20"/>
              </w:rPr>
              <w:t>的构成，理解其用法特征</w:t>
            </w:r>
            <w:r>
              <w:rPr>
                <w:szCs w:val="20"/>
              </w:rPr>
              <w:t>；</w:t>
            </w:r>
            <w:r>
              <w:rPr>
                <w:rFonts w:hint="eastAsia"/>
                <w:szCs w:val="20"/>
              </w:rPr>
              <w:t>知道</w:t>
            </w:r>
            <w:r>
              <w:rPr>
                <w:szCs w:val="20"/>
              </w:rPr>
              <w:t>名词短语</w:t>
            </w:r>
            <w:r>
              <w:rPr>
                <w:rFonts w:hint="eastAsia"/>
                <w:szCs w:val="20"/>
              </w:rPr>
              <w:t>的前置/后置定语；熟练运用形容词作定语；知道形容词派生作名词的构词法。</w:t>
            </w:r>
          </w:p>
          <w:p w14:paraId="6DA30E50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能力要求：</w:t>
            </w:r>
            <w:r>
              <w:rPr>
                <w:szCs w:val="20"/>
              </w:rPr>
              <w:t>综合前面单元所学，运用句型语法，完成听说读写等环节。</w:t>
            </w:r>
          </w:p>
          <w:p w14:paraId="1A7C9D0F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教学难点：</w:t>
            </w:r>
            <w:r>
              <w:rPr>
                <w:rFonts w:hint="eastAsia"/>
                <w:szCs w:val="20"/>
              </w:rPr>
              <w:t>代副词的功能及用法。</w:t>
            </w:r>
          </w:p>
        </w:tc>
      </w:tr>
      <w:tr w14:paraId="67C6C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0E8B46AE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第二册第六单元 </w:t>
            </w:r>
            <w:r>
              <w:rPr>
                <w:rFonts w:cs="Times New Roman"/>
              </w:rPr>
              <w:t>Zwischen gestern und morgen</w:t>
            </w:r>
          </w:p>
          <w:p w14:paraId="102345D9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知识点：知道</w:t>
            </w:r>
            <w:r>
              <w:rPr>
                <w:szCs w:val="20"/>
              </w:rPr>
              <w:t>过去时</w:t>
            </w:r>
            <w:r>
              <w:rPr>
                <w:rFonts w:hint="eastAsia"/>
                <w:szCs w:val="20"/>
              </w:rPr>
              <w:t>的用法及其与现在完成时的区别</w:t>
            </w:r>
            <w:r>
              <w:rPr>
                <w:szCs w:val="20"/>
              </w:rPr>
              <w:t>；</w:t>
            </w:r>
            <w:r>
              <w:rPr>
                <w:rFonts w:hint="eastAsia"/>
                <w:szCs w:val="20"/>
              </w:rPr>
              <w:t>知道</w:t>
            </w:r>
            <w:r>
              <w:rPr>
                <w:szCs w:val="20"/>
              </w:rPr>
              <w:t>weil从句</w:t>
            </w:r>
            <w:r>
              <w:rPr>
                <w:rFonts w:hint="eastAsia"/>
                <w:szCs w:val="20"/>
              </w:rPr>
              <w:t>和</w:t>
            </w:r>
            <w:r>
              <w:rPr>
                <w:szCs w:val="20"/>
              </w:rPr>
              <w:t>da引导的</w:t>
            </w:r>
            <w:r>
              <w:rPr>
                <w:rFonts w:hint="eastAsia"/>
                <w:szCs w:val="20"/>
              </w:rPr>
              <w:t>从句的区别；运用weil从句交代原因，优化表达</w:t>
            </w:r>
            <w:r>
              <w:rPr>
                <w:szCs w:val="20"/>
              </w:rPr>
              <w:t>；</w:t>
            </w:r>
            <w:r>
              <w:rPr>
                <w:rFonts w:hint="eastAsia"/>
                <w:szCs w:val="20"/>
              </w:rPr>
              <w:t>运用</w:t>
            </w:r>
            <w:r>
              <w:rPr>
                <w:szCs w:val="20"/>
              </w:rPr>
              <w:t>时间从句</w:t>
            </w:r>
            <w:r>
              <w:rPr>
                <w:rFonts w:hint="eastAsia"/>
                <w:szCs w:val="20"/>
              </w:rPr>
              <w:t>优化表达；运用Beruf语义场内的词汇描述职业；知道动词派生为名词的构词法；知道da的5种常见用法。</w:t>
            </w:r>
          </w:p>
          <w:p w14:paraId="343B57FF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能力要求：</w:t>
            </w:r>
            <w:r>
              <w:rPr>
                <w:rFonts w:hint="eastAsia"/>
                <w:szCs w:val="20"/>
              </w:rPr>
              <w:t>谈论求学经历</w:t>
            </w:r>
            <w:r>
              <w:rPr>
                <w:szCs w:val="20"/>
              </w:rPr>
              <w:t>；理解简历</w:t>
            </w:r>
            <w:r>
              <w:rPr>
                <w:rFonts w:hint="eastAsia"/>
                <w:szCs w:val="20"/>
              </w:rPr>
              <w:t>表</w:t>
            </w:r>
            <w:r>
              <w:rPr>
                <w:szCs w:val="20"/>
              </w:rPr>
              <w:t>；分析评价不同职业</w:t>
            </w:r>
            <w:r>
              <w:rPr>
                <w:rFonts w:hint="eastAsia"/>
                <w:szCs w:val="20"/>
              </w:rPr>
              <w:t>。</w:t>
            </w:r>
          </w:p>
          <w:p w14:paraId="00DADFC2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教学难点：</w:t>
            </w:r>
            <w:r>
              <w:rPr>
                <w:rFonts w:hint="eastAsia"/>
              </w:rPr>
              <w:t>时间状语从句和介词短语作状语的句型转换</w:t>
            </w:r>
            <w:r>
              <w:rPr>
                <w:rFonts w:hint="eastAsia"/>
                <w:szCs w:val="20"/>
              </w:rPr>
              <w:t>。</w:t>
            </w:r>
          </w:p>
        </w:tc>
      </w:tr>
      <w:tr w14:paraId="73124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85A8179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第二册第七单元 </w:t>
            </w:r>
            <w:r>
              <w:rPr>
                <w:rFonts w:cs="Times New Roman"/>
              </w:rPr>
              <w:t>Studium und Studentenleben</w:t>
            </w:r>
          </w:p>
          <w:p w14:paraId="5325C9E2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知识点：知道</w:t>
            </w:r>
            <w:r>
              <w:rPr>
                <w:szCs w:val="20"/>
              </w:rPr>
              <w:t>不规则动词</w:t>
            </w:r>
            <w:r>
              <w:rPr>
                <w:rFonts w:hint="eastAsia"/>
                <w:szCs w:val="20"/>
              </w:rPr>
              <w:t>和混合动词的过去时构成规律</w:t>
            </w:r>
            <w:r>
              <w:rPr>
                <w:szCs w:val="20"/>
              </w:rPr>
              <w:t>；</w:t>
            </w:r>
            <w:r>
              <w:rPr>
                <w:rFonts w:hint="eastAsia"/>
                <w:szCs w:val="20"/>
              </w:rPr>
              <w:t>理解</w:t>
            </w:r>
            <w:r>
              <w:rPr>
                <w:szCs w:val="20"/>
              </w:rPr>
              <w:t>als从句</w:t>
            </w:r>
            <w:r>
              <w:rPr>
                <w:rFonts w:hint="eastAsia"/>
                <w:szCs w:val="20"/>
              </w:rPr>
              <w:t>和</w:t>
            </w:r>
            <w:r>
              <w:rPr>
                <w:szCs w:val="20"/>
              </w:rPr>
              <w:t>wenn从句</w:t>
            </w:r>
            <w:r>
              <w:rPr>
                <w:rFonts w:hint="eastAsia"/>
                <w:szCs w:val="20"/>
              </w:rPr>
              <w:t>的区别，运用als</w:t>
            </w:r>
            <w:r>
              <w:rPr>
                <w:szCs w:val="20"/>
              </w:rPr>
              <w:t>/</w:t>
            </w:r>
            <w:r>
              <w:rPr>
                <w:rFonts w:hint="eastAsia"/>
                <w:szCs w:val="20"/>
              </w:rPr>
              <w:t>wenn交代时间背景，优化表达</w:t>
            </w:r>
            <w:r>
              <w:rPr>
                <w:szCs w:val="20"/>
              </w:rPr>
              <w:t>；</w:t>
            </w:r>
            <w:r>
              <w:rPr>
                <w:rFonts w:hint="eastAsia"/>
                <w:szCs w:val="20"/>
              </w:rPr>
              <w:t>知道</w:t>
            </w:r>
            <w:r>
              <w:rPr>
                <w:szCs w:val="20"/>
              </w:rPr>
              <w:t>带第三格</w:t>
            </w:r>
            <w:r>
              <w:rPr>
                <w:rFonts w:hint="eastAsia"/>
                <w:szCs w:val="20"/>
              </w:rPr>
              <w:t>的</w:t>
            </w:r>
            <w:r>
              <w:rPr>
                <w:szCs w:val="20"/>
              </w:rPr>
              <w:t>介词</w:t>
            </w:r>
            <w:r>
              <w:rPr>
                <w:rFonts w:hint="eastAsia"/>
                <w:szCs w:val="20"/>
              </w:rPr>
              <w:t>；运用Studium语义场内的词汇描述学习生活；知道zu的四种常见用法；理解加缀派生的构词法。</w:t>
            </w:r>
          </w:p>
          <w:p w14:paraId="6BBED584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能力要求：</w:t>
            </w:r>
            <w:r>
              <w:rPr>
                <w:szCs w:val="20"/>
              </w:rPr>
              <w:t>运用</w:t>
            </w:r>
            <w:r>
              <w:rPr>
                <w:rFonts w:hint="eastAsia"/>
                <w:szCs w:val="20"/>
              </w:rPr>
              <w:t>过去时进行日记的撰写</w:t>
            </w:r>
            <w:r>
              <w:rPr>
                <w:szCs w:val="20"/>
              </w:rPr>
              <w:t>；</w:t>
            </w:r>
            <w:r>
              <w:rPr>
                <w:rFonts w:hint="eastAsia"/>
                <w:szCs w:val="20"/>
              </w:rPr>
              <w:t>运用关键词重构文本；</w:t>
            </w:r>
            <w:r>
              <w:rPr>
                <w:szCs w:val="20"/>
              </w:rPr>
              <w:t>理解书面语言和口头语言的区别</w:t>
            </w:r>
            <w:r>
              <w:rPr>
                <w:rFonts w:hint="eastAsia"/>
                <w:szCs w:val="20"/>
              </w:rPr>
              <w:t>；根据不同文本类型及需求采用适当的阅读策略。</w:t>
            </w:r>
          </w:p>
          <w:p w14:paraId="31CF26DA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教学难点：</w:t>
            </w:r>
            <w:r>
              <w:rPr>
                <w:szCs w:val="20"/>
              </w:rPr>
              <w:t>不规则动词</w:t>
            </w:r>
            <w:r>
              <w:rPr>
                <w:rFonts w:hint="eastAsia"/>
                <w:szCs w:val="20"/>
              </w:rPr>
              <w:t>及混合动词的过去时</w:t>
            </w:r>
            <w:r>
              <w:rPr>
                <w:szCs w:val="20"/>
              </w:rPr>
              <w:t>变位</w:t>
            </w:r>
            <w:r>
              <w:rPr>
                <w:rFonts w:hint="eastAsia"/>
                <w:szCs w:val="20"/>
              </w:rPr>
              <w:t>；als和wenn的用法辨析；阅读策略的选择。</w:t>
            </w:r>
          </w:p>
        </w:tc>
      </w:tr>
      <w:bookmarkEnd w:id="0"/>
      <w:bookmarkEnd w:id="1"/>
    </w:tbl>
    <w:p w14:paraId="2A7B5D41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9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7"/>
        <w:gridCol w:w="932"/>
        <w:gridCol w:w="932"/>
        <w:gridCol w:w="933"/>
        <w:gridCol w:w="932"/>
        <w:gridCol w:w="933"/>
        <w:gridCol w:w="932"/>
        <w:gridCol w:w="933"/>
      </w:tblGrid>
      <w:tr w14:paraId="6522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33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59B53E6F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9290E87">
            <w:pPr>
              <w:pStyle w:val="13"/>
              <w:ind w:right="210"/>
              <w:jc w:val="left"/>
              <w:rPr>
                <w:szCs w:val="16"/>
              </w:rPr>
            </w:pPr>
          </w:p>
          <w:p w14:paraId="571F2197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10" w:type="dxa"/>
            <w:tcBorders>
              <w:top w:val="single" w:color="auto" w:sz="12" w:space="0"/>
            </w:tcBorders>
            <w:vAlign w:val="center"/>
          </w:tcPr>
          <w:p w14:paraId="605881C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910" w:type="dxa"/>
            <w:tcBorders>
              <w:top w:val="single" w:color="auto" w:sz="12" w:space="0"/>
            </w:tcBorders>
            <w:vAlign w:val="center"/>
          </w:tcPr>
          <w:p w14:paraId="3E78C7E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11" w:type="dxa"/>
            <w:tcBorders>
              <w:top w:val="single" w:color="auto" w:sz="12" w:space="0"/>
            </w:tcBorders>
            <w:vAlign w:val="center"/>
          </w:tcPr>
          <w:p w14:paraId="3A98C8D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910" w:type="dxa"/>
            <w:tcBorders>
              <w:top w:val="single" w:color="auto" w:sz="12" w:space="0"/>
            </w:tcBorders>
            <w:vAlign w:val="center"/>
          </w:tcPr>
          <w:p w14:paraId="1961FA4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911" w:type="dxa"/>
            <w:tcBorders>
              <w:top w:val="single" w:color="auto" w:sz="12" w:space="0"/>
            </w:tcBorders>
            <w:vAlign w:val="center"/>
          </w:tcPr>
          <w:p w14:paraId="125EED74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910" w:type="dxa"/>
            <w:tcBorders>
              <w:top w:val="single" w:color="auto" w:sz="12" w:space="0"/>
            </w:tcBorders>
            <w:vAlign w:val="center"/>
          </w:tcPr>
          <w:p w14:paraId="5EC837D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  <w:tc>
          <w:tcPr>
            <w:tcW w:w="91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212C52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7</w:t>
            </w:r>
          </w:p>
        </w:tc>
      </w:tr>
      <w:tr w14:paraId="4746A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3" w:type="dxa"/>
            <w:tcBorders>
              <w:left w:val="single" w:color="auto" w:sz="12" w:space="0"/>
            </w:tcBorders>
          </w:tcPr>
          <w:p w14:paraId="40381D20">
            <w:pPr>
              <w:pStyle w:val="14"/>
              <w:jc w:val="left"/>
            </w:pPr>
            <w:r>
              <w:t>B</w:t>
            </w:r>
            <w:r>
              <w:rPr>
                <w:rFonts w:hint="eastAsia"/>
              </w:rPr>
              <w:t>d.</w:t>
            </w:r>
            <w:r>
              <w:t xml:space="preserve"> 1 Einh. 9</w:t>
            </w:r>
          </w:p>
          <w:p w14:paraId="7E661D9F">
            <w:pPr>
              <w:pStyle w:val="14"/>
              <w:jc w:val="left"/>
            </w:pPr>
            <w:r>
              <w:rPr>
                <w:rFonts w:hint="eastAsia"/>
              </w:rPr>
              <w:t>E</w:t>
            </w:r>
            <w:r>
              <w:t>in Dach über dem Kopf</w:t>
            </w:r>
          </w:p>
        </w:tc>
        <w:tc>
          <w:tcPr>
            <w:tcW w:w="910" w:type="dxa"/>
            <w:vAlign w:val="center"/>
          </w:tcPr>
          <w:p w14:paraId="2E8B6A14">
            <w:pPr>
              <w:pStyle w:val="14"/>
            </w:pPr>
          </w:p>
        </w:tc>
        <w:tc>
          <w:tcPr>
            <w:tcW w:w="910" w:type="dxa"/>
            <w:vAlign w:val="center"/>
          </w:tcPr>
          <w:p w14:paraId="35714AE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1" w:type="dxa"/>
            <w:vAlign w:val="center"/>
          </w:tcPr>
          <w:p w14:paraId="5654086A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0" w:type="dxa"/>
            <w:vAlign w:val="center"/>
          </w:tcPr>
          <w:p w14:paraId="2D2FD079">
            <w:pPr>
              <w:pStyle w:val="13"/>
              <w:rPr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70D3ABB0">
            <w:pPr>
              <w:pStyle w:val="14"/>
            </w:pPr>
          </w:p>
        </w:tc>
        <w:tc>
          <w:tcPr>
            <w:tcW w:w="910" w:type="dxa"/>
            <w:vAlign w:val="center"/>
          </w:tcPr>
          <w:p w14:paraId="036E6F5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1" w:type="dxa"/>
            <w:tcBorders>
              <w:right w:val="single" w:color="auto" w:sz="12" w:space="0"/>
            </w:tcBorders>
            <w:vAlign w:val="center"/>
          </w:tcPr>
          <w:p w14:paraId="3EB1D50A">
            <w:pPr>
              <w:pStyle w:val="14"/>
            </w:pPr>
          </w:p>
        </w:tc>
      </w:tr>
      <w:tr w14:paraId="11B24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3" w:type="dxa"/>
            <w:tcBorders>
              <w:left w:val="single" w:color="auto" w:sz="12" w:space="0"/>
            </w:tcBorders>
          </w:tcPr>
          <w:p w14:paraId="0736888B">
            <w:pPr>
              <w:pStyle w:val="14"/>
              <w:jc w:val="left"/>
            </w:pPr>
            <w:r>
              <w:t>B</w:t>
            </w:r>
            <w:r>
              <w:rPr>
                <w:rFonts w:hint="eastAsia"/>
              </w:rPr>
              <w:t>d.</w:t>
            </w:r>
            <w:r>
              <w:t xml:space="preserve"> 1 Einh. 10</w:t>
            </w:r>
          </w:p>
          <w:p w14:paraId="7D6FBC84">
            <w:pPr>
              <w:pStyle w:val="14"/>
              <w:jc w:val="left"/>
            </w:pPr>
            <w:r>
              <w:rPr>
                <w:rFonts w:hint="eastAsia"/>
              </w:rPr>
              <w:t>E</w:t>
            </w:r>
            <w:r>
              <w:t>in Blick zurück</w:t>
            </w:r>
          </w:p>
        </w:tc>
        <w:tc>
          <w:tcPr>
            <w:tcW w:w="910" w:type="dxa"/>
            <w:vAlign w:val="center"/>
          </w:tcPr>
          <w:p w14:paraId="42A0143B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0" w:type="dxa"/>
            <w:vAlign w:val="center"/>
          </w:tcPr>
          <w:p w14:paraId="1234F41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1" w:type="dxa"/>
            <w:vAlign w:val="center"/>
          </w:tcPr>
          <w:p w14:paraId="1484522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0" w:type="dxa"/>
            <w:vAlign w:val="center"/>
          </w:tcPr>
          <w:p w14:paraId="02704953">
            <w:pPr>
              <w:pStyle w:val="13"/>
              <w:rPr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33513096">
            <w:pPr>
              <w:pStyle w:val="14"/>
            </w:pPr>
          </w:p>
        </w:tc>
        <w:tc>
          <w:tcPr>
            <w:tcW w:w="910" w:type="dxa"/>
            <w:vAlign w:val="center"/>
          </w:tcPr>
          <w:p w14:paraId="4CC1B2B9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1" w:type="dxa"/>
            <w:tcBorders>
              <w:right w:val="single" w:color="auto" w:sz="12" w:space="0"/>
            </w:tcBorders>
            <w:vAlign w:val="center"/>
          </w:tcPr>
          <w:p w14:paraId="3DF240F1">
            <w:pPr>
              <w:pStyle w:val="14"/>
            </w:pPr>
          </w:p>
        </w:tc>
      </w:tr>
      <w:tr w14:paraId="1ECE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3" w:type="dxa"/>
            <w:tcBorders>
              <w:left w:val="single" w:color="auto" w:sz="12" w:space="0"/>
            </w:tcBorders>
            <w:vAlign w:val="center"/>
          </w:tcPr>
          <w:p w14:paraId="290CC8B5">
            <w:pPr>
              <w:pStyle w:val="14"/>
              <w:widowControl w:val="0"/>
              <w:jc w:val="left"/>
            </w:pPr>
            <w:r>
              <w:t>B</w:t>
            </w:r>
            <w:r>
              <w:rPr>
                <w:rFonts w:hint="eastAsia"/>
              </w:rPr>
              <w:t>d.</w:t>
            </w:r>
            <w:r>
              <w:t xml:space="preserve"> 1 Einh. 11</w:t>
            </w:r>
          </w:p>
          <w:p w14:paraId="7E59D99B">
            <w:pPr>
              <w:pStyle w:val="14"/>
              <w:jc w:val="left"/>
            </w:pPr>
            <w:r>
              <w:rPr>
                <w:rFonts w:hint="eastAsia"/>
              </w:rPr>
              <w:t>F</w:t>
            </w:r>
            <w:r>
              <w:t>röhliche Weihnachten und ein gutes neues Jahr!</w:t>
            </w:r>
          </w:p>
        </w:tc>
        <w:tc>
          <w:tcPr>
            <w:tcW w:w="910" w:type="dxa"/>
            <w:vAlign w:val="center"/>
          </w:tcPr>
          <w:p w14:paraId="57FE1761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0" w:type="dxa"/>
            <w:vAlign w:val="center"/>
          </w:tcPr>
          <w:p w14:paraId="49D3B8AF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1" w:type="dxa"/>
            <w:vAlign w:val="center"/>
          </w:tcPr>
          <w:p w14:paraId="5A60E03F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0" w:type="dxa"/>
            <w:vAlign w:val="center"/>
          </w:tcPr>
          <w:p w14:paraId="7586FA29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√</w:t>
            </w:r>
          </w:p>
        </w:tc>
        <w:tc>
          <w:tcPr>
            <w:tcW w:w="911" w:type="dxa"/>
            <w:vAlign w:val="center"/>
          </w:tcPr>
          <w:p w14:paraId="5187C673">
            <w:pPr>
              <w:pStyle w:val="14"/>
            </w:pPr>
          </w:p>
        </w:tc>
        <w:tc>
          <w:tcPr>
            <w:tcW w:w="910" w:type="dxa"/>
            <w:vAlign w:val="center"/>
          </w:tcPr>
          <w:p w14:paraId="60D50364">
            <w:pPr>
              <w:pStyle w:val="14"/>
            </w:pPr>
          </w:p>
        </w:tc>
        <w:tc>
          <w:tcPr>
            <w:tcW w:w="911" w:type="dxa"/>
            <w:tcBorders>
              <w:right w:val="single" w:color="auto" w:sz="12" w:space="0"/>
            </w:tcBorders>
            <w:vAlign w:val="center"/>
          </w:tcPr>
          <w:p w14:paraId="66EFF67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E343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3" w:type="dxa"/>
            <w:tcBorders>
              <w:left w:val="single" w:color="auto" w:sz="12" w:space="0"/>
            </w:tcBorders>
            <w:vAlign w:val="center"/>
          </w:tcPr>
          <w:p w14:paraId="1743EFF1">
            <w:pPr>
              <w:pStyle w:val="14"/>
              <w:widowControl w:val="0"/>
              <w:jc w:val="left"/>
            </w:pPr>
            <w:r>
              <w:t>B</w:t>
            </w:r>
            <w:r>
              <w:rPr>
                <w:rFonts w:hint="eastAsia"/>
              </w:rPr>
              <w:t>d.</w:t>
            </w:r>
            <w:r>
              <w:t xml:space="preserve"> 1 Einh. 12</w:t>
            </w:r>
          </w:p>
          <w:p w14:paraId="23AD4531">
            <w:pPr>
              <w:pStyle w:val="14"/>
              <w:jc w:val="left"/>
            </w:pPr>
            <w:r>
              <w:rPr>
                <w:rFonts w:hint="eastAsia"/>
              </w:rPr>
              <w:t>D</w:t>
            </w:r>
            <w:r>
              <w:t>as Lernen lernen: Wiederholen</w:t>
            </w:r>
          </w:p>
        </w:tc>
        <w:tc>
          <w:tcPr>
            <w:tcW w:w="910" w:type="dxa"/>
            <w:vAlign w:val="center"/>
          </w:tcPr>
          <w:p w14:paraId="49443CA5">
            <w:pPr>
              <w:pStyle w:val="14"/>
            </w:pPr>
          </w:p>
        </w:tc>
        <w:tc>
          <w:tcPr>
            <w:tcW w:w="910" w:type="dxa"/>
            <w:vAlign w:val="center"/>
          </w:tcPr>
          <w:p w14:paraId="59D76998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1" w:type="dxa"/>
            <w:vAlign w:val="center"/>
          </w:tcPr>
          <w:p w14:paraId="37FADC63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0" w:type="dxa"/>
            <w:vAlign w:val="center"/>
          </w:tcPr>
          <w:p w14:paraId="2DE59895">
            <w:pPr>
              <w:pStyle w:val="13"/>
              <w:rPr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5C1B6511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0" w:type="dxa"/>
            <w:vAlign w:val="center"/>
          </w:tcPr>
          <w:p w14:paraId="22012E52">
            <w:pPr>
              <w:pStyle w:val="14"/>
            </w:pPr>
          </w:p>
        </w:tc>
        <w:tc>
          <w:tcPr>
            <w:tcW w:w="911" w:type="dxa"/>
            <w:tcBorders>
              <w:right w:val="single" w:color="auto" w:sz="12" w:space="0"/>
            </w:tcBorders>
            <w:vAlign w:val="center"/>
          </w:tcPr>
          <w:p w14:paraId="225ABDE8">
            <w:pPr>
              <w:pStyle w:val="14"/>
            </w:pPr>
          </w:p>
        </w:tc>
      </w:tr>
      <w:tr w14:paraId="32DA0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3" w:type="dxa"/>
            <w:tcBorders>
              <w:left w:val="single" w:color="auto" w:sz="12" w:space="0"/>
            </w:tcBorders>
          </w:tcPr>
          <w:p w14:paraId="7BE67D5C">
            <w:pPr>
              <w:pStyle w:val="14"/>
              <w:jc w:val="left"/>
            </w:pPr>
            <w:r>
              <w:t>Bd. 2 Einh. 1</w:t>
            </w:r>
          </w:p>
          <w:p w14:paraId="56DBBC99">
            <w:pPr>
              <w:pStyle w:val="14"/>
              <w:jc w:val="left"/>
            </w:pPr>
            <w:r>
              <w:rPr>
                <w:rFonts w:hint="eastAsia"/>
              </w:rPr>
              <w:t>W</w:t>
            </w:r>
            <w:r>
              <w:t>enn einer eine Reise tut, …</w:t>
            </w:r>
          </w:p>
        </w:tc>
        <w:tc>
          <w:tcPr>
            <w:tcW w:w="910" w:type="dxa"/>
            <w:vAlign w:val="center"/>
          </w:tcPr>
          <w:p w14:paraId="46DF234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0" w:type="dxa"/>
            <w:vAlign w:val="center"/>
          </w:tcPr>
          <w:p w14:paraId="795A4C7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1" w:type="dxa"/>
            <w:vAlign w:val="center"/>
          </w:tcPr>
          <w:p w14:paraId="1835397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0" w:type="dxa"/>
            <w:vAlign w:val="center"/>
          </w:tcPr>
          <w:p w14:paraId="4CEB67C5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√</w:t>
            </w:r>
          </w:p>
        </w:tc>
        <w:tc>
          <w:tcPr>
            <w:tcW w:w="911" w:type="dxa"/>
            <w:vAlign w:val="center"/>
          </w:tcPr>
          <w:p w14:paraId="7DF8D7F7">
            <w:pPr>
              <w:pStyle w:val="14"/>
            </w:pPr>
          </w:p>
        </w:tc>
        <w:tc>
          <w:tcPr>
            <w:tcW w:w="910" w:type="dxa"/>
            <w:vAlign w:val="center"/>
          </w:tcPr>
          <w:p w14:paraId="4E82120B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1" w:type="dxa"/>
            <w:tcBorders>
              <w:right w:val="single" w:color="auto" w:sz="12" w:space="0"/>
            </w:tcBorders>
            <w:vAlign w:val="center"/>
          </w:tcPr>
          <w:p w14:paraId="6EFB1ED0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6DF6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3" w:type="dxa"/>
            <w:tcBorders>
              <w:left w:val="single" w:color="auto" w:sz="12" w:space="0"/>
            </w:tcBorders>
          </w:tcPr>
          <w:p w14:paraId="3E2A5724">
            <w:pPr>
              <w:pStyle w:val="14"/>
              <w:jc w:val="left"/>
            </w:pPr>
            <w:r>
              <w:t>Bd. 2 Einh. 2</w:t>
            </w:r>
          </w:p>
          <w:p w14:paraId="040D1B3D">
            <w:pPr>
              <w:pStyle w:val="14"/>
              <w:jc w:val="left"/>
            </w:pPr>
            <w:r>
              <w:t>Schein und Sein</w:t>
            </w:r>
          </w:p>
        </w:tc>
        <w:tc>
          <w:tcPr>
            <w:tcW w:w="910" w:type="dxa"/>
            <w:vAlign w:val="center"/>
          </w:tcPr>
          <w:p w14:paraId="05DAA4EB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0" w:type="dxa"/>
            <w:vAlign w:val="center"/>
          </w:tcPr>
          <w:p w14:paraId="2FF56FDD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1" w:type="dxa"/>
            <w:vAlign w:val="center"/>
          </w:tcPr>
          <w:p w14:paraId="75D1365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0" w:type="dxa"/>
            <w:vAlign w:val="center"/>
          </w:tcPr>
          <w:p w14:paraId="761FA01E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√</w:t>
            </w:r>
          </w:p>
        </w:tc>
        <w:tc>
          <w:tcPr>
            <w:tcW w:w="911" w:type="dxa"/>
            <w:vAlign w:val="center"/>
          </w:tcPr>
          <w:p w14:paraId="364E955C">
            <w:pPr>
              <w:pStyle w:val="14"/>
            </w:pPr>
          </w:p>
        </w:tc>
        <w:tc>
          <w:tcPr>
            <w:tcW w:w="910" w:type="dxa"/>
            <w:vAlign w:val="center"/>
          </w:tcPr>
          <w:p w14:paraId="7FC4CB00">
            <w:pPr>
              <w:pStyle w:val="14"/>
            </w:pPr>
          </w:p>
        </w:tc>
        <w:tc>
          <w:tcPr>
            <w:tcW w:w="911" w:type="dxa"/>
            <w:tcBorders>
              <w:right w:val="single" w:color="auto" w:sz="12" w:space="0"/>
            </w:tcBorders>
            <w:vAlign w:val="center"/>
          </w:tcPr>
          <w:p w14:paraId="3BACC45F">
            <w:pPr>
              <w:pStyle w:val="14"/>
            </w:pPr>
          </w:p>
        </w:tc>
      </w:tr>
      <w:tr w14:paraId="3062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3" w:type="dxa"/>
            <w:tcBorders>
              <w:left w:val="single" w:color="auto" w:sz="12" w:space="0"/>
            </w:tcBorders>
            <w:vAlign w:val="center"/>
          </w:tcPr>
          <w:p w14:paraId="11B6A08C">
            <w:pPr>
              <w:pStyle w:val="14"/>
              <w:jc w:val="left"/>
            </w:pPr>
            <w:r>
              <w:t>Bd. 2 Einh. 3</w:t>
            </w:r>
          </w:p>
          <w:p w14:paraId="21749FD2">
            <w:pPr>
              <w:pStyle w:val="14"/>
              <w:jc w:val="left"/>
            </w:pPr>
            <w:r>
              <w:t>Raub, Lüge und Betrug - Ein Krimi</w:t>
            </w:r>
          </w:p>
        </w:tc>
        <w:tc>
          <w:tcPr>
            <w:tcW w:w="910" w:type="dxa"/>
            <w:vAlign w:val="center"/>
          </w:tcPr>
          <w:p w14:paraId="1223F237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0" w:type="dxa"/>
            <w:vAlign w:val="center"/>
          </w:tcPr>
          <w:p w14:paraId="080FE0E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1" w:type="dxa"/>
            <w:vAlign w:val="center"/>
          </w:tcPr>
          <w:p w14:paraId="6434BFB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0" w:type="dxa"/>
            <w:vAlign w:val="center"/>
          </w:tcPr>
          <w:p w14:paraId="56AC6EC1">
            <w:pPr>
              <w:pStyle w:val="13"/>
              <w:rPr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3021CBB0">
            <w:pPr>
              <w:pStyle w:val="14"/>
            </w:pPr>
          </w:p>
        </w:tc>
        <w:tc>
          <w:tcPr>
            <w:tcW w:w="910" w:type="dxa"/>
            <w:vAlign w:val="center"/>
          </w:tcPr>
          <w:p w14:paraId="1B8FF628">
            <w:pPr>
              <w:pStyle w:val="14"/>
            </w:pPr>
          </w:p>
        </w:tc>
        <w:tc>
          <w:tcPr>
            <w:tcW w:w="911" w:type="dxa"/>
            <w:tcBorders>
              <w:right w:val="single" w:color="auto" w:sz="12" w:space="0"/>
            </w:tcBorders>
            <w:vAlign w:val="center"/>
          </w:tcPr>
          <w:p w14:paraId="7CE3207D">
            <w:pPr>
              <w:pStyle w:val="14"/>
            </w:pPr>
          </w:p>
        </w:tc>
      </w:tr>
      <w:tr w14:paraId="60DB4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3" w:type="dxa"/>
            <w:tcBorders>
              <w:left w:val="single" w:color="auto" w:sz="12" w:space="0"/>
            </w:tcBorders>
            <w:vAlign w:val="center"/>
          </w:tcPr>
          <w:p w14:paraId="4A1107E7">
            <w:pPr>
              <w:pStyle w:val="14"/>
              <w:jc w:val="left"/>
            </w:pPr>
            <w:r>
              <w:t>Bd. 2 Einh. 4</w:t>
            </w:r>
          </w:p>
          <w:p w14:paraId="6E010A9A">
            <w:pPr>
              <w:pStyle w:val="14"/>
              <w:jc w:val="left"/>
            </w:pPr>
            <w:r>
              <w:t>Gute Besserung!</w:t>
            </w:r>
          </w:p>
        </w:tc>
        <w:tc>
          <w:tcPr>
            <w:tcW w:w="910" w:type="dxa"/>
            <w:vAlign w:val="center"/>
          </w:tcPr>
          <w:p w14:paraId="3900A46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0" w:type="dxa"/>
            <w:vAlign w:val="center"/>
          </w:tcPr>
          <w:p w14:paraId="68AF6046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1" w:type="dxa"/>
            <w:vAlign w:val="center"/>
          </w:tcPr>
          <w:p w14:paraId="2B0D565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0" w:type="dxa"/>
            <w:vAlign w:val="center"/>
          </w:tcPr>
          <w:p w14:paraId="39B70E12">
            <w:pPr>
              <w:pStyle w:val="13"/>
              <w:rPr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3EA38BAD">
            <w:pPr>
              <w:pStyle w:val="14"/>
            </w:pPr>
          </w:p>
        </w:tc>
        <w:tc>
          <w:tcPr>
            <w:tcW w:w="910" w:type="dxa"/>
            <w:vAlign w:val="center"/>
          </w:tcPr>
          <w:p w14:paraId="23323C19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1" w:type="dxa"/>
            <w:tcBorders>
              <w:right w:val="single" w:color="auto" w:sz="12" w:space="0"/>
            </w:tcBorders>
            <w:vAlign w:val="center"/>
          </w:tcPr>
          <w:p w14:paraId="59385329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13A0A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3" w:type="dxa"/>
            <w:tcBorders>
              <w:left w:val="single" w:color="auto" w:sz="12" w:space="0"/>
            </w:tcBorders>
          </w:tcPr>
          <w:p w14:paraId="662166C9">
            <w:pPr>
              <w:pStyle w:val="14"/>
              <w:jc w:val="left"/>
            </w:pPr>
            <w:r>
              <w:t>Bd. 2 Einh. 5</w:t>
            </w:r>
          </w:p>
          <w:p w14:paraId="52274D2D">
            <w:pPr>
              <w:pStyle w:val="14"/>
              <w:jc w:val="left"/>
            </w:pPr>
            <w:r>
              <w:rPr>
                <w:rFonts w:hint="eastAsia"/>
              </w:rPr>
              <w:t>D</w:t>
            </w:r>
            <w:r>
              <w:t>as Lernen lerne: Lesen</w:t>
            </w:r>
          </w:p>
        </w:tc>
        <w:tc>
          <w:tcPr>
            <w:tcW w:w="910" w:type="dxa"/>
            <w:vAlign w:val="center"/>
          </w:tcPr>
          <w:p w14:paraId="48C8A544">
            <w:pPr>
              <w:pStyle w:val="14"/>
            </w:pPr>
          </w:p>
        </w:tc>
        <w:tc>
          <w:tcPr>
            <w:tcW w:w="910" w:type="dxa"/>
            <w:vAlign w:val="center"/>
          </w:tcPr>
          <w:p w14:paraId="54790D73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1" w:type="dxa"/>
            <w:vAlign w:val="center"/>
          </w:tcPr>
          <w:p w14:paraId="4305D642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0" w:type="dxa"/>
            <w:vAlign w:val="center"/>
          </w:tcPr>
          <w:p w14:paraId="51F987E1">
            <w:pPr>
              <w:pStyle w:val="13"/>
              <w:rPr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6CDE9DC6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0" w:type="dxa"/>
            <w:vAlign w:val="center"/>
          </w:tcPr>
          <w:p w14:paraId="3357A95F">
            <w:pPr>
              <w:pStyle w:val="14"/>
            </w:pPr>
          </w:p>
        </w:tc>
        <w:tc>
          <w:tcPr>
            <w:tcW w:w="911" w:type="dxa"/>
            <w:tcBorders>
              <w:right w:val="single" w:color="auto" w:sz="12" w:space="0"/>
            </w:tcBorders>
            <w:vAlign w:val="center"/>
          </w:tcPr>
          <w:p w14:paraId="45095F7A">
            <w:pPr>
              <w:pStyle w:val="14"/>
            </w:pPr>
          </w:p>
        </w:tc>
      </w:tr>
      <w:tr w14:paraId="7B16A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3" w:type="dxa"/>
            <w:tcBorders>
              <w:left w:val="single" w:color="auto" w:sz="12" w:space="0"/>
            </w:tcBorders>
          </w:tcPr>
          <w:p w14:paraId="502734F4">
            <w:pPr>
              <w:pStyle w:val="14"/>
              <w:jc w:val="left"/>
            </w:pPr>
            <w:r>
              <w:t>Bd. 2 Einh. 6</w:t>
            </w:r>
          </w:p>
          <w:p w14:paraId="4A72DA56">
            <w:pPr>
              <w:pStyle w:val="14"/>
              <w:jc w:val="left"/>
            </w:pPr>
            <w:r>
              <w:rPr>
                <w:rFonts w:hint="eastAsia"/>
              </w:rPr>
              <w:t>Z</w:t>
            </w:r>
            <w:r>
              <w:t>wischen gestern und morgen</w:t>
            </w:r>
          </w:p>
        </w:tc>
        <w:tc>
          <w:tcPr>
            <w:tcW w:w="910" w:type="dxa"/>
            <w:vAlign w:val="center"/>
          </w:tcPr>
          <w:p w14:paraId="332EF53A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0" w:type="dxa"/>
            <w:vAlign w:val="center"/>
          </w:tcPr>
          <w:p w14:paraId="2B827FB3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1" w:type="dxa"/>
            <w:vAlign w:val="center"/>
          </w:tcPr>
          <w:p w14:paraId="4869B06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0" w:type="dxa"/>
            <w:vAlign w:val="center"/>
          </w:tcPr>
          <w:p w14:paraId="19A0FFA4">
            <w:pPr>
              <w:pStyle w:val="13"/>
              <w:rPr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507BEE19">
            <w:pPr>
              <w:pStyle w:val="14"/>
            </w:pPr>
          </w:p>
        </w:tc>
        <w:tc>
          <w:tcPr>
            <w:tcW w:w="910" w:type="dxa"/>
            <w:vAlign w:val="center"/>
          </w:tcPr>
          <w:p w14:paraId="3D6A25C6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1" w:type="dxa"/>
            <w:tcBorders>
              <w:right w:val="single" w:color="auto" w:sz="12" w:space="0"/>
            </w:tcBorders>
            <w:vAlign w:val="center"/>
          </w:tcPr>
          <w:p w14:paraId="2C37FDF7">
            <w:pPr>
              <w:pStyle w:val="14"/>
            </w:pPr>
          </w:p>
        </w:tc>
      </w:tr>
      <w:tr w14:paraId="4D454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3" w:type="dxa"/>
            <w:tcBorders>
              <w:left w:val="single" w:color="auto" w:sz="12" w:space="0"/>
              <w:bottom w:val="single" w:color="auto" w:sz="12" w:space="0"/>
            </w:tcBorders>
          </w:tcPr>
          <w:p w14:paraId="226EE647">
            <w:pPr>
              <w:pStyle w:val="14"/>
              <w:jc w:val="left"/>
            </w:pPr>
            <w:r>
              <w:t>Bd. 2 Einh. 7</w:t>
            </w:r>
          </w:p>
          <w:p w14:paraId="7BBE6584">
            <w:pPr>
              <w:pStyle w:val="14"/>
              <w:jc w:val="left"/>
            </w:pPr>
            <w:r>
              <w:rPr>
                <w:rFonts w:hint="eastAsia"/>
              </w:rPr>
              <w:t>S</w:t>
            </w:r>
            <w:r>
              <w:t>tudium und Studentenleben</w:t>
            </w:r>
          </w:p>
        </w:tc>
        <w:tc>
          <w:tcPr>
            <w:tcW w:w="910" w:type="dxa"/>
            <w:tcBorders>
              <w:bottom w:val="single" w:color="auto" w:sz="12" w:space="0"/>
            </w:tcBorders>
            <w:vAlign w:val="center"/>
          </w:tcPr>
          <w:p w14:paraId="5249740F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0" w:type="dxa"/>
            <w:tcBorders>
              <w:bottom w:val="single" w:color="auto" w:sz="12" w:space="0"/>
            </w:tcBorders>
            <w:vAlign w:val="center"/>
          </w:tcPr>
          <w:p w14:paraId="66F64E12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1" w:type="dxa"/>
            <w:tcBorders>
              <w:bottom w:val="single" w:color="auto" w:sz="12" w:space="0"/>
            </w:tcBorders>
            <w:vAlign w:val="center"/>
          </w:tcPr>
          <w:p w14:paraId="121DF497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0" w:type="dxa"/>
            <w:tcBorders>
              <w:bottom w:val="single" w:color="auto" w:sz="12" w:space="0"/>
            </w:tcBorders>
            <w:vAlign w:val="center"/>
          </w:tcPr>
          <w:p w14:paraId="223CF57C">
            <w:pPr>
              <w:pStyle w:val="13"/>
              <w:rPr>
                <w:szCs w:val="16"/>
              </w:rPr>
            </w:pPr>
          </w:p>
        </w:tc>
        <w:tc>
          <w:tcPr>
            <w:tcW w:w="911" w:type="dxa"/>
            <w:tcBorders>
              <w:bottom w:val="single" w:color="auto" w:sz="12" w:space="0"/>
            </w:tcBorders>
            <w:vAlign w:val="center"/>
          </w:tcPr>
          <w:p w14:paraId="17A26B78">
            <w:pPr>
              <w:pStyle w:val="14"/>
            </w:pPr>
          </w:p>
        </w:tc>
        <w:tc>
          <w:tcPr>
            <w:tcW w:w="910" w:type="dxa"/>
            <w:tcBorders>
              <w:bottom w:val="single" w:color="auto" w:sz="12" w:space="0"/>
            </w:tcBorders>
            <w:vAlign w:val="center"/>
          </w:tcPr>
          <w:p w14:paraId="4D0190C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1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01B958E">
            <w:pPr>
              <w:pStyle w:val="14"/>
            </w:pPr>
          </w:p>
        </w:tc>
      </w:tr>
    </w:tbl>
    <w:p w14:paraId="7E7ECD13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29E6A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18E4E95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2B698D8F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0B688237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3583499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101B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10FD836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68A6B59F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5E927F3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527FEE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5A6AE984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28D419F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2D28A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7224CB3C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Bd. 1 Einh. 9</w:t>
            </w:r>
          </w:p>
          <w:p w14:paraId="037F76C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Ein Dach über dem Kopf</w:t>
            </w:r>
          </w:p>
        </w:tc>
        <w:tc>
          <w:tcPr>
            <w:tcW w:w="2690" w:type="dxa"/>
            <w:vAlign w:val="center"/>
          </w:tcPr>
          <w:p w14:paraId="6FDD24A5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头脑风暴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法</w:t>
            </w:r>
          </w:p>
          <w:p w14:paraId="11D3CD2C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讲授法</w:t>
            </w:r>
          </w:p>
          <w:p w14:paraId="0572D4F3">
            <w:pPr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问答法</w:t>
            </w:r>
          </w:p>
          <w:p w14:paraId="21601817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练习法</w:t>
            </w:r>
          </w:p>
          <w:p w14:paraId="4BFD9793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讨论法</w:t>
            </w:r>
          </w:p>
        </w:tc>
        <w:tc>
          <w:tcPr>
            <w:tcW w:w="1697" w:type="dxa"/>
            <w:vAlign w:val="center"/>
          </w:tcPr>
          <w:p w14:paraId="65BE2E8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期末闭卷考试</w:t>
            </w:r>
          </w:p>
          <w:p w14:paraId="4C0B423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课堂展示</w:t>
            </w:r>
          </w:p>
          <w:p w14:paraId="66F7FDA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课堂表现</w:t>
            </w:r>
          </w:p>
          <w:p w14:paraId="263BD7E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  <w:p w14:paraId="5AACBAF7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口头表达</w:t>
            </w:r>
          </w:p>
        </w:tc>
        <w:tc>
          <w:tcPr>
            <w:tcW w:w="708" w:type="dxa"/>
            <w:vAlign w:val="center"/>
          </w:tcPr>
          <w:p w14:paraId="2F8D8A6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653" w:type="dxa"/>
            <w:vAlign w:val="center"/>
          </w:tcPr>
          <w:p w14:paraId="6403176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5A6055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0D0C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007E4765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Bd. 1 Einh. 10</w:t>
            </w:r>
          </w:p>
          <w:p w14:paraId="0ADD50FF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Ein Blick zurück</w:t>
            </w:r>
          </w:p>
        </w:tc>
        <w:tc>
          <w:tcPr>
            <w:tcW w:w="2690" w:type="dxa"/>
            <w:vAlign w:val="center"/>
          </w:tcPr>
          <w:p w14:paraId="0550BD52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头脑风暴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法</w:t>
            </w:r>
          </w:p>
          <w:p w14:paraId="057BB1E2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讲授法</w:t>
            </w:r>
          </w:p>
          <w:p w14:paraId="7563DC54">
            <w:pPr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问答法</w:t>
            </w:r>
          </w:p>
          <w:p w14:paraId="13086952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练习法</w:t>
            </w:r>
          </w:p>
          <w:p w14:paraId="44BD2A5B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讨论法</w:t>
            </w:r>
          </w:p>
          <w:p w14:paraId="677907A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情境教学法</w:t>
            </w:r>
          </w:p>
        </w:tc>
        <w:tc>
          <w:tcPr>
            <w:tcW w:w="1697" w:type="dxa"/>
            <w:vAlign w:val="center"/>
          </w:tcPr>
          <w:p w14:paraId="5B11547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期末闭卷考试</w:t>
            </w:r>
          </w:p>
          <w:p w14:paraId="6DE1801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课堂表现</w:t>
            </w:r>
          </w:p>
          <w:p w14:paraId="292844CD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08E434D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653" w:type="dxa"/>
            <w:vAlign w:val="center"/>
          </w:tcPr>
          <w:p w14:paraId="35CC7AD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092712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1DBD5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70589D63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Bd. 1 Einh. 11</w:t>
            </w:r>
          </w:p>
          <w:p w14:paraId="2497E10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Fröhliche Weihnachten und ein gutes neues Jahr!</w:t>
            </w:r>
          </w:p>
        </w:tc>
        <w:tc>
          <w:tcPr>
            <w:tcW w:w="2690" w:type="dxa"/>
            <w:vAlign w:val="center"/>
          </w:tcPr>
          <w:p w14:paraId="59B28EE7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头脑风暴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法</w:t>
            </w:r>
          </w:p>
          <w:p w14:paraId="322117B9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讲授法</w:t>
            </w:r>
          </w:p>
          <w:p w14:paraId="3A97EBF3">
            <w:pPr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问答法</w:t>
            </w:r>
          </w:p>
          <w:p w14:paraId="714397A6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练习法</w:t>
            </w:r>
          </w:p>
          <w:p w14:paraId="491DBB5B">
            <w:pPr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讨论法</w:t>
            </w:r>
          </w:p>
          <w:p w14:paraId="71A0F35D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项目教学法</w:t>
            </w:r>
          </w:p>
        </w:tc>
        <w:tc>
          <w:tcPr>
            <w:tcW w:w="1697" w:type="dxa"/>
            <w:vAlign w:val="center"/>
          </w:tcPr>
          <w:p w14:paraId="450FCC0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期末闭卷考试</w:t>
            </w:r>
          </w:p>
          <w:p w14:paraId="56C6C0B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课堂展示</w:t>
            </w:r>
          </w:p>
          <w:p w14:paraId="1F56534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课堂表现</w:t>
            </w:r>
          </w:p>
          <w:p w14:paraId="4DC655E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  <w:p w14:paraId="6027F2E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作文</w:t>
            </w:r>
          </w:p>
          <w:p w14:paraId="46A53E3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口头表达</w:t>
            </w:r>
          </w:p>
        </w:tc>
        <w:tc>
          <w:tcPr>
            <w:tcW w:w="708" w:type="dxa"/>
            <w:vAlign w:val="center"/>
          </w:tcPr>
          <w:p w14:paraId="4C50BD2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653" w:type="dxa"/>
            <w:vAlign w:val="center"/>
          </w:tcPr>
          <w:p w14:paraId="5074DCE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E4B670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9</w:t>
            </w:r>
          </w:p>
        </w:tc>
      </w:tr>
      <w:tr w14:paraId="280F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2B7C735D">
            <w:pPr>
              <w:pStyle w:val="14"/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Bd. 1 Einh. 12</w:t>
            </w:r>
          </w:p>
          <w:p w14:paraId="6A112C96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Das Lernen lernen: Wiederholen</w:t>
            </w:r>
          </w:p>
        </w:tc>
        <w:tc>
          <w:tcPr>
            <w:tcW w:w="2690" w:type="dxa"/>
            <w:vAlign w:val="center"/>
          </w:tcPr>
          <w:p w14:paraId="3D733CE8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讲授法</w:t>
            </w:r>
          </w:p>
          <w:p w14:paraId="08F4567E">
            <w:pPr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问答法</w:t>
            </w:r>
          </w:p>
          <w:p w14:paraId="20A6DAD2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练习法</w:t>
            </w:r>
          </w:p>
          <w:p w14:paraId="2FE85D38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自主学习法</w:t>
            </w:r>
          </w:p>
        </w:tc>
        <w:tc>
          <w:tcPr>
            <w:tcW w:w="1697" w:type="dxa"/>
            <w:vAlign w:val="center"/>
          </w:tcPr>
          <w:p w14:paraId="014E711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期末闭卷考试</w:t>
            </w:r>
          </w:p>
          <w:p w14:paraId="0CFA7E3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课堂表现</w:t>
            </w:r>
          </w:p>
          <w:p w14:paraId="00C8F84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  <w:p w14:paraId="004D085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自主学习</w:t>
            </w:r>
          </w:p>
        </w:tc>
        <w:tc>
          <w:tcPr>
            <w:tcW w:w="708" w:type="dxa"/>
            <w:vAlign w:val="center"/>
          </w:tcPr>
          <w:p w14:paraId="264485C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2DCE182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680D8F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38F8D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6E0B13BC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Bd. 2 Einh. 1</w:t>
            </w:r>
          </w:p>
          <w:p w14:paraId="6108471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Wenn einer eine Reise tut, …</w:t>
            </w:r>
          </w:p>
        </w:tc>
        <w:tc>
          <w:tcPr>
            <w:tcW w:w="2690" w:type="dxa"/>
            <w:vAlign w:val="center"/>
          </w:tcPr>
          <w:p w14:paraId="56E2C0D5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头脑风暴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法</w:t>
            </w:r>
          </w:p>
          <w:p w14:paraId="540CA104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讲授法</w:t>
            </w:r>
          </w:p>
          <w:p w14:paraId="0389F70A">
            <w:pPr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问答法</w:t>
            </w:r>
          </w:p>
          <w:p w14:paraId="5ED6F347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练习法</w:t>
            </w:r>
          </w:p>
          <w:p w14:paraId="773FD0EB">
            <w:pPr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讨论法</w:t>
            </w:r>
          </w:p>
          <w:p w14:paraId="159BEF43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项目教学法</w:t>
            </w:r>
          </w:p>
        </w:tc>
        <w:tc>
          <w:tcPr>
            <w:tcW w:w="1697" w:type="dxa"/>
            <w:vAlign w:val="center"/>
          </w:tcPr>
          <w:p w14:paraId="0F0B604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期末闭卷考试</w:t>
            </w:r>
          </w:p>
          <w:p w14:paraId="21DC3F3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课堂展示</w:t>
            </w:r>
          </w:p>
          <w:p w14:paraId="5457D14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课堂表现</w:t>
            </w:r>
          </w:p>
          <w:p w14:paraId="480374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  <w:p w14:paraId="745A81A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作文</w:t>
            </w:r>
          </w:p>
          <w:p w14:paraId="1A368FC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口头表达</w:t>
            </w:r>
          </w:p>
        </w:tc>
        <w:tc>
          <w:tcPr>
            <w:tcW w:w="708" w:type="dxa"/>
            <w:vAlign w:val="center"/>
          </w:tcPr>
          <w:p w14:paraId="3A36356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4CABC38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477F4D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</w:tr>
      <w:tr w14:paraId="25161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293F87E3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Bd. 2 Einh. 2</w:t>
            </w:r>
          </w:p>
          <w:p w14:paraId="4B59024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Schein und Sein</w:t>
            </w:r>
          </w:p>
        </w:tc>
        <w:tc>
          <w:tcPr>
            <w:tcW w:w="2690" w:type="dxa"/>
            <w:vAlign w:val="center"/>
          </w:tcPr>
          <w:p w14:paraId="6FB0E8C2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头脑风暴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法</w:t>
            </w:r>
          </w:p>
          <w:p w14:paraId="70DE5BA6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讲授法</w:t>
            </w:r>
          </w:p>
          <w:p w14:paraId="1D6EF534">
            <w:pPr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问答法</w:t>
            </w:r>
          </w:p>
          <w:p w14:paraId="44C19625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练习法</w:t>
            </w:r>
          </w:p>
          <w:p w14:paraId="30B8F399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讨论法</w:t>
            </w:r>
          </w:p>
        </w:tc>
        <w:tc>
          <w:tcPr>
            <w:tcW w:w="1697" w:type="dxa"/>
            <w:vAlign w:val="center"/>
          </w:tcPr>
          <w:p w14:paraId="7D89B27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期末闭卷考试</w:t>
            </w:r>
          </w:p>
          <w:p w14:paraId="664BDC9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课堂表现</w:t>
            </w:r>
          </w:p>
          <w:p w14:paraId="075B5A9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  <w:p w14:paraId="426608F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作文</w:t>
            </w:r>
          </w:p>
        </w:tc>
        <w:tc>
          <w:tcPr>
            <w:tcW w:w="708" w:type="dxa"/>
            <w:vAlign w:val="center"/>
          </w:tcPr>
          <w:p w14:paraId="5F72405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653" w:type="dxa"/>
            <w:vAlign w:val="center"/>
          </w:tcPr>
          <w:p w14:paraId="3D1B69A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FB104E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299A7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1AB07443">
            <w:pPr>
              <w:pStyle w:val="14"/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Bd. 2 Einh. 3</w:t>
            </w:r>
          </w:p>
          <w:p w14:paraId="5BD0C7B4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Raub, Lüge und Betrug - Ein Krimi</w:t>
            </w:r>
          </w:p>
        </w:tc>
        <w:tc>
          <w:tcPr>
            <w:tcW w:w="2690" w:type="dxa"/>
            <w:vAlign w:val="center"/>
          </w:tcPr>
          <w:p w14:paraId="195B38B6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头脑风暴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法</w:t>
            </w:r>
          </w:p>
          <w:p w14:paraId="5B9B6260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讲授法</w:t>
            </w:r>
          </w:p>
          <w:p w14:paraId="7319E8EB">
            <w:pPr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问答法</w:t>
            </w:r>
          </w:p>
          <w:p w14:paraId="44097CBA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练习法</w:t>
            </w:r>
          </w:p>
          <w:p w14:paraId="3B02C110">
            <w:pPr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讨论法</w:t>
            </w:r>
          </w:p>
          <w:p w14:paraId="738A2F03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情境教学法</w:t>
            </w:r>
          </w:p>
        </w:tc>
        <w:tc>
          <w:tcPr>
            <w:tcW w:w="1697" w:type="dxa"/>
            <w:vAlign w:val="center"/>
          </w:tcPr>
          <w:p w14:paraId="112313A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期末闭卷考试</w:t>
            </w:r>
          </w:p>
          <w:p w14:paraId="09B5F2F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课堂表现</w:t>
            </w:r>
          </w:p>
          <w:p w14:paraId="173A722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38397FD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653" w:type="dxa"/>
            <w:vAlign w:val="center"/>
          </w:tcPr>
          <w:p w14:paraId="10EAD7E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C6A004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4A17B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020302C3">
            <w:pPr>
              <w:pStyle w:val="14"/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Bd. 2 Einh. 4</w:t>
            </w:r>
          </w:p>
          <w:p w14:paraId="5E529CBE">
            <w:pPr>
              <w:pStyle w:val="14"/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Gute Besserung!</w:t>
            </w:r>
          </w:p>
        </w:tc>
        <w:tc>
          <w:tcPr>
            <w:tcW w:w="2690" w:type="dxa"/>
            <w:vAlign w:val="center"/>
          </w:tcPr>
          <w:p w14:paraId="60EE708B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头脑风暴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法</w:t>
            </w:r>
          </w:p>
          <w:p w14:paraId="36606FCB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讲授法</w:t>
            </w:r>
          </w:p>
          <w:p w14:paraId="2CAD9CC8">
            <w:pPr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问答法</w:t>
            </w:r>
          </w:p>
          <w:p w14:paraId="1B647CED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练习法</w:t>
            </w:r>
          </w:p>
          <w:p w14:paraId="79194285">
            <w:pPr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讨论法</w:t>
            </w:r>
          </w:p>
          <w:p w14:paraId="22541B1D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情境教学法</w:t>
            </w:r>
          </w:p>
        </w:tc>
        <w:tc>
          <w:tcPr>
            <w:tcW w:w="1697" w:type="dxa"/>
            <w:vAlign w:val="center"/>
          </w:tcPr>
          <w:p w14:paraId="536157D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期末闭卷考试</w:t>
            </w:r>
          </w:p>
          <w:p w14:paraId="1971074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课堂展示</w:t>
            </w:r>
          </w:p>
          <w:p w14:paraId="587302A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课堂表现</w:t>
            </w:r>
          </w:p>
          <w:p w14:paraId="4B80365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  <w:p w14:paraId="0FA0E53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口头表达</w:t>
            </w:r>
          </w:p>
        </w:tc>
        <w:tc>
          <w:tcPr>
            <w:tcW w:w="708" w:type="dxa"/>
            <w:vAlign w:val="center"/>
          </w:tcPr>
          <w:p w14:paraId="2A85C22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653" w:type="dxa"/>
            <w:vAlign w:val="center"/>
          </w:tcPr>
          <w:p w14:paraId="6876FA5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76F763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9</w:t>
            </w:r>
          </w:p>
        </w:tc>
      </w:tr>
      <w:tr w14:paraId="36B7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5DF8BAB4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Bd. 2 Einh. 5</w:t>
            </w:r>
          </w:p>
          <w:p w14:paraId="668872F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Das Lernen lerne: Lesen</w:t>
            </w:r>
          </w:p>
        </w:tc>
        <w:tc>
          <w:tcPr>
            <w:tcW w:w="2690" w:type="dxa"/>
            <w:vAlign w:val="center"/>
          </w:tcPr>
          <w:p w14:paraId="129DAD0C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讲授法</w:t>
            </w:r>
          </w:p>
          <w:p w14:paraId="46045E28">
            <w:pPr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问答法</w:t>
            </w:r>
          </w:p>
          <w:p w14:paraId="309CF23C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练习法</w:t>
            </w:r>
          </w:p>
          <w:p w14:paraId="1005A923">
            <w:pPr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讨论法</w:t>
            </w:r>
          </w:p>
          <w:p w14:paraId="1BAF1F1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自主学习法</w:t>
            </w:r>
          </w:p>
        </w:tc>
        <w:tc>
          <w:tcPr>
            <w:tcW w:w="1697" w:type="dxa"/>
            <w:vAlign w:val="center"/>
          </w:tcPr>
          <w:p w14:paraId="75FAAA9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期末闭卷考试</w:t>
            </w:r>
          </w:p>
          <w:p w14:paraId="2C6FE97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课堂表现</w:t>
            </w:r>
          </w:p>
          <w:p w14:paraId="5C5CE02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  <w:p w14:paraId="2849438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自主学习</w:t>
            </w:r>
          </w:p>
        </w:tc>
        <w:tc>
          <w:tcPr>
            <w:tcW w:w="708" w:type="dxa"/>
            <w:vAlign w:val="center"/>
          </w:tcPr>
          <w:p w14:paraId="1DB12B8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30E083F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0332FA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03103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2C1226C1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Bd. 2 Einh. 6</w:t>
            </w:r>
          </w:p>
          <w:p w14:paraId="063E1D03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Zwischen gestern und morgen</w:t>
            </w:r>
          </w:p>
        </w:tc>
        <w:tc>
          <w:tcPr>
            <w:tcW w:w="2690" w:type="dxa"/>
            <w:vAlign w:val="center"/>
          </w:tcPr>
          <w:p w14:paraId="0623723D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头脑风暴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法</w:t>
            </w:r>
          </w:p>
          <w:p w14:paraId="18E25100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讲授法</w:t>
            </w:r>
          </w:p>
          <w:p w14:paraId="3D4A2160">
            <w:pPr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问答法</w:t>
            </w:r>
          </w:p>
          <w:p w14:paraId="5FEF3870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练习法</w:t>
            </w:r>
          </w:p>
          <w:p w14:paraId="17EBAC3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讨论法</w:t>
            </w:r>
          </w:p>
        </w:tc>
        <w:tc>
          <w:tcPr>
            <w:tcW w:w="1697" w:type="dxa"/>
            <w:vAlign w:val="center"/>
          </w:tcPr>
          <w:p w14:paraId="1620F06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期末闭卷考试</w:t>
            </w:r>
          </w:p>
          <w:p w14:paraId="08B400B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课堂表现</w:t>
            </w:r>
          </w:p>
          <w:p w14:paraId="4739C52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0E4DD5A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653" w:type="dxa"/>
            <w:vAlign w:val="center"/>
          </w:tcPr>
          <w:p w14:paraId="5B09D84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3BC1F7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17827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25EA9FD8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Bd. 2 Einh. 7</w:t>
            </w:r>
          </w:p>
          <w:p w14:paraId="741C76A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Studium und Studentenleben</w:t>
            </w:r>
          </w:p>
        </w:tc>
        <w:tc>
          <w:tcPr>
            <w:tcW w:w="2690" w:type="dxa"/>
            <w:vAlign w:val="center"/>
          </w:tcPr>
          <w:p w14:paraId="4B6A9A29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头脑风暴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法</w:t>
            </w:r>
          </w:p>
          <w:p w14:paraId="53A8EC50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讲授法</w:t>
            </w:r>
          </w:p>
          <w:p w14:paraId="127E959A">
            <w:pPr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问答法</w:t>
            </w:r>
          </w:p>
          <w:p w14:paraId="1D3DF4F0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练习法</w:t>
            </w:r>
          </w:p>
          <w:p w14:paraId="0301948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讨论法</w:t>
            </w:r>
          </w:p>
        </w:tc>
        <w:tc>
          <w:tcPr>
            <w:tcW w:w="1697" w:type="dxa"/>
            <w:vAlign w:val="center"/>
          </w:tcPr>
          <w:p w14:paraId="748AD96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期末闭卷考试</w:t>
            </w:r>
          </w:p>
          <w:p w14:paraId="2032004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课堂展示</w:t>
            </w:r>
          </w:p>
          <w:p w14:paraId="0DC3779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课堂表现</w:t>
            </w:r>
          </w:p>
          <w:p w14:paraId="353DE2D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  <w:p w14:paraId="6EAAE19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口头表达</w:t>
            </w:r>
          </w:p>
        </w:tc>
        <w:tc>
          <w:tcPr>
            <w:tcW w:w="708" w:type="dxa"/>
            <w:vAlign w:val="center"/>
          </w:tcPr>
          <w:p w14:paraId="2C9E528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653" w:type="dxa"/>
            <w:vAlign w:val="center"/>
          </w:tcPr>
          <w:p w14:paraId="50D1C83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AFA830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0598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3844D63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0599875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60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6DE8D25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7D947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92</w:t>
            </w:r>
          </w:p>
        </w:tc>
      </w:tr>
    </w:tbl>
    <w:p w14:paraId="439FB2AE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0D18B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845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FFB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566B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51042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919891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23AC016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18BFB1E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409B0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5226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1F2B">
            <w:pPr>
              <w:pStyle w:val="14"/>
            </w:pPr>
            <w:r>
              <w:rPr>
                <w:rFonts w:hint="eastAsia"/>
              </w:rPr>
              <w:t>听写练习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DF32">
            <w:pPr>
              <w:pStyle w:val="14"/>
              <w:jc w:val="left"/>
            </w:pPr>
            <w:r>
              <w:rPr>
                <w:rFonts w:hint="eastAsia"/>
              </w:rPr>
              <w:t>教师示范听写技巧，演示速记方式。</w:t>
            </w:r>
          </w:p>
          <w:p w14:paraId="1E5BAAA3">
            <w:pPr>
              <w:pStyle w:val="14"/>
              <w:jc w:val="left"/>
            </w:pPr>
            <w:r>
              <w:rPr>
                <w:rFonts w:hint="eastAsia"/>
              </w:rPr>
              <w:t>学生进行专项训练，摸索正确的听写步骤，掌握速记技巧，分析错误类型，进行查漏补缺。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ADE5EA">
            <w:pPr>
              <w:pStyle w:val="14"/>
            </w:pPr>
            <w:r>
              <w:rPr>
                <w:rFonts w:hint="eastAsia"/>
              </w:rPr>
              <w:t>8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35A0C69">
            <w:pPr>
              <w:pStyle w:val="14"/>
            </w:pPr>
            <w:r>
              <w:rPr>
                <w:rFonts w:hint="eastAsia" w:ascii="黑体" w:hAnsi="黑体" w:eastAsia="黑体"/>
              </w:rPr>
              <w:t>④</w:t>
            </w:r>
          </w:p>
        </w:tc>
      </w:tr>
      <w:tr w14:paraId="45CF4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69C7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C511">
            <w:pPr>
              <w:pStyle w:val="14"/>
            </w:pPr>
            <w:r>
              <w:rPr>
                <w:rFonts w:hint="eastAsia"/>
              </w:rPr>
              <w:t>对话练习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E19A">
            <w:pPr>
              <w:pStyle w:val="14"/>
              <w:jc w:val="left"/>
            </w:pPr>
            <w:r>
              <w:rPr>
                <w:rFonts w:hint="eastAsia"/>
              </w:rPr>
              <w:t>教师创设多种场景供学生进行模拟对话。</w:t>
            </w:r>
          </w:p>
          <w:p w14:paraId="584C0BD8">
            <w:pPr>
              <w:pStyle w:val="14"/>
              <w:jc w:val="left"/>
            </w:pPr>
            <w:r>
              <w:rPr>
                <w:rFonts w:hint="eastAsia"/>
              </w:rPr>
              <w:t>学生通过专项训练，锻炼自己在实际场景中运用英语的能力，提高应对各种情况的信心。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422B">
            <w:pPr>
              <w:pStyle w:val="14"/>
            </w:pPr>
            <w:r>
              <w:rPr>
                <w:rFonts w:hint="eastAsia"/>
              </w:rPr>
              <w:t>8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4A709E">
            <w:pPr>
              <w:pStyle w:val="14"/>
            </w:pPr>
            <w:r>
              <w:rPr>
                <w:rFonts w:hint="eastAsia" w:ascii="黑体" w:hAnsi="黑体" w:eastAsia="黑体"/>
              </w:rPr>
              <w:t>④</w:t>
            </w:r>
          </w:p>
        </w:tc>
      </w:tr>
      <w:tr w14:paraId="15D11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556A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A596">
            <w:pPr>
              <w:pStyle w:val="14"/>
            </w:pPr>
            <w:r>
              <w:rPr>
                <w:rFonts w:hint="eastAsia"/>
              </w:rPr>
              <w:t>语法练习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C46D">
            <w:pPr>
              <w:pStyle w:val="14"/>
              <w:jc w:val="left"/>
            </w:pPr>
            <w:r>
              <w:rPr>
                <w:rFonts w:hint="eastAsia"/>
              </w:rPr>
              <w:t>教师</w:t>
            </w:r>
            <w:r>
              <w:t>进行</w:t>
            </w:r>
            <w:r>
              <w:rPr>
                <w:rFonts w:hint="eastAsia"/>
              </w:rPr>
              <w:t>例句</w:t>
            </w:r>
            <w:r>
              <w:t>讲解</w:t>
            </w:r>
            <w:r>
              <w:rPr>
                <w:rFonts w:hint="eastAsia"/>
              </w:rPr>
              <w:t>及剖析。</w:t>
            </w:r>
          </w:p>
          <w:p w14:paraId="34DA62C7">
            <w:pPr>
              <w:pStyle w:val="14"/>
              <w:jc w:val="left"/>
            </w:pPr>
            <w:r>
              <w:rPr>
                <w:rFonts w:hint="eastAsia"/>
              </w:rPr>
              <w:t>学生进行各类语法练习，通过实际训练，切实掌握各项语法重点及内在逻辑结构。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C4CBA">
            <w:pPr>
              <w:pStyle w:val="14"/>
            </w:pPr>
            <w:r>
              <w:rPr>
                <w:rFonts w:hint="eastAsia"/>
              </w:rPr>
              <w:t>8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7E84CA5">
            <w:pPr>
              <w:pStyle w:val="14"/>
            </w:pPr>
            <w:r>
              <w:rPr>
                <w:rFonts w:hint="eastAsia" w:ascii="黑体" w:hAnsi="黑体" w:eastAsia="黑体"/>
              </w:rPr>
              <w:t>④</w:t>
            </w:r>
          </w:p>
        </w:tc>
      </w:tr>
      <w:tr w14:paraId="76B25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4485">
            <w:pPr>
              <w:pStyle w:val="14"/>
            </w:pPr>
            <w:r>
              <w:rPr>
                <w:rFonts w:hint="eastAsia"/>
              </w:rPr>
              <w:t>4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6EAC">
            <w:pPr>
              <w:pStyle w:val="14"/>
            </w:pPr>
            <w:r>
              <w:rPr>
                <w:rFonts w:hint="eastAsia"/>
              </w:rPr>
              <w:t>P</w:t>
            </w:r>
            <w:r>
              <w:t>PT</w:t>
            </w:r>
            <w:r>
              <w:rPr>
                <w:rFonts w:hint="eastAsia"/>
              </w:rPr>
              <w:t>展示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C6DE">
            <w:pPr>
              <w:pStyle w:val="14"/>
              <w:jc w:val="left"/>
            </w:pPr>
            <w:r>
              <w:rPr>
                <w:rFonts w:hint="eastAsia"/>
              </w:rPr>
              <w:t>教师制定小组学习项目。</w:t>
            </w:r>
          </w:p>
          <w:p w14:paraId="160E737C">
            <w:pPr>
              <w:pStyle w:val="14"/>
              <w:jc w:val="left"/>
            </w:pPr>
            <w:r>
              <w:rPr>
                <w:rFonts w:hint="eastAsia"/>
              </w:rPr>
              <w:t>学生就项目学习成效进行P</w:t>
            </w:r>
            <w:r>
              <w:t>PT</w:t>
            </w:r>
            <w:r>
              <w:rPr>
                <w:rFonts w:hint="eastAsia"/>
              </w:rPr>
              <w:t>展示。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711BF6">
            <w:pPr>
              <w:pStyle w:val="14"/>
            </w:pPr>
            <w:r>
              <w:rPr>
                <w:rFonts w:hint="eastAsia"/>
              </w:rPr>
              <w:t>8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54A83E2">
            <w:pPr>
              <w:pStyle w:val="14"/>
            </w:pPr>
            <w:r>
              <w:rPr>
                <w:rFonts w:hint="eastAsia" w:ascii="黑体" w:hAnsi="黑体" w:eastAsia="黑体"/>
              </w:rPr>
              <w:t>④</w:t>
            </w:r>
          </w:p>
        </w:tc>
      </w:tr>
      <w:tr w14:paraId="701B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1276BC1C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617CDA3F">
      <w:pPr>
        <w:pStyle w:val="16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5BDDA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0C862161">
            <w:pPr>
              <w:pStyle w:val="23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在本课程整体教学中，贯彻“</w:t>
            </w:r>
            <w:r>
              <w:rPr>
                <w:bCs/>
              </w:rPr>
              <w:t>增强政治认同、厚植家国情怀</w:t>
            </w:r>
            <w:r>
              <w:rPr>
                <w:rFonts w:hint="eastAsia" w:ascii="宋体" w:hAnsi="宋体" w:eastAsia="宋体"/>
                <w:szCs w:val="21"/>
              </w:rPr>
              <w:t>”这一思政育人教学目标，将中华优秀传统文化、社会主义先进文化融于课堂教学内容当中，注重培养学生</w:t>
            </w:r>
            <w:r>
              <w:rPr>
                <w:bCs/>
              </w:rPr>
              <w:t>热爱祖国的大好河山、悠久历史、灿烂文化，自觉维护民族利益和国家尊严</w:t>
            </w:r>
            <w:r>
              <w:rPr>
                <w:rFonts w:hint="eastAsia" w:ascii="宋体" w:hAnsi="宋体" w:eastAsia="宋体"/>
                <w:szCs w:val="21"/>
              </w:rPr>
              <w:t>的爱国主义思想。</w:t>
            </w:r>
          </w:p>
          <w:p w14:paraId="10BB4C60">
            <w:pPr>
              <w:pStyle w:val="23"/>
              <w:numPr>
                <w:ilvl w:val="3"/>
                <w:numId w:val="1"/>
              </w:numPr>
              <w:ind w:firstLineChars="0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课程内容的建构</w:t>
            </w:r>
          </w:p>
          <w:p w14:paraId="7C6DB2F2">
            <w:pPr>
              <w:pStyle w:val="23"/>
              <w:ind w:firstLine="210" w:firstLineChars="1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《基础德语</w:t>
            </w: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》课程选用《当代大学德语》为授课教材，通过挖掘其中的德育元素，</w:t>
            </w:r>
            <w:r>
              <w:rPr>
                <w:rFonts w:ascii="宋体" w:hAnsi="宋体" w:eastAsia="宋体"/>
                <w:szCs w:val="21"/>
              </w:rPr>
              <w:t>有机结合《习近平谈治国理政》“三进”教材、</w:t>
            </w:r>
            <w:r>
              <w:rPr>
                <w:rFonts w:hint="eastAsia" w:ascii="宋体" w:hAnsi="宋体" w:eastAsia="宋体"/>
                <w:szCs w:val="21"/>
              </w:rPr>
              <w:t>《理解当代中国》等教材内容和主题，提炼德育元素和思政目标如下：</w:t>
            </w:r>
          </w:p>
          <w:p w14:paraId="1776F756">
            <w:pPr>
              <w:pStyle w:val="23"/>
              <w:ind w:firstLine="210" w:firstLineChars="1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第一册第第十一单元：圣诞与新年</w:t>
            </w:r>
          </w:p>
          <w:p w14:paraId="49FB56D0">
            <w:pPr>
              <w:pStyle w:val="23"/>
              <w:ind w:firstLine="210" w:firstLineChars="1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德育元素/“三进”教材：第十一单元：坚定文化自信（习近平对文化的论述）</w:t>
            </w:r>
          </w:p>
          <w:p w14:paraId="4A3E48B9">
            <w:pPr>
              <w:pStyle w:val="23"/>
              <w:ind w:firstLine="210" w:firstLineChars="1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思政目标：厚植家国情怀，爱护和保护传统文化</w:t>
            </w:r>
          </w:p>
          <w:p w14:paraId="5278AEE8">
            <w:pPr>
              <w:pStyle w:val="23"/>
              <w:ind w:firstLine="210" w:firstLineChars="100"/>
              <w:rPr>
                <w:rFonts w:hint="eastAsia" w:ascii="宋体" w:hAnsi="宋体" w:eastAsia="宋体"/>
                <w:szCs w:val="21"/>
              </w:rPr>
            </w:pPr>
          </w:p>
          <w:p w14:paraId="7ADAE1FB">
            <w:pPr>
              <w:pStyle w:val="23"/>
              <w:ind w:firstLine="210" w:firstLineChars="1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第二册第一单元：旅行</w:t>
            </w:r>
          </w:p>
          <w:p w14:paraId="3A1C4302">
            <w:pPr>
              <w:pStyle w:val="23"/>
              <w:ind w:firstLine="210" w:firstLineChars="1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思政目标：厚植家国情怀，热爱大好河山；建设生态文明</w:t>
            </w:r>
          </w:p>
          <w:p w14:paraId="6943820F">
            <w:pPr>
              <w:pStyle w:val="23"/>
              <w:ind w:firstLine="210" w:firstLineChars="100"/>
              <w:rPr>
                <w:rFonts w:hint="eastAsia" w:ascii="宋体" w:hAnsi="宋体" w:eastAsia="宋体"/>
                <w:szCs w:val="21"/>
              </w:rPr>
            </w:pPr>
          </w:p>
          <w:p w14:paraId="5DE16D96">
            <w:pPr>
              <w:pStyle w:val="23"/>
              <w:ind w:firstLine="210" w:firstLineChars="1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第二册第三单元：抢劫、谎言与欺诈</w:t>
            </w:r>
          </w:p>
          <w:p w14:paraId="2C36022A">
            <w:pPr>
              <w:pStyle w:val="23"/>
              <w:ind w:firstLine="210" w:firstLineChars="1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德育元素/：“三进”教材：第六单元：建设社会主义法治国家</w:t>
            </w:r>
          </w:p>
          <w:p w14:paraId="2EFDC399">
            <w:pPr>
              <w:pStyle w:val="23"/>
              <w:ind w:firstLine="210" w:firstLineChars="1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思政目标：树立遵纪守法的法制观念</w:t>
            </w:r>
          </w:p>
          <w:p w14:paraId="5845A337">
            <w:pPr>
              <w:pStyle w:val="23"/>
              <w:ind w:firstLine="210" w:firstLineChars="100"/>
              <w:rPr>
                <w:rFonts w:hint="eastAsia" w:ascii="宋体" w:hAnsi="宋体" w:eastAsia="宋体"/>
                <w:szCs w:val="21"/>
              </w:rPr>
            </w:pPr>
          </w:p>
          <w:p w14:paraId="02935EA2">
            <w:pPr>
              <w:pStyle w:val="23"/>
              <w:ind w:firstLine="210" w:firstLineChars="1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第二册第四单元：健康保健</w:t>
            </w:r>
          </w:p>
          <w:p w14:paraId="6AA224AC">
            <w:pPr>
              <w:pStyle w:val="23"/>
              <w:ind w:firstLine="210" w:firstLineChars="1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德育元素/“三进”教材：第十二单元：在发展中保障和改善民生</w:t>
            </w:r>
          </w:p>
          <w:p w14:paraId="6965C0B0">
            <w:pPr>
              <w:pStyle w:val="23"/>
              <w:ind w:firstLine="210" w:firstLineChars="1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思政目标：厚植家国情怀，正视中医药文化，加强文化自信；了解民情，坚定社会主义道路自信</w:t>
            </w:r>
          </w:p>
          <w:p w14:paraId="7F9E077C">
            <w:pPr>
              <w:pStyle w:val="23"/>
              <w:ind w:firstLine="210" w:firstLineChars="100"/>
              <w:rPr>
                <w:rFonts w:hint="eastAsia" w:ascii="宋体" w:hAnsi="宋体" w:eastAsia="宋体"/>
                <w:szCs w:val="21"/>
              </w:rPr>
            </w:pPr>
          </w:p>
          <w:p w14:paraId="6C92214C">
            <w:pPr>
              <w:pStyle w:val="23"/>
              <w:ind w:firstLine="210" w:firstLineChars="1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第二册第六单元：职业梦想</w:t>
            </w:r>
          </w:p>
          <w:p w14:paraId="3D144730">
            <w:pPr>
              <w:pStyle w:val="23"/>
              <w:ind w:firstLine="210" w:firstLineChars="1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德育元素/“三进”教材：第一单元：实现中华民族伟大复兴的中国梦</w:t>
            </w:r>
          </w:p>
          <w:p w14:paraId="4DFBC98A">
            <w:pPr>
              <w:pStyle w:val="23"/>
              <w:ind w:firstLine="210" w:firstLineChars="1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思政目标：激发责任使命、远大理想。</w:t>
            </w:r>
          </w:p>
          <w:p w14:paraId="4F6F8973">
            <w:pPr>
              <w:pStyle w:val="23"/>
              <w:ind w:firstLine="210" w:firstLineChars="100"/>
              <w:rPr>
                <w:rFonts w:hint="eastAsia" w:ascii="宋体" w:hAnsi="宋体" w:eastAsia="宋体"/>
                <w:szCs w:val="21"/>
              </w:rPr>
            </w:pPr>
          </w:p>
          <w:p w14:paraId="04F8E436">
            <w:pPr>
              <w:pStyle w:val="23"/>
              <w:numPr>
                <w:ilvl w:val="3"/>
                <w:numId w:val="1"/>
              </w:numPr>
              <w:ind w:firstLineChars="0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教学方法</w:t>
            </w:r>
          </w:p>
          <w:p w14:paraId="5B57A084">
            <w:pPr>
              <w:pStyle w:val="14"/>
              <w:widowControl w:val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传统教学模式“以教师、教材、课堂为中心”，重视知识传授，轻视能力培养。为更好地推进课程思政建设工作，应把握新时代下学生的学习特点，充分利用现代信息技术，发展以学生为中心、成果为导向、能力为目标的多维度、多功能、多手段的混合式教学模式。根据《基础德语》的课程特点，积极应用多媒体手段，运用项目教学法和翻转课堂教学法，线上线下混合式教学。以项目教学为例，项目教学法“以项目为主线、教师为引导、学生为主体”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是一种典型的以OBE教育理念为本的教学模式。为更好地开展课程思政教育，可利用假期，积极实行多样的主题项目活动。</w:t>
            </w:r>
          </w:p>
          <w:p w14:paraId="4BB5CAEF">
            <w:pPr>
              <w:pStyle w:val="14"/>
              <w:widowControl w:val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综合第一册第十一单元、第二册第一单元内容，结合学生现阶段德语综合水平，拟开展如下项目活动：</w:t>
            </w:r>
          </w:p>
          <w:p w14:paraId="18370AA5">
            <w:pPr>
              <w:pStyle w:val="14"/>
              <w:widowControl w:val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编纂《人文·家乡》手册</w:t>
            </w:r>
          </w:p>
          <w:p w14:paraId="12A00AED">
            <w:pPr>
              <w:pStyle w:val="14"/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确定项目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为使学生了解更多家乡文化，选取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人文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家乡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为主题，以中/德双语为撰写语言，共同完成一份手册的撰写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0CFD54E">
            <w:pPr>
              <w:pStyle w:val="14"/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项目内容：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反映家乡人文的人物故事、文化景点、民风民俗等。</w:t>
            </w:r>
          </w:p>
          <w:p w14:paraId="6036D572">
            <w:pPr>
              <w:pStyle w:val="14"/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任务要求：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选取一个方向介绍家乡人文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格式规范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限期两个月完成。</w:t>
            </w:r>
          </w:p>
          <w:p w14:paraId="32A75486">
            <w:pPr>
              <w:pStyle w:val="14"/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目标成果：汇总编纂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1本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《人文·家乡》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手册。</w:t>
            </w:r>
          </w:p>
          <w:p w14:paraId="586277EA">
            <w:pPr>
              <w:pStyle w:val="14"/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评价方法：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从内容、格式、编排等方面进行综合评价，计入平时成绩得分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49F20AD">
            <w:pPr>
              <w:pStyle w:val="14"/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制定计划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学生确定开展项目的时间安排。</w:t>
            </w:r>
          </w:p>
          <w:p w14:paraId="77B5706D">
            <w:pPr>
              <w:pStyle w:val="14"/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组织实施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按照既定工作步骤和程序展开工作，进行信息査找、收集和删选、整合以及编辑、排版、撰写工作，完成文章撰写。教师在此过程中进行指导、监督，提供信息查找的途径，对学生遇到的困难提供建议，监督学生按进度完成项目。</w:t>
            </w:r>
          </w:p>
          <w:p w14:paraId="06A6EECD">
            <w:pPr>
              <w:pStyle w:val="14"/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项目成果汇报和展示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展示学生成果，介绍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文章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主要内容，分享撰写和编排过程中的经历经验、心得体会等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包括内容的确定、遭遇的困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难、困难的解决、得到的收获等。</w:t>
            </w:r>
          </w:p>
          <w:p w14:paraId="4D23E2D9">
            <w:pPr>
              <w:pStyle w:val="14"/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 评价总结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对学生的成果就内容、格式、排版等方面进行评价总结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包括学生的自我评价、其他学生的评价和教师评价，教师评价以肯定和鼓励为主，同时指出尚存在的问题和待完善之处。</w:t>
            </w:r>
          </w:p>
          <w:p w14:paraId="74C27765">
            <w:pPr>
              <w:pStyle w:val="14"/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 扩展深化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学生根据自我、他人和教师的评价和建议在半个月内进行修改完善，并提交最终成果。</w:t>
            </w:r>
          </w:p>
          <w:p w14:paraId="663D61CC">
            <w:pPr>
              <w:pStyle w:val="14"/>
              <w:widowControl w:val="0"/>
              <w:jc w:val="both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7. 归档或应用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将修改完善后的文章汇总打印成册，罗列于教室书架，与他人分享项目成果。</w:t>
            </w:r>
          </w:p>
        </w:tc>
      </w:tr>
    </w:tbl>
    <w:p w14:paraId="62569C0F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668"/>
        <w:gridCol w:w="2080"/>
        <w:gridCol w:w="571"/>
        <w:gridCol w:w="571"/>
        <w:gridCol w:w="571"/>
        <w:gridCol w:w="571"/>
        <w:gridCol w:w="571"/>
        <w:gridCol w:w="571"/>
        <w:gridCol w:w="637"/>
        <w:gridCol w:w="681"/>
      </w:tblGrid>
      <w:tr w14:paraId="117E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FADD600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668" w:type="dxa"/>
            <w:vMerge w:val="restart"/>
            <w:tcBorders>
              <w:top w:val="single" w:color="auto" w:sz="12" w:space="0"/>
            </w:tcBorders>
            <w:vAlign w:val="center"/>
          </w:tcPr>
          <w:p w14:paraId="3AF77CB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080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3785398">
            <w:pPr>
              <w:pStyle w:val="16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4063" w:type="dxa"/>
            <w:gridSpan w:val="7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6DBD863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68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BEEC16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290C7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4" w:type="dxa"/>
            <w:vMerge w:val="continue"/>
            <w:tcBorders>
              <w:left w:val="single" w:color="auto" w:sz="12" w:space="0"/>
            </w:tcBorders>
          </w:tcPr>
          <w:p w14:paraId="32A28EB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68" w:type="dxa"/>
            <w:vMerge w:val="continue"/>
          </w:tcPr>
          <w:p w14:paraId="214A87FB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right w:val="double" w:color="auto" w:sz="4" w:space="0"/>
            </w:tcBorders>
          </w:tcPr>
          <w:p w14:paraId="434F7F2D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571" w:type="dxa"/>
            <w:tcBorders>
              <w:left w:val="double" w:color="auto" w:sz="4" w:space="0"/>
            </w:tcBorders>
            <w:vAlign w:val="center"/>
          </w:tcPr>
          <w:p w14:paraId="5BCEB6C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571" w:type="dxa"/>
            <w:vAlign w:val="center"/>
          </w:tcPr>
          <w:p w14:paraId="244659B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571" w:type="dxa"/>
            <w:vAlign w:val="center"/>
          </w:tcPr>
          <w:p w14:paraId="39ED8E03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571" w:type="dxa"/>
            <w:vAlign w:val="center"/>
          </w:tcPr>
          <w:p w14:paraId="696DE792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571" w:type="dxa"/>
            <w:vAlign w:val="center"/>
          </w:tcPr>
          <w:p w14:paraId="3859CE1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571" w:type="dxa"/>
            <w:vAlign w:val="center"/>
          </w:tcPr>
          <w:p w14:paraId="684514F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637" w:type="dxa"/>
            <w:vAlign w:val="center"/>
          </w:tcPr>
          <w:p w14:paraId="44E7B44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7</w:t>
            </w:r>
          </w:p>
        </w:tc>
        <w:tc>
          <w:tcPr>
            <w:tcW w:w="681" w:type="dxa"/>
            <w:vMerge w:val="continue"/>
            <w:tcBorders>
              <w:right w:val="single" w:color="auto" w:sz="12" w:space="0"/>
            </w:tcBorders>
          </w:tcPr>
          <w:p w14:paraId="3D4206D2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6EC4B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4" w:type="dxa"/>
            <w:tcBorders>
              <w:left w:val="single" w:color="auto" w:sz="12" w:space="0"/>
            </w:tcBorders>
            <w:vAlign w:val="center"/>
          </w:tcPr>
          <w:p w14:paraId="5F46078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668" w:type="dxa"/>
            <w:vAlign w:val="center"/>
          </w:tcPr>
          <w:p w14:paraId="1C9C1B11">
            <w:pPr>
              <w:pStyle w:val="14"/>
              <w:widowControl w:val="0"/>
            </w:pPr>
            <w:r>
              <w:t>60%</w:t>
            </w:r>
          </w:p>
        </w:tc>
        <w:tc>
          <w:tcPr>
            <w:tcW w:w="2080" w:type="dxa"/>
            <w:tcBorders>
              <w:right w:val="double" w:color="auto" w:sz="4" w:space="0"/>
            </w:tcBorders>
            <w:vAlign w:val="center"/>
          </w:tcPr>
          <w:p w14:paraId="2BC71E2A">
            <w:pPr>
              <w:pStyle w:val="14"/>
              <w:widowControl w:val="0"/>
            </w:pPr>
            <w:r>
              <w:rPr>
                <w:rFonts w:hint="eastAsia"/>
              </w:rPr>
              <w:t>期末闭卷考试</w:t>
            </w:r>
          </w:p>
        </w:tc>
        <w:tc>
          <w:tcPr>
            <w:tcW w:w="571" w:type="dxa"/>
            <w:tcBorders>
              <w:left w:val="double" w:color="auto" w:sz="4" w:space="0"/>
            </w:tcBorders>
            <w:vAlign w:val="center"/>
          </w:tcPr>
          <w:p w14:paraId="10DCF393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571" w:type="dxa"/>
            <w:vAlign w:val="center"/>
          </w:tcPr>
          <w:p w14:paraId="0778F85E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571" w:type="dxa"/>
            <w:vAlign w:val="center"/>
          </w:tcPr>
          <w:p w14:paraId="46DCD6D6">
            <w:pPr>
              <w:pStyle w:val="14"/>
              <w:widowControl w:val="0"/>
            </w:pPr>
          </w:p>
        </w:tc>
        <w:tc>
          <w:tcPr>
            <w:tcW w:w="571" w:type="dxa"/>
            <w:vAlign w:val="center"/>
          </w:tcPr>
          <w:p w14:paraId="212A9B6C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571" w:type="dxa"/>
            <w:vAlign w:val="center"/>
          </w:tcPr>
          <w:p w14:paraId="7A99433D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571" w:type="dxa"/>
            <w:vAlign w:val="center"/>
          </w:tcPr>
          <w:p w14:paraId="64B58686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37" w:type="dxa"/>
            <w:vAlign w:val="center"/>
          </w:tcPr>
          <w:p w14:paraId="567B9D42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681" w:type="dxa"/>
            <w:tcBorders>
              <w:right w:val="single" w:color="auto" w:sz="12" w:space="0"/>
            </w:tcBorders>
            <w:vAlign w:val="center"/>
          </w:tcPr>
          <w:p w14:paraId="22F6BD31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E8D0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4" w:type="dxa"/>
            <w:tcBorders>
              <w:left w:val="single" w:color="auto" w:sz="12" w:space="0"/>
            </w:tcBorders>
            <w:vAlign w:val="center"/>
          </w:tcPr>
          <w:p w14:paraId="0B2AFAA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68" w:type="dxa"/>
            <w:vAlign w:val="center"/>
          </w:tcPr>
          <w:p w14:paraId="0ADDCAAF">
            <w:pPr>
              <w:pStyle w:val="14"/>
              <w:widowControl w:val="0"/>
            </w:pPr>
            <w:r>
              <w:t>10%</w:t>
            </w:r>
          </w:p>
        </w:tc>
        <w:tc>
          <w:tcPr>
            <w:tcW w:w="2080" w:type="dxa"/>
            <w:tcBorders>
              <w:right w:val="double" w:color="auto" w:sz="4" w:space="0"/>
            </w:tcBorders>
            <w:vAlign w:val="center"/>
          </w:tcPr>
          <w:p w14:paraId="531F69C0">
            <w:pPr>
              <w:pStyle w:val="14"/>
              <w:widowControl w:val="0"/>
            </w:pPr>
            <w:r>
              <w:rPr>
                <w:rFonts w:hint="eastAsia"/>
              </w:rPr>
              <w:t>平时成绩</w:t>
            </w:r>
          </w:p>
          <w:p w14:paraId="79B54708">
            <w:pPr>
              <w:pStyle w:val="14"/>
              <w:widowControl w:val="0"/>
            </w:pPr>
            <w:r>
              <w:rPr>
                <w:rFonts w:hint="eastAsia"/>
              </w:rPr>
              <w:t>（</w:t>
            </w:r>
            <w:r>
              <w:t>课堂表现、课后作业、自主学习</w:t>
            </w:r>
            <w:r>
              <w:rPr>
                <w:rFonts w:hint="eastAsia"/>
              </w:rPr>
              <w:t>等）</w:t>
            </w:r>
          </w:p>
        </w:tc>
        <w:tc>
          <w:tcPr>
            <w:tcW w:w="571" w:type="dxa"/>
            <w:tcBorders>
              <w:left w:val="double" w:color="auto" w:sz="4" w:space="0"/>
            </w:tcBorders>
            <w:vAlign w:val="center"/>
          </w:tcPr>
          <w:p w14:paraId="3A72E53C">
            <w:pPr>
              <w:pStyle w:val="14"/>
              <w:widowControl w:val="0"/>
            </w:pPr>
            <w:r>
              <w:t>25</w:t>
            </w:r>
          </w:p>
        </w:tc>
        <w:tc>
          <w:tcPr>
            <w:tcW w:w="571" w:type="dxa"/>
            <w:vAlign w:val="center"/>
          </w:tcPr>
          <w:p w14:paraId="64D0F4DA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71" w:type="dxa"/>
            <w:vAlign w:val="center"/>
          </w:tcPr>
          <w:p w14:paraId="3F4E4907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71" w:type="dxa"/>
            <w:vAlign w:val="center"/>
          </w:tcPr>
          <w:p w14:paraId="395478B8">
            <w:pPr>
              <w:pStyle w:val="14"/>
              <w:widowControl w:val="0"/>
            </w:pPr>
          </w:p>
        </w:tc>
        <w:tc>
          <w:tcPr>
            <w:tcW w:w="571" w:type="dxa"/>
            <w:vAlign w:val="center"/>
          </w:tcPr>
          <w:p w14:paraId="78A8094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571" w:type="dxa"/>
            <w:vAlign w:val="center"/>
          </w:tcPr>
          <w:p w14:paraId="6177D75B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37" w:type="dxa"/>
            <w:vAlign w:val="center"/>
          </w:tcPr>
          <w:p w14:paraId="2142DCC7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681" w:type="dxa"/>
            <w:tcBorders>
              <w:right w:val="single" w:color="auto" w:sz="12" w:space="0"/>
            </w:tcBorders>
            <w:vAlign w:val="center"/>
          </w:tcPr>
          <w:p w14:paraId="4D8DA8AE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8145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4" w:type="dxa"/>
            <w:tcBorders>
              <w:left w:val="single" w:color="auto" w:sz="12" w:space="0"/>
            </w:tcBorders>
            <w:vAlign w:val="center"/>
          </w:tcPr>
          <w:p w14:paraId="135C45F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68" w:type="dxa"/>
            <w:vAlign w:val="center"/>
          </w:tcPr>
          <w:p w14:paraId="55F51083">
            <w:pPr>
              <w:pStyle w:val="14"/>
              <w:widowControl w:val="0"/>
            </w:pPr>
            <w:r>
              <w:t>15%</w:t>
            </w:r>
          </w:p>
        </w:tc>
        <w:tc>
          <w:tcPr>
            <w:tcW w:w="2080" w:type="dxa"/>
            <w:tcBorders>
              <w:right w:val="double" w:color="auto" w:sz="4" w:space="0"/>
            </w:tcBorders>
            <w:vAlign w:val="center"/>
          </w:tcPr>
          <w:p w14:paraId="35874E21">
            <w:pPr>
              <w:pStyle w:val="14"/>
              <w:widowControl w:val="0"/>
            </w:pPr>
            <w:r>
              <w:rPr>
                <w:rFonts w:hint="eastAsia"/>
              </w:rPr>
              <w:t>课堂展示</w:t>
            </w:r>
          </w:p>
        </w:tc>
        <w:tc>
          <w:tcPr>
            <w:tcW w:w="571" w:type="dxa"/>
            <w:tcBorders>
              <w:left w:val="double" w:color="auto" w:sz="4" w:space="0"/>
            </w:tcBorders>
            <w:vAlign w:val="center"/>
          </w:tcPr>
          <w:p w14:paraId="22CD07FB">
            <w:pPr>
              <w:pStyle w:val="14"/>
              <w:widowControl w:val="0"/>
            </w:pPr>
            <w:r>
              <w:t>15</w:t>
            </w:r>
          </w:p>
        </w:tc>
        <w:tc>
          <w:tcPr>
            <w:tcW w:w="571" w:type="dxa"/>
            <w:vAlign w:val="center"/>
          </w:tcPr>
          <w:p w14:paraId="2EB7E04E">
            <w:pPr>
              <w:pStyle w:val="14"/>
              <w:widowControl w:val="0"/>
            </w:pPr>
            <w:r>
              <w:t>15</w:t>
            </w:r>
          </w:p>
        </w:tc>
        <w:tc>
          <w:tcPr>
            <w:tcW w:w="571" w:type="dxa"/>
            <w:vAlign w:val="center"/>
          </w:tcPr>
          <w:p w14:paraId="5F24EC0C">
            <w:pPr>
              <w:pStyle w:val="14"/>
              <w:widowControl w:val="0"/>
            </w:pPr>
          </w:p>
        </w:tc>
        <w:tc>
          <w:tcPr>
            <w:tcW w:w="571" w:type="dxa"/>
            <w:vAlign w:val="center"/>
          </w:tcPr>
          <w:p w14:paraId="26806ECA">
            <w:pPr>
              <w:pStyle w:val="14"/>
              <w:widowControl w:val="0"/>
            </w:pPr>
            <w:r>
              <w:t>15</w:t>
            </w:r>
          </w:p>
        </w:tc>
        <w:tc>
          <w:tcPr>
            <w:tcW w:w="571" w:type="dxa"/>
            <w:vAlign w:val="center"/>
          </w:tcPr>
          <w:p w14:paraId="2826FA79">
            <w:pPr>
              <w:pStyle w:val="14"/>
              <w:widowControl w:val="0"/>
            </w:pPr>
            <w:r>
              <w:t>15</w:t>
            </w:r>
          </w:p>
        </w:tc>
        <w:tc>
          <w:tcPr>
            <w:tcW w:w="571" w:type="dxa"/>
            <w:vAlign w:val="center"/>
          </w:tcPr>
          <w:p w14:paraId="7A63CB8C">
            <w:pPr>
              <w:pStyle w:val="14"/>
              <w:widowControl w:val="0"/>
            </w:pPr>
          </w:p>
        </w:tc>
        <w:tc>
          <w:tcPr>
            <w:tcW w:w="637" w:type="dxa"/>
            <w:vAlign w:val="center"/>
          </w:tcPr>
          <w:p w14:paraId="6B41D653">
            <w:pPr>
              <w:pStyle w:val="14"/>
              <w:widowControl w:val="0"/>
            </w:pPr>
            <w:r>
              <w:t>40</w:t>
            </w:r>
          </w:p>
        </w:tc>
        <w:tc>
          <w:tcPr>
            <w:tcW w:w="681" w:type="dxa"/>
            <w:tcBorders>
              <w:right w:val="single" w:color="auto" w:sz="12" w:space="0"/>
            </w:tcBorders>
            <w:vAlign w:val="center"/>
          </w:tcPr>
          <w:p w14:paraId="6184A0A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8DFF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4" w:type="dxa"/>
            <w:tcBorders>
              <w:left w:val="single" w:color="auto" w:sz="12" w:space="0"/>
            </w:tcBorders>
            <w:vAlign w:val="center"/>
          </w:tcPr>
          <w:p w14:paraId="7F1A3A7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68" w:type="dxa"/>
            <w:vAlign w:val="center"/>
          </w:tcPr>
          <w:p w14:paraId="2C43292D">
            <w:pPr>
              <w:pStyle w:val="14"/>
              <w:widowControl w:val="0"/>
            </w:pPr>
            <w:r>
              <w:t>15%</w:t>
            </w:r>
          </w:p>
        </w:tc>
        <w:tc>
          <w:tcPr>
            <w:tcW w:w="2080" w:type="dxa"/>
            <w:tcBorders>
              <w:right w:val="double" w:color="auto" w:sz="4" w:space="0"/>
            </w:tcBorders>
            <w:vAlign w:val="center"/>
          </w:tcPr>
          <w:p w14:paraId="278F73BF">
            <w:pPr>
              <w:pStyle w:val="14"/>
              <w:widowControl w:val="0"/>
            </w:pPr>
            <w:r>
              <w:rPr>
                <w:rFonts w:hint="eastAsia"/>
              </w:rPr>
              <w:t>口头表达</w:t>
            </w:r>
          </w:p>
        </w:tc>
        <w:tc>
          <w:tcPr>
            <w:tcW w:w="571" w:type="dxa"/>
            <w:tcBorders>
              <w:left w:val="double" w:color="auto" w:sz="4" w:space="0"/>
            </w:tcBorders>
            <w:vAlign w:val="center"/>
          </w:tcPr>
          <w:p w14:paraId="45583C68">
            <w:pPr>
              <w:pStyle w:val="14"/>
              <w:widowControl w:val="0"/>
            </w:pPr>
            <w:r>
              <w:t>10</w:t>
            </w:r>
          </w:p>
        </w:tc>
        <w:tc>
          <w:tcPr>
            <w:tcW w:w="571" w:type="dxa"/>
            <w:vAlign w:val="center"/>
          </w:tcPr>
          <w:p w14:paraId="65122956">
            <w:pPr>
              <w:pStyle w:val="14"/>
              <w:widowControl w:val="0"/>
            </w:pPr>
            <w:r>
              <w:t>10</w:t>
            </w:r>
          </w:p>
        </w:tc>
        <w:tc>
          <w:tcPr>
            <w:tcW w:w="571" w:type="dxa"/>
            <w:vAlign w:val="center"/>
          </w:tcPr>
          <w:p w14:paraId="04C8B3FE">
            <w:pPr>
              <w:pStyle w:val="14"/>
              <w:widowControl w:val="0"/>
            </w:pPr>
            <w:r>
              <w:t>15</w:t>
            </w:r>
          </w:p>
        </w:tc>
        <w:tc>
          <w:tcPr>
            <w:tcW w:w="571" w:type="dxa"/>
            <w:vAlign w:val="center"/>
          </w:tcPr>
          <w:p w14:paraId="22ADD265">
            <w:pPr>
              <w:pStyle w:val="14"/>
              <w:widowControl w:val="0"/>
            </w:pPr>
            <w:r>
              <w:t>10</w:t>
            </w:r>
          </w:p>
        </w:tc>
        <w:tc>
          <w:tcPr>
            <w:tcW w:w="571" w:type="dxa"/>
            <w:vAlign w:val="center"/>
          </w:tcPr>
          <w:p w14:paraId="016D2C3C">
            <w:pPr>
              <w:pStyle w:val="14"/>
              <w:widowControl w:val="0"/>
            </w:pPr>
            <w:r>
              <w:t>15</w:t>
            </w:r>
          </w:p>
        </w:tc>
        <w:tc>
          <w:tcPr>
            <w:tcW w:w="571" w:type="dxa"/>
            <w:vAlign w:val="center"/>
          </w:tcPr>
          <w:p w14:paraId="5446AE78">
            <w:pPr>
              <w:pStyle w:val="14"/>
              <w:widowControl w:val="0"/>
            </w:pPr>
            <w:r>
              <w:t>10</w:t>
            </w:r>
          </w:p>
        </w:tc>
        <w:tc>
          <w:tcPr>
            <w:tcW w:w="637" w:type="dxa"/>
            <w:vAlign w:val="center"/>
          </w:tcPr>
          <w:p w14:paraId="34CF946E">
            <w:pPr>
              <w:pStyle w:val="14"/>
              <w:widowControl w:val="0"/>
            </w:pPr>
            <w:r>
              <w:t>30</w:t>
            </w:r>
          </w:p>
        </w:tc>
        <w:tc>
          <w:tcPr>
            <w:tcW w:w="681" w:type="dxa"/>
            <w:tcBorders>
              <w:right w:val="single" w:color="auto" w:sz="12" w:space="0"/>
            </w:tcBorders>
            <w:vAlign w:val="center"/>
          </w:tcPr>
          <w:p w14:paraId="36A0260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2E294411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25FF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344683F">
            <w:pPr>
              <w:pStyle w:val="14"/>
              <w:widowControl w:val="0"/>
              <w:jc w:val="left"/>
              <w:rPr>
                <w:rFonts w:ascii="黑体"/>
              </w:rPr>
            </w:pPr>
            <w:r>
              <w:rPr>
                <w:rFonts w:hint="eastAsia" w:ascii="黑体"/>
              </w:rPr>
              <w:t>无</w:t>
            </w:r>
          </w:p>
        </w:tc>
      </w:tr>
    </w:tbl>
    <w:p w14:paraId="06826BDF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C46F2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F4555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AF4555B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6A11DD"/>
    <w:multiLevelType w:val="multilevel"/>
    <w:tmpl w:val="006A11DD"/>
    <w:lvl w:ilvl="0" w:tentative="0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42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03C3"/>
    <w:rsid w:val="0006251C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14C4B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1D69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3158"/>
    <w:rsid w:val="002F6BD5"/>
    <w:rsid w:val="00305F23"/>
    <w:rsid w:val="00313BBA"/>
    <w:rsid w:val="00317E29"/>
    <w:rsid w:val="00321515"/>
    <w:rsid w:val="0032602E"/>
    <w:rsid w:val="00327B8C"/>
    <w:rsid w:val="0033031D"/>
    <w:rsid w:val="00331638"/>
    <w:rsid w:val="003344A7"/>
    <w:rsid w:val="00334623"/>
    <w:rsid w:val="003367AE"/>
    <w:rsid w:val="00340439"/>
    <w:rsid w:val="00344EF2"/>
    <w:rsid w:val="00347EB8"/>
    <w:rsid w:val="00347F80"/>
    <w:rsid w:val="00353CD7"/>
    <w:rsid w:val="00353F74"/>
    <w:rsid w:val="003557DE"/>
    <w:rsid w:val="0035699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4C3C"/>
    <w:rsid w:val="003C61A5"/>
    <w:rsid w:val="003D1968"/>
    <w:rsid w:val="003D4994"/>
    <w:rsid w:val="003E10A5"/>
    <w:rsid w:val="003E7D72"/>
    <w:rsid w:val="003F3923"/>
    <w:rsid w:val="003F43F6"/>
    <w:rsid w:val="003F72CE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E5ED5"/>
    <w:rsid w:val="005F5185"/>
    <w:rsid w:val="0061514F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25E7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6F5914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082E"/>
    <w:rsid w:val="0078194F"/>
    <w:rsid w:val="00787E0A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278D6"/>
    <w:rsid w:val="0083705D"/>
    <w:rsid w:val="0084242F"/>
    <w:rsid w:val="00845795"/>
    <w:rsid w:val="00847437"/>
    <w:rsid w:val="00852861"/>
    <w:rsid w:val="00860159"/>
    <w:rsid w:val="00870D8E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462F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07917"/>
    <w:rsid w:val="009147D6"/>
    <w:rsid w:val="00914D98"/>
    <w:rsid w:val="00925F8C"/>
    <w:rsid w:val="00927324"/>
    <w:rsid w:val="00932ED7"/>
    <w:rsid w:val="009335F7"/>
    <w:rsid w:val="00933990"/>
    <w:rsid w:val="00941B89"/>
    <w:rsid w:val="00941DEA"/>
    <w:rsid w:val="0094489C"/>
    <w:rsid w:val="009656CC"/>
    <w:rsid w:val="00970E8C"/>
    <w:rsid w:val="00971671"/>
    <w:rsid w:val="00981A37"/>
    <w:rsid w:val="009830B2"/>
    <w:rsid w:val="0099063E"/>
    <w:rsid w:val="009922B9"/>
    <w:rsid w:val="00992356"/>
    <w:rsid w:val="00992674"/>
    <w:rsid w:val="00994793"/>
    <w:rsid w:val="00996AE3"/>
    <w:rsid w:val="009A0450"/>
    <w:rsid w:val="009A1E27"/>
    <w:rsid w:val="009A2232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27FC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8C2"/>
    <w:rsid w:val="00AD5B40"/>
    <w:rsid w:val="00AF289F"/>
    <w:rsid w:val="00AF30B9"/>
    <w:rsid w:val="00AF43DF"/>
    <w:rsid w:val="00AF67A4"/>
    <w:rsid w:val="00AF7510"/>
    <w:rsid w:val="00B043DB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BF5CE2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229A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C28"/>
    <w:rsid w:val="00CF5EE3"/>
    <w:rsid w:val="00CF691F"/>
    <w:rsid w:val="00D00D99"/>
    <w:rsid w:val="00D013A4"/>
    <w:rsid w:val="00D026DC"/>
    <w:rsid w:val="00D12E2F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D4806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A5EAD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173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86CF0"/>
    <w:rsid w:val="00F96236"/>
    <w:rsid w:val="00FA10CE"/>
    <w:rsid w:val="00FA222F"/>
    <w:rsid w:val="00FA2891"/>
    <w:rsid w:val="00FB693D"/>
    <w:rsid w:val="00FB6971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3E7F2C3F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de-DE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  <w:style w:type="paragraph" w:customStyle="1" w:styleId="23">
    <w:name w:val="列表段落1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2364</Words>
  <Characters>2552</Characters>
  <Lines>58</Lines>
  <Paragraphs>16</Paragraphs>
  <TotalTime>0</TotalTime>
  <ScaleCrop>false</ScaleCrop>
  <LinksUpToDate>false</LinksUpToDate>
  <CharactersWithSpaces>2575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2024-03-03T06:06:00Z</dcterms:created>
  <dc:creator>juvg</dc:creator>
  <cp:lastModifiedBy>J. Yao</cp:lastModifiedBy>
  <cp:lastPrinted>2023-11-21T00:52:00Z</cp:lastPrinted>
  <dcterms:modified xsi:type="dcterms:W3CDTF">2026-03-09T06:46:14Z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B8588DEF0F9F45EEA60E8230054E83AB_12</vt:lpwstr>
  </property>
  <property fmtid="{D5CDD505-2E9C-101B-9397-08002B2CF9AE}" pid="4" name="KSOTemplateDocerSaveRecord">
    <vt:lpwstr>eyJoZGlkIjoiYjM3OWVkNzNjZGIzYmIzZTY5OTNmMzM1MzA5MjY2ZjkiLCJ1c2VySWQiOiIxMzQyOTg5Nzc5In0=</vt:lpwstr>
  </property>
</Properties>
</file>