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center"/>
        <w:rPr>
          <w:rFonts w:hint="eastAsia"/>
          <w:b/>
          <w:sz w:val="28"/>
          <w:szCs w:val="30"/>
        </w:rPr>
      </w:pPr>
      <w:r>
        <w:rPr>
          <w:rFonts w:hint="eastAsia"/>
          <w:b/>
          <w:sz w:val="28"/>
          <w:szCs w:val="30"/>
        </w:rPr>
        <w:t>【</w:t>
      </w:r>
      <w:r>
        <w:rPr>
          <w:rFonts w:hint="eastAsia"/>
          <w:b/>
          <w:sz w:val="28"/>
          <w:szCs w:val="30"/>
          <w:lang w:val="en-US" w:eastAsia="zh-CN"/>
        </w:rPr>
        <w:t>大学</w:t>
      </w:r>
      <w:r>
        <w:rPr>
          <w:rFonts w:hint="eastAsia"/>
          <w:b/>
          <w:sz w:val="28"/>
          <w:szCs w:val="30"/>
        </w:rPr>
        <w:t>英语听说</w:t>
      </w:r>
      <w:r>
        <w:rPr>
          <w:rFonts w:hint="eastAsia"/>
          <w:b/>
          <w:sz w:val="28"/>
          <w:szCs w:val="30"/>
          <w:lang w:val="en-US" w:eastAsia="zh-CN"/>
        </w:rPr>
        <w:t>3</w:t>
      </w:r>
      <w:r>
        <w:rPr>
          <w:rFonts w:hint="eastAsia"/>
          <w:b/>
          <w:sz w:val="28"/>
          <w:szCs w:val="30"/>
        </w:rPr>
        <w:t>】</w:t>
      </w:r>
    </w:p>
    <w:p>
      <w:pPr>
        <w:widowControl/>
        <w:snapToGrid w:val="0"/>
        <w:spacing w:line="480" w:lineRule="exact"/>
        <w:jc w:val="center"/>
        <w:rPr>
          <w:rFonts w:hint="eastAsia"/>
          <w:b/>
          <w:sz w:val="28"/>
          <w:szCs w:val="30"/>
        </w:rPr>
      </w:pPr>
      <w:bookmarkStart w:id="0" w:name="a2"/>
      <w:bookmarkEnd w:id="0"/>
      <w:r>
        <w:rPr>
          <w:rFonts w:hint="eastAsia"/>
          <w:b/>
          <w:sz w:val="28"/>
          <w:szCs w:val="30"/>
        </w:rPr>
        <w:t>【</w:t>
      </w:r>
      <w:r>
        <w:rPr>
          <w:rFonts w:hint="eastAsia"/>
          <w:b/>
          <w:sz w:val="28"/>
          <w:szCs w:val="30"/>
          <w:lang w:val="en-US" w:eastAsia="zh-CN"/>
        </w:rPr>
        <w:t>College English Listening and Speaking</w:t>
      </w:r>
      <w:r>
        <w:rPr>
          <w:rFonts w:hint="eastAsia"/>
          <w:b/>
          <w:sz w:val="28"/>
          <w:szCs w:val="30"/>
        </w:rPr>
        <w:t>】</w:t>
      </w:r>
    </w:p>
    <w:p>
      <w:pPr>
        <w:widowControl/>
        <w:snapToGrid w:val="0"/>
        <w:spacing w:line="480" w:lineRule="exact"/>
        <w:jc w:val="center"/>
        <w:rPr>
          <w:rFonts w:hint="eastAsia"/>
          <w:b/>
          <w:sz w:val="28"/>
          <w:szCs w:val="30"/>
        </w:rPr>
      </w:pPr>
    </w:p>
    <w:p>
      <w:pPr>
        <w:spacing w:before="156" w:beforeLines="50" w:after="156" w:afterLines="50" w:line="288" w:lineRule="auto"/>
        <w:ind w:firstLine="360" w:firstLineChars="150"/>
        <w:rPr>
          <w:b/>
          <w:color w:val="008080"/>
          <w:sz w:val="30"/>
          <w:szCs w:val="30"/>
          <w:highlight w:val="none"/>
        </w:rPr>
      </w:pPr>
      <w:r>
        <w:rPr>
          <w:rFonts w:ascii="黑体" w:hAnsi="宋体" w:eastAsia="黑体"/>
          <w:sz w:val="24"/>
          <w:highlight w:val="none"/>
        </w:rPr>
        <w:t>一</w:t>
      </w:r>
      <w:r>
        <w:rPr>
          <w:rFonts w:hint="eastAsia" w:ascii="黑体" w:hAnsi="宋体" w:eastAsia="黑体"/>
          <w:sz w:val="24"/>
          <w:highlight w:val="none"/>
        </w:rPr>
        <w:t>、</w:t>
      </w:r>
      <w:r>
        <w:rPr>
          <w:rFonts w:ascii="黑体" w:hAnsi="宋体" w:eastAsia="黑体"/>
          <w:sz w:val="24"/>
          <w:highlight w:val="none"/>
        </w:rPr>
        <w:t>基本信息</w:t>
      </w:r>
    </w:p>
    <w:p>
      <w:pPr>
        <w:snapToGrid w:val="0"/>
        <w:spacing w:line="288" w:lineRule="auto"/>
        <w:ind w:firstLine="394" w:firstLineChars="196"/>
        <w:rPr>
          <w:rFonts w:hint="default" w:eastAsia="宋体"/>
          <w:color w:val="000000"/>
          <w:sz w:val="20"/>
          <w:szCs w:val="20"/>
          <w:highlight w:val="none"/>
          <w:lang w:val="en-US" w:eastAsia="zh-CN"/>
        </w:rPr>
      </w:pPr>
      <w:r>
        <w:rPr>
          <w:b/>
          <w:bCs/>
          <w:color w:val="000000"/>
          <w:sz w:val="20"/>
          <w:szCs w:val="20"/>
          <w:highlight w:val="none"/>
        </w:rPr>
        <w:t>课程代码：</w:t>
      </w:r>
      <w:r>
        <w:rPr>
          <w:sz w:val="20"/>
          <w:szCs w:val="20"/>
        </w:rPr>
        <w:t>【</w:t>
      </w:r>
      <w:r>
        <w:rPr>
          <w:rFonts w:ascii="宋体" w:hAnsi="宋体" w:cs="Arial"/>
          <w:kern w:val="0"/>
          <w:szCs w:val="18"/>
          <w:highlight w:val="none"/>
        </w:rPr>
        <w:t>2020</w:t>
      </w:r>
      <w:r>
        <w:rPr>
          <w:rFonts w:hint="eastAsia" w:ascii="宋体" w:hAnsi="宋体" w:cs="Arial"/>
          <w:kern w:val="0"/>
          <w:szCs w:val="18"/>
          <w:highlight w:val="none"/>
          <w:lang w:val="en-US" w:eastAsia="zh-CN"/>
        </w:rPr>
        <w:t>299</w:t>
      </w:r>
      <w:r>
        <w:rPr>
          <w:sz w:val="20"/>
          <w:szCs w:val="20"/>
        </w:rPr>
        <w:t>】</w:t>
      </w:r>
    </w:p>
    <w:p>
      <w:pPr>
        <w:snapToGrid w:val="0"/>
        <w:spacing w:line="288" w:lineRule="auto"/>
        <w:ind w:firstLine="394" w:firstLineChars="196"/>
        <w:rPr>
          <w:color w:val="000000"/>
          <w:szCs w:val="21"/>
          <w:highlight w:val="none"/>
        </w:rPr>
      </w:pPr>
      <w:r>
        <w:rPr>
          <w:b/>
          <w:bCs/>
          <w:color w:val="000000"/>
          <w:sz w:val="20"/>
          <w:szCs w:val="20"/>
          <w:highlight w:val="none"/>
        </w:rPr>
        <w:t>课程学分：</w:t>
      </w:r>
      <w:r>
        <w:rPr>
          <w:sz w:val="20"/>
          <w:szCs w:val="20"/>
        </w:rPr>
        <w:t>【</w:t>
      </w:r>
      <w:r>
        <w:rPr>
          <w:color w:val="000000"/>
          <w:sz w:val="20"/>
          <w:szCs w:val="20"/>
          <w:highlight w:val="none"/>
        </w:rPr>
        <w:t>2</w:t>
      </w:r>
      <w:r>
        <w:rPr>
          <w:sz w:val="20"/>
          <w:szCs w:val="20"/>
        </w:rPr>
        <w:t>】</w:t>
      </w:r>
    </w:p>
    <w:p>
      <w:pPr>
        <w:snapToGrid w:val="0"/>
        <w:spacing w:line="288" w:lineRule="auto"/>
        <w:ind w:firstLine="394" w:firstLineChars="196"/>
        <w:rPr>
          <w:color w:val="000000"/>
          <w:szCs w:val="21"/>
          <w:highlight w:val="none"/>
        </w:rPr>
      </w:pPr>
      <w:r>
        <w:rPr>
          <w:b/>
          <w:bCs/>
          <w:color w:val="000000"/>
          <w:sz w:val="20"/>
          <w:szCs w:val="20"/>
          <w:highlight w:val="none"/>
        </w:rPr>
        <w:t>面向专业：</w:t>
      </w:r>
      <w:r>
        <w:rPr>
          <w:sz w:val="20"/>
          <w:szCs w:val="20"/>
        </w:rPr>
        <w:t>【</w:t>
      </w:r>
      <w:r>
        <w:rPr>
          <w:rFonts w:hint="eastAsia"/>
          <w:color w:val="000000"/>
          <w:sz w:val="20"/>
          <w:szCs w:val="20"/>
          <w:highlight w:val="none"/>
        </w:rPr>
        <w:t>英语</w:t>
      </w:r>
      <w:r>
        <w:rPr>
          <w:sz w:val="20"/>
          <w:szCs w:val="20"/>
        </w:rPr>
        <w:t>】</w:t>
      </w:r>
    </w:p>
    <w:p>
      <w:pPr>
        <w:snapToGrid w:val="0"/>
        <w:spacing w:line="288" w:lineRule="auto"/>
        <w:ind w:firstLine="394" w:firstLineChars="196"/>
        <w:rPr>
          <w:rFonts w:hint="default" w:eastAsia="宋体"/>
          <w:color w:val="000000"/>
          <w:sz w:val="20"/>
          <w:szCs w:val="20"/>
          <w:highlight w:val="none"/>
          <w:lang w:val="en-US" w:eastAsia="zh-CN"/>
        </w:rPr>
      </w:pPr>
      <w:r>
        <w:rPr>
          <w:b/>
          <w:bCs/>
          <w:color w:val="000000"/>
          <w:sz w:val="20"/>
          <w:szCs w:val="20"/>
          <w:highlight w:val="none"/>
        </w:rPr>
        <w:t>课程性质：</w:t>
      </w:r>
      <w:r>
        <w:rPr>
          <w:sz w:val="20"/>
          <w:szCs w:val="20"/>
        </w:rPr>
        <w:t>【</w:t>
      </w:r>
      <w:r>
        <w:rPr>
          <w:rFonts w:hint="eastAsia"/>
          <w:b w:val="0"/>
          <w:bCs w:val="0"/>
          <w:color w:val="000000"/>
          <w:sz w:val="20"/>
          <w:szCs w:val="20"/>
          <w:highlight w:val="none"/>
          <w:lang w:val="en-US" w:eastAsia="zh-CN"/>
        </w:rPr>
        <w:t>通识基础教育</w:t>
      </w:r>
      <w:r>
        <w:rPr>
          <w:sz w:val="20"/>
          <w:szCs w:val="20"/>
        </w:rPr>
        <w:t>】</w:t>
      </w:r>
    </w:p>
    <w:p>
      <w:pPr>
        <w:snapToGrid w:val="0"/>
        <w:spacing w:line="288" w:lineRule="auto"/>
        <w:ind w:firstLine="394" w:firstLineChars="196"/>
        <w:rPr>
          <w:rFonts w:hint="default" w:eastAsia="宋体"/>
          <w:b/>
          <w:bCs/>
          <w:color w:val="000000"/>
          <w:szCs w:val="21"/>
          <w:highlight w:val="none"/>
          <w:lang w:val="en-US" w:eastAsia="zh-CN"/>
        </w:rPr>
      </w:pPr>
      <w:r>
        <w:rPr>
          <w:b/>
          <w:bCs/>
          <w:color w:val="000000"/>
          <w:sz w:val="20"/>
          <w:szCs w:val="20"/>
          <w:highlight w:val="none"/>
        </w:rPr>
        <w:t>开课院系：</w:t>
      </w:r>
      <w:r>
        <w:rPr>
          <w:rFonts w:hint="eastAsia"/>
          <w:bCs/>
          <w:color w:val="000000"/>
          <w:sz w:val="20"/>
          <w:szCs w:val="20"/>
          <w:highlight w:val="none"/>
        </w:rPr>
        <w:t>外国语学院</w:t>
      </w:r>
      <w:r>
        <w:rPr>
          <w:rFonts w:hint="eastAsia"/>
          <w:bCs/>
          <w:color w:val="000000"/>
          <w:sz w:val="20"/>
          <w:szCs w:val="20"/>
          <w:highlight w:val="none"/>
          <w:lang w:val="en-US" w:eastAsia="zh-CN"/>
        </w:rPr>
        <w:t>大学英语部</w:t>
      </w:r>
    </w:p>
    <w:p>
      <w:pPr>
        <w:snapToGrid w:val="0"/>
        <w:spacing w:line="288" w:lineRule="auto"/>
        <w:ind w:firstLine="394" w:firstLineChars="196"/>
        <w:rPr>
          <w:rFonts w:hint="default" w:eastAsia="宋体"/>
          <w:color w:val="000000"/>
          <w:sz w:val="20"/>
          <w:szCs w:val="20"/>
          <w:highlight w:val="none"/>
          <w:lang w:val="en-US" w:eastAsia="zh-CN"/>
        </w:rPr>
      </w:pPr>
      <w:r>
        <w:rPr>
          <w:b/>
          <w:bCs/>
          <w:color w:val="000000"/>
          <w:sz w:val="20"/>
          <w:szCs w:val="20"/>
          <w:highlight w:val="none"/>
        </w:rPr>
        <w:t>使用教材：</w:t>
      </w:r>
      <w:r>
        <w:rPr>
          <w:rFonts w:ascii="Times New Roman" w:hAnsi="Times New Roman"/>
          <w:bCs/>
          <w:kern w:val="1"/>
          <w:sz w:val="20"/>
          <w:szCs w:val="20"/>
          <w:highlight w:val="none"/>
        </w:rPr>
        <w:t>教材：</w:t>
      </w:r>
      <w:r>
        <w:rPr>
          <w:rFonts w:ascii="Times New Roman" w:hAnsi="Times New Roman"/>
          <w:kern w:val="1"/>
          <w:sz w:val="20"/>
          <w:szCs w:val="20"/>
          <w:highlight w:val="none"/>
        </w:rPr>
        <w:t>《</w:t>
      </w:r>
      <w:r>
        <w:rPr>
          <w:rFonts w:hint="eastAsia" w:ascii="Times New Roman" w:hAnsi="Times New Roman"/>
          <w:kern w:val="1"/>
          <w:sz w:val="20"/>
          <w:szCs w:val="20"/>
          <w:highlight w:val="none"/>
          <w:lang w:val="en-US" w:eastAsia="zh-CN"/>
        </w:rPr>
        <w:t>大学英语</w:t>
      </w:r>
      <w:r>
        <w:rPr>
          <w:rFonts w:ascii="Times New Roman" w:hAnsi="Times New Roman"/>
          <w:kern w:val="1"/>
          <w:sz w:val="20"/>
          <w:szCs w:val="20"/>
          <w:highlight w:val="none"/>
        </w:rPr>
        <w:t>听</w:t>
      </w:r>
      <w:r>
        <w:rPr>
          <w:rFonts w:hint="eastAsia" w:ascii="Times New Roman" w:hAnsi="Times New Roman"/>
          <w:kern w:val="1"/>
          <w:sz w:val="20"/>
          <w:szCs w:val="20"/>
          <w:highlight w:val="none"/>
          <w:lang w:val="en-US" w:eastAsia="zh-CN"/>
        </w:rPr>
        <w:t>说</w:t>
      </w:r>
      <w:r>
        <w:rPr>
          <w:rFonts w:ascii="Times New Roman" w:hAnsi="Times New Roman"/>
          <w:kern w:val="1"/>
          <w:sz w:val="20"/>
          <w:szCs w:val="20"/>
          <w:highlight w:val="none"/>
        </w:rPr>
        <w:t>教</w:t>
      </w:r>
      <w:r>
        <w:rPr>
          <w:rFonts w:hint="eastAsia" w:ascii="Times New Roman" w:hAnsi="Times New Roman"/>
          <w:kern w:val="1"/>
          <w:sz w:val="20"/>
          <w:szCs w:val="20"/>
          <w:highlight w:val="none"/>
          <w:lang w:val="en-US" w:eastAsia="zh-CN"/>
        </w:rPr>
        <w:t>程3</w:t>
      </w:r>
      <w:r>
        <w:rPr>
          <w:rFonts w:ascii="Times New Roman" w:hAnsi="Times New Roman"/>
          <w:kern w:val="1"/>
          <w:sz w:val="20"/>
          <w:szCs w:val="20"/>
          <w:highlight w:val="none"/>
        </w:rPr>
        <w:t>》，</w:t>
      </w:r>
      <w:r>
        <w:rPr>
          <w:rFonts w:hint="eastAsia" w:ascii="Times New Roman" w:hAnsi="Times New Roman"/>
          <w:kern w:val="1"/>
          <w:sz w:val="20"/>
          <w:szCs w:val="20"/>
          <w:highlight w:val="none"/>
          <w:lang w:val="en-US" w:eastAsia="zh-CN"/>
        </w:rPr>
        <w:t>陈向京</w:t>
      </w:r>
      <w:r>
        <w:rPr>
          <w:rFonts w:ascii="Times New Roman" w:hAnsi="Times New Roman"/>
          <w:kern w:val="1"/>
          <w:sz w:val="20"/>
          <w:szCs w:val="20"/>
          <w:highlight w:val="none"/>
        </w:rPr>
        <w:t>主编，外语教</w:t>
      </w:r>
      <w:r>
        <w:rPr>
          <w:rFonts w:hint="eastAsia" w:ascii="Times New Roman" w:hAnsi="Times New Roman"/>
          <w:kern w:val="1"/>
          <w:sz w:val="20"/>
          <w:szCs w:val="20"/>
          <w:highlight w:val="none"/>
          <w:lang w:val="en-US" w:eastAsia="zh-CN"/>
        </w:rPr>
        <w:t>学与研究</w:t>
      </w:r>
      <w:r>
        <w:rPr>
          <w:rFonts w:ascii="Times New Roman" w:hAnsi="Times New Roman"/>
          <w:kern w:val="1"/>
          <w:sz w:val="20"/>
          <w:szCs w:val="20"/>
          <w:highlight w:val="none"/>
        </w:rPr>
        <w:t>出版社，</w:t>
      </w:r>
      <w:r>
        <w:rPr>
          <w:rFonts w:hint="eastAsia" w:ascii="Times New Roman" w:hAnsi="Times New Roman"/>
          <w:kern w:val="1"/>
          <w:sz w:val="20"/>
          <w:szCs w:val="20"/>
          <w:highlight w:val="none"/>
          <w:lang w:val="en-US" w:eastAsia="zh-CN"/>
        </w:rPr>
        <w:t>2017年</w:t>
      </w:r>
    </w:p>
    <w:p>
      <w:pPr>
        <w:spacing w:line="300" w:lineRule="auto"/>
        <w:ind w:firstLine="1400"/>
        <w:rPr>
          <w:rFonts w:ascii="Times New Roman" w:hAnsi="Times New Roman"/>
          <w:kern w:val="1"/>
          <w:sz w:val="20"/>
          <w:szCs w:val="20"/>
          <w:highlight w:val="none"/>
        </w:rPr>
      </w:pPr>
      <w:r>
        <w:rPr>
          <w:rFonts w:ascii="Times New Roman" w:hAnsi="Times New Roman"/>
          <w:kern w:val="1"/>
          <w:sz w:val="20"/>
          <w:szCs w:val="20"/>
          <w:highlight w:val="none"/>
        </w:rPr>
        <w:t>参考书目及网站：</w:t>
      </w:r>
    </w:p>
    <w:p>
      <w:pPr>
        <w:spacing w:line="300" w:lineRule="auto"/>
        <w:ind w:firstLine="1400"/>
        <w:rPr>
          <w:rFonts w:hint="default" w:ascii="Times New Roman" w:hAnsi="Times New Roman" w:eastAsia="宋体"/>
          <w:kern w:val="1"/>
          <w:sz w:val="20"/>
          <w:szCs w:val="20"/>
          <w:highlight w:val="none"/>
          <w:lang w:val="en-US" w:eastAsia="zh-CN"/>
        </w:rPr>
      </w:pPr>
      <w:r>
        <w:rPr>
          <w:rFonts w:ascii="Times New Roman" w:hAnsi="Times New Roman"/>
          <w:kern w:val="1"/>
          <w:sz w:val="20"/>
          <w:szCs w:val="20"/>
          <w:highlight w:val="none"/>
        </w:rPr>
        <w:t>1.《</w:t>
      </w:r>
      <w:r>
        <w:rPr>
          <w:rFonts w:hint="eastAsia" w:ascii="Times New Roman" w:hAnsi="Times New Roman"/>
          <w:kern w:val="1"/>
          <w:sz w:val="20"/>
          <w:szCs w:val="20"/>
          <w:highlight w:val="none"/>
          <w:lang w:val="en-US" w:eastAsia="zh-CN"/>
        </w:rPr>
        <w:t>大学英语</w:t>
      </w:r>
      <w:r>
        <w:rPr>
          <w:rFonts w:ascii="Times New Roman" w:hAnsi="Times New Roman"/>
          <w:kern w:val="1"/>
          <w:sz w:val="20"/>
          <w:szCs w:val="20"/>
          <w:highlight w:val="none"/>
        </w:rPr>
        <w:t>听</w:t>
      </w:r>
      <w:r>
        <w:rPr>
          <w:rFonts w:hint="eastAsia" w:ascii="Times New Roman" w:hAnsi="Times New Roman"/>
          <w:kern w:val="1"/>
          <w:sz w:val="20"/>
          <w:szCs w:val="20"/>
          <w:highlight w:val="none"/>
          <w:lang w:val="en-US" w:eastAsia="zh-CN"/>
        </w:rPr>
        <w:t>说</w:t>
      </w:r>
      <w:r>
        <w:rPr>
          <w:rFonts w:ascii="Times New Roman" w:hAnsi="Times New Roman"/>
          <w:kern w:val="1"/>
          <w:sz w:val="20"/>
          <w:szCs w:val="20"/>
          <w:highlight w:val="none"/>
        </w:rPr>
        <w:t>教</w:t>
      </w:r>
      <w:r>
        <w:rPr>
          <w:rFonts w:hint="eastAsia" w:ascii="Times New Roman" w:hAnsi="Times New Roman"/>
          <w:kern w:val="1"/>
          <w:sz w:val="20"/>
          <w:szCs w:val="20"/>
          <w:highlight w:val="none"/>
          <w:lang w:val="en-US" w:eastAsia="zh-CN"/>
        </w:rPr>
        <w:t>程3</w:t>
      </w:r>
      <w:r>
        <w:rPr>
          <w:rFonts w:ascii="Times New Roman" w:hAnsi="Times New Roman"/>
          <w:kern w:val="1"/>
          <w:sz w:val="20"/>
          <w:szCs w:val="20"/>
          <w:highlight w:val="none"/>
        </w:rPr>
        <w:t>》（教师用书），</w:t>
      </w:r>
      <w:r>
        <w:rPr>
          <w:rFonts w:hint="eastAsia" w:ascii="Times New Roman" w:hAnsi="Times New Roman"/>
          <w:kern w:val="1"/>
          <w:sz w:val="20"/>
          <w:szCs w:val="20"/>
          <w:highlight w:val="none"/>
          <w:lang w:val="en-US" w:eastAsia="zh-CN"/>
        </w:rPr>
        <w:t>陈向京</w:t>
      </w:r>
      <w:r>
        <w:rPr>
          <w:rFonts w:ascii="Times New Roman" w:hAnsi="Times New Roman"/>
          <w:kern w:val="1"/>
          <w:sz w:val="20"/>
          <w:szCs w:val="20"/>
          <w:highlight w:val="none"/>
        </w:rPr>
        <w:t>主编，外语教</w:t>
      </w:r>
      <w:r>
        <w:rPr>
          <w:rFonts w:hint="eastAsia" w:ascii="Times New Roman" w:hAnsi="Times New Roman"/>
          <w:kern w:val="1"/>
          <w:sz w:val="20"/>
          <w:szCs w:val="20"/>
          <w:highlight w:val="none"/>
          <w:lang w:val="en-US" w:eastAsia="zh-CN"/>
        </w:rPr>
        <w:t>学与研究</w:t>
      </w:r>
      <w:r>
        <w:rPr>
          <w:rFonts w:ascii="Times New Roman" w:hAnsi="Times New Roman"/>
          <w:kern w:val="1"/>
          <w:sz w:val="20"/>
          <w:szCs w:val="20"/>
          <w:highlight w:val="none"/>
        </w:rPr>
        <w:t>出版社，</w:t>
      </w:r>
      <w:r>
        <w:rPr>
          <w:rFonts w:hint="eastAsia" w:ascii="Times New Roman" w:hAnsi="Times New Roman"/>
          <w:kern w:val="1"/>
          <w:sz w:val="20"/>
          <w:szCs w:val="20"/>
          <w:highlight w:val="none"/>
          <w:lang w:val="en-US" w:eastAsia="zh-CN"/>
        </w:rPr>
        <w:tab/>
      </w:r>
      <w:r>
        <w:rPr>
          <w:rFonts w:hint="eastAsia" w:ascii="Times New Roman" w:hAnsi="Times New Roman"/>
          <w:kern w:val="1"/>
          <w:sz w:val="20"/>
          <w:szCs w:val="20"/>
          <w:highlight w:val="none"/>
          <w:lang w:val="en-US" w:eastAsia="zh-CN"/>
        </w:rPr>
        <w:tab/>
      </w:r>
      <w:r>
        <w:rPr>
          <w:rFonts w:hint="eastAsia" w:ascii="Times New Roman" w:hAnsi="Times New Roman"/>
          <w:kern w:val="1"/>
          <w:sz w:val="20"/>
          <w:szCs w:val="20"/>
          <w:highlight w:val="none"/>
          <w:lang w:val="en-US" w:eastAsia="zh-CN"/>
        </w:rPr>
        <w:tab/>
      </w:r>
      <w:r>
        <w:rPr>
          <w:rFonts w:hint="eastAsia" w:ascii="Times New Roman" w:hAnsi="Times New Roman"/>
          <w:kern w:val="1"/>
          <w:sz w:val="20"/>
          <w:szCs w:val="20"/>
          <w:highlight w:val="none"/>
          <w:lang w:val="en-US" w:eastAsia="zh-CN"/>
        </w:rPr>
        <w:tab/>
      </w:r>
      <w:r>
        <w:rPr>
          <w:rFonts w:ascii="Times New Roman" w:hAnsi="Times New Roman"/>
          <w:kern w:val="1"/>
          <w:sz w:val="20"/>
          <w:szCs w:val="20"/>
          <w:highlight w:val="none"/>
        </w:rPr>
        <w:t>201</w:t>
      </w:r>
      <w:r>
        <w:rPr>
          <w:rFonts w:hint="eastAsia" w:ascii="Times New Roman" w:hAnsi="Times New Roman"/>
          <w:kern w:val="1"/>
          <w:sz w:val="20"/>
          <w:szCs w:val="20"/>
          <w:highlight w:val="none"/>
          <w:lang w:val="en-US" w:eastAsia="zh-CN"/>
        </w:rPr>
        <w:t>7年</w:t>
      </w:r>
    </w:p>
    <w:p>
      <w:pPr>
        <w:spacing w:line="300" w:lineRule="auto"/>
        <w:ind w:firstLine="1400"/>
        <w:rPr>
          <w:rFonts w:hint="default" w:ascii="宋体" w:hAnsi="宋体" w:eastAsia="宋体" w:cs="宋体"/>
          <w:kern w:val="1"/>
          <w:szCs w:val="21"/>
          <w:highlight w:val="none"/>
          <w:lang w:val="en-US" w:eastAsia="zh-CN"/>
        </w:rPr>
      </w:pPr>
      <w:r>
        <w:rPr>
          <w:rFonts w:ascii="宋体" w:hAnsi="宋体" w:cs="宋体"/>
          <w:kern w:val="1"/>
          <w:szCs w:val="21"/>
          <w:highlight w:val="none"/>
        </w:rPr>
        <w:t xml:space="preserve">2. </w:t>
      </w:r>
      <w:r>
        <w:rPr>
          <w:rFonts w:hint="eastAsia"/>
          <w:highlight w:val="none"/>
          <w:lang w:val="en-US" w:eastAsia="zh-CN"/>
        </w:rPr>
        <w:t>U校园APP</w:t>
      </w:r>
    </w:p>
    <w:p>
      <w:pPr>
        <w:spacing w:line="300" w:lineRule="auto"/>
        <w:ind w:firstLine="1400"/>
        <w:rPr>
          <w:rFonts w:ascii="宋体" w:hAnsi="宋体" w:cs="宋体"/>
          <w:kern w:val="1"/>
          <w:szCs w:val="21"/>
          <w:highlight w:val="none"/>
        </w:rPr>
      </w:pPr>
      <w:r>
        <w:rPr>
          <w:rFonts w:ascii="宋体" w:hAnsi="宋体" w:cs="宋体"/>
          <w:kern w:val="1"/>
          <w:szCs w:val="21"/>
          <w:highlight w:val="none"/>
        </w:rPr>
        <w:t>3.</w:t>
      </w:r>
      <w:r>
        <w:rPr>
          <w:rFonts w:hint="eastAsia" w:ascii="宋体" w:hAnsi="宋体" w:cs="宋体"/>
          <w:kern w:val="1"/>
          <w:szCs w:val="21"/>
          <w:highlight w:val="none"/>
        </w:rPr>
        <w:t xml:space="preserve"> </w:t>
      </w:r>
      <w:r>
        <w:rPr>
          <w:rFonts w:hint="eastAsia"/>
          <w:highlight w:val="none"/>
          <w:lang w:val="en-US" w:eastAsia="zh-CN"/>
        </w:rPr>
        <w:t>外研随身学APP</w:t>
      </w:r>
    </w:p>
    <w:p>
      <w:pPr>
        <w:snapToGrid w:val="0"/>
        <w:spacing w:line="288" w:lineRule="auto"/>
        <w:ind w:firstLine="394" w:firstLineChars="196"/>
        <w:rPr>
          <w:b/>
          <w:bCs/>
          <w:color w:val="000000"/>
          <w:sz w:val="20"/>
          <w:szCs w:val="20"/>
          <w:highlight w:val="none"/>
        </w:rPr>
      </w:pPr>
      <w:r>
        <w:rPr>
          <w:rFonts w:hint="eastAsia"/>
          <w:b/>
          <w:bCs/>
          <w:color w:val="000000"/>
          <w:sz w:val="20"/>
          <w:szCs w:val="20"/>
          <w:highlight w:val="none"/>
        </w:rPr>
        <w:t>课程网站网址：</w:t>
      </w:r>
      <w:r>
        <w:rPr>
          <w:b/>
          <w:bCs/>
          <w:color w:val="000000"/>
          <w:sz w:val="20"/>
          <w:szCs w:val="20"/>
          <w:highlight w:val="none"/>
        </w:rPr>
        <w:t xml:space="preserve"> </w:t>
      </w:r>
    </w:p>
    <w:p>
      <w:pPr>
        <w:snapToGrid w:val="0"/>
        <w:spacing w:line="288" w:lineRule="auto"/>
        <w:ind w:left="412" w:leftChars="196"/>
        <w:rPr>
          <w:rFonts w:hint="eastAsia"/>
          <w:highlight w:val="none"/>
        </w:rPr>
      </w:pPr>
      <w:r>
        <w:rPr>
          <w:rFonts w:hint="eastAsia"/>
          <w:highlight w:val="none"/>
        </w:rPr>
        <w:fldChar w:fldCharType="begin"/>
      </w:r>
      <w:r>
        <w:rPr>
          <w:rFonts w:hint="eastAsia"/>
          <w:highlight w:val="none"/>
        </w:rPr>
        <w:instrText xml:space="preserve"> HYPERLINK "https://mp.weixin.qq.com/s?__biz=MzI0MzY5MjAwMQ==&amp;mid=2247517739&amp;idx=4&amp;sn=c5625419a25ff0c6f534950d1efe84bc&amp;chksm=e96bfea5de1c77b33496b7c2f3908ae21ff5c55fe3995c377cc829e8cf2860e690a3ee932575&amp;scene=27" </w:instrText>
      </w:r>
      <w:r>
        <w:rPr>
          <w:rFonts w:hint="eastAsia"/>
          <w:highlight w:val="none"/>
        </w:rPr>
        <w:fldChar w:fldCharType="separate"/>
      </w:r>
      <w:r>
        <w:rPr>
          <w:rStyle w:val="9"/>
          <w:rFonts w:hint="eastAsia"/>
          <w:highlight w:val="none"/>
        </w:rPr>
        <w:t>https://mp.weixin.qq.com/s?__biz=MzI0MzY5MjAwMQ==&amp;mid=2247517739&amp;idx=4&amp;sn=c5625419a25ff0c6f534950d1efe84bc&amp;chksm=e96bfea5de1c77b33496b7c2f3908ae21ff5c55fe3995c377cc829e8cf2860e690a3ee932575&amp;scene=27</w:t>
      </w:r>
      <w:r>
        <w:rPr>
          <w:rFonts w:hint="eastAsia"/>
          <w:highlight w:val="none"/>
        </w:rPr>
        <w:fldChar w:fldCharType="end"/>
      </w:r>
    </w:p>
    <w:p>
      <w:pPr>
        <w:spacing w:line="288" w:lineRule="auto"/>
        <w:ind w:firstLine="420" w:firstLineChars="0"/>
        <w:jc w:val="both"/>
        <w:rPr>
          <w:rFonts w:hint="default" w:ascii="Times New Roman" w:hAnsi="Times New Roman"/>
          <w:kern w:val="1"/>
          <w:sz w:val="20"/>
          <w:szCs w:val="20"/>
          <w:highlight w:val="none"/>
          <w:lang w:val="en-US" w:eastAsia="zh-CN"/>
        </w:rPr>
      </w:pPr>
      <w:r>
        <w:rPr>
          <w:b/>
          <w:bCs/>
          <w:color w:val="000000"/>
          <w:sz w:val="20"/>
          <w:szCs w:val="20"/>
          <w:highlight w:val="none"/>
        </w:rPr>
        <w:t>先修课程：</w:t>
      </w:r>
      <w:r>
        <w:rPr>
          <w:sz w:val="20"/>
          <w:szCs w:val="20"/>
        </w:rPr>
        <w:t>【</w:t>
      </w:r>
      <w:r>
        <w:rPr>
          <w:rFonts w:ascii="Times New Roman" w:hAnsi="Times New Roman"/>
          <w:kern w:val="1"/>
          <w:sz w:val="20"/>
          <w:szCs w:val="20"/>
          <w:highlight w:val="none"/>
        </w:rPr>
        <mc:AlternateContent>
          <mc:Choice Requires="wps">
            <w:drawing>
              <wp:anchor distT="0" distB="0" distL="114300" distR="114300" simplePos="0" relativeHeight="251659264" behindDoc="0" locked="0" layoutInCell="1" allowOverlap="1">
                <wp:simplePos x="0" y="0"/>
                <wp:positionH relativeFrom="page">
                  <wp:posOffset>683260</wp:posOffset>
                </wp:positionH>
                <wp:positionV relativeFrom="page">
                  <wp:posOffset>502285</wp:posOffset>
                </wp:positionV>
                <wp:extent cx="2635250" cy="2806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wps:txbx>
                      <wps:bodyPr upright="1"/>
                    </wps:wsp>
                  </a:graphicData>
                </a:graphic>
              </wp:anchor>
            </w:drawing>
          </mc:Choice>
          <mc:Fallback>
            <w:pict>
              <v:shape id="文本框 1" o:spid="_x0000_s1026" o:spt="202" type="#_x0000_t202" style="position:absolute;left:0pt;margin-left:53.8pt;margin-top:39.55pt;height:22.1pt;width:207.5pt;mso-position-horizontal-relative:page;mso-position-vertical-relative:page;z-index:251659264;mso-width-relative:page;mso-height-relative:page;" fillcolor="#FFFFFF" filled="t" stroked="f" coordsize="21600,21600" o:gfxdata="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fnPQdQAAAAKAQAADwAAAAAAAAABACAAAAAiAAAAZHJzL2Rvd25y&#10;ZXYueG1sUEsBAhQAFAAAAAgAh07iQL0Rmx7JAQAAgAMAAA4AAAAAAAAAAQAgAAAAIwEAAGRycy9l&#10;Mm9Eb2MueG1sUEsFBgAAAAAGAAYAWQEAAF4FAAAAAA==&#10;">
                <v:fill on="t" focussize="0,0"/>
                <v:stroke on="f" weight="0.5pt"/>
                <v:imagedata o:title=""/>
                <o:lock v:ext="edit" aspectratio="f"/>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mc:Fallback>
        </mc:AlternateContent>
      </w:r>
      <w:r>
        <w:rPr>
          <w:rFonts w:hint="eastAsia" w:ascii="Times New Roman" w:hAnsi="Times New Roman"/>
          <w:kern w:val="1"/>
          <w:sz w:val="20"/>
          <w:szCs w:val="20"/>
          <w:highlight w:val="none"/>
          <w:lang w:val="en-US" w:eastAsia="zh-CN"/>
        </w:rPr>
        <w:t>大学英语听说1</w:t>
      </w:r>
      <w:r>
        <w:rPr>
          <w:sz w:val="20"/>
          <w:szCs w:val="20"/>
        </w:rPr>
        <w:t>】</w:t>
      </w:r>
    </w:p>
    <w:p>
      <w:pPr>
        <w:spacing w:line="288" w:lineRule="auto"/>
        <w:jc w:val="center"/>
        <w:rPr>
          <w:b/>
          <w:bCs/>
          <w:color w:val="000000"/>
          <w:sz w:val="20"/>
          <w:szCs w:val="20"/>
          <w:highlight w:val="none"/>
        </w:rPr>
      </w:pPr>
    </w:p>
    <w:p>
      <w:pPr>
        <w:adjustRightInd w:val="0"/>
        <w:snapToGrid w:val="0"/>
        <w:spacing w:before="156" w:beforeLines="50" w:after="156" w:afterLines="50" w:line="288" w:lineRule="auto"/>
        <w:ind w:firstLine="348" w:firstLineChars="145"/>
        <w:rPr>
          <w:b/>
          <w:color w:val="000000"/>
          <w:sz w:val="24"/>
          <w:szCs w:val="20"/>
          <w:highlight w:val="none"/>
        </w:rPr>
      </w:pPr>
      <w:r>
        <w:rPr>
          <w:rFonts w:ascii="黑体" w:hAnsi="宋体" w:eastAsia="黑体"/>
          <w:sz w:val="24"/>
          <w:highlight w:val="none"/>
        </w:rPr>
        <w:t>二</w:t>
      </w:r>
      <w:r>
        <w:rPr>
          <w:rFonts w:hint="eastAsia" w:ascii="黑体" w:hAnsi="宋体" w:eastAsia="黑体"/>
          <w:sz w:val="24"/>
          <w:highlight w:val="none"/>
        </w:rPr>
        <w:t>、</w:t>
      </w:r>
      <w:r>
        <w:rPr>
          <w:rFonts w:ascii="黑体" w:hAnsi="宋体" w:eastAsia="黑体"/>
          <w:sz w:val="24"/>
          <w:highlight w:val="none"/>
        </w:rPr>
        <w:t>课程简介</w:t>
      </w:r>
    </w:p>
    <w:p>
      <w:pPr>
        <w:spacing w:line="288" w:lineRule="auto"/>
        <w:ind w:firstLine="420" w:firstLineChars="0"/>
        <w:jc w:val="both"/>
        <w:rPr>
          <w:color w:val="000000"/>
          <w:sz w:val="20"/>
          <w:szCs w:val="20"/>
          <w:highlight w:val="none"/>
        </w:rPr>
      </w:pPr>
      <w:r>
        <w:rPr>
          <w:rFonts w:hint="eastAsia" w:ascii="Times New Roman" w:hAnsi="Times New Roman"/>
          <w:kern w:val="1"/>
          <w:sz w:val="20"/>
          <w:szCs w:val="20"/>
          <w:highlight w:val="none"/>
          <w:lang w:val="en-US" w:eastAsia="zh-CN"/>
        </w:rPr>
        <w:t>大学英语听说3</w:t>
      </w:r>
      <w:r>
        <w:rPr>
          <w:rFonts w:hint="eastAsia"/>
          <w:color w:val="000000"/>
          <w:sz w:val="20"/>
          <w:szCs w:val="20"/>
          <w:highlight w:val="none"/>
        </w:rPr>
        <w:t>是</w:t>
      </w:r>
      <w:r>
        <w:rPr>
          <w:rFonts w:hint="eastAsia"/>
          <w:color w:val="000000"/>
          <w:sz w:val="20"/>
          <w:szCs w:val="20"/>
          <w:highlight w:val="none"/>
          <w:lang w:val="en-US" w:eastAsia="zh-CN"/>
        </w:rPr>
        <w:t>国际教育学院机械制造班学生</w:t>
      </w:r>
      <w:r>
        <w:rPr>
          <w:rFonts w:hint="eastAsia"/>
          <w:color w:val="000000"/>
          <w:sz w:val="20"/>
          <w:szCs w:val="20"/>
          <w:highlight w:val="none"/>
        </w:rPr>
        <w:t>基础阶段的</w:t>
      </w:r>
      <w:r>
        <w:rPr>
          <w:rFonts w:hint="eastAsia"/>
          <w:color w:val="000000"/>
          <w:sz w:val="20"/>
          <w:szCs w:val="20"/>
          <w:highlight w:val="none"/>
          <w:lang w:val="en-US" w:eastAsia="zh-CN"/>
        </w:rPr>
        <w:t>大二通识基础教育必</w:t>
      </w:r>
      <w:r>
        <w:rPr>
          <w:rFonts w:hint="eastAsia"/>
          <w:color w:val="000000"/>
          <w:sz w:val="20"/>
          <w:szCs w:val="20"/>
          <w:highlight w:val="none"/>
        </w:rPr>
        <w:t>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pPr>
        <w:snapToGrid w:val="0"/>
        <w:spacing w:line="288" w:lineRule="auto"/>
        <w:ind w:firstLine="400" w:firstLineChars="200"/>
        <w:rPr>
          <w:color w:val="000000"/>
          <w:sz w:val="20"/>
          <w:szCs w:val="20"/>
          <w:highlight w:val="none"/>
        </w:rPr>
      </w:pPr>
      <w:r>
        <w:rPr>
          <w:rFonts w:hint="eastAsia"/>
          <w:color w:val="000000"/>
          <w:sz w:val="20"/>
          <w:szCs w:val="20"/>
          <w:highlight w:val="none"/>
        </w:rPr>
        <w:t>听力能力是</w:t>
      </w:r>
      <w:r>
        <w:rPr>
          <w:rFonts w:hint="eastAsia"/>
          <w:color w:val="000000"/>
          <w:sz w:val="20"/>
          <w:szCs w:val="20"/>
          <w:highlight w:val="none"/>
          <w:lang w:val="en-US" w:eastAsia="zh-CN"/>
        </w:rPr>
        <w:t>有出国机会的大</w:t>
      </w:r>
      <w:r>
        <w:rPr>
          <w:rFonts w:hint="eastAsia"/>
          <w:color w:val="000000"/>
          <w:sz w:val="20"/>
          <w:szCs w:val="20"/>
          <w:highlight w:val="none"/>
        </w:rPr>
        <w:t>学生必须具备的语言基本技能之一。听是学生学习、获取知识的重要途径，是语言交际活动的一个重要方面。听力能力的提高对于口语的表达，词汇及句型等的运用也具有极大的促进作用。</w:t>
      </w:r>
    </w:p>
    <w:p>
      <w:pPr>
        <w:snapToGrid w:val="0"/>
        <w:spacing w:line="288" w:lineRule="auto"/>
        <w:ind w:firstLine="400" w:firstLineChars="200"/>
        <w:rPr>
          <w:color w:val="000000"/>
          <w:sz w:val="20"/>
          <w:szCs w:val="20"/>
          <w:highlight w:val="none"/>
        </w:rPr>
      </w:pPr>
      <w:r>
        <w:rPr>
          <w:rFonts w:hint="eastAsia"/>
          <w:color w:val="000000"/>
          <w:sz w:val="20"/>
          <w:szCs w:val="20"/>
          <w:highlight w:val="none"/>
        </w:rPr>
        <w:t>本课程的主要内容是训练学生的听力技能，使学生在实际语言环境中应用听力技巧，提高交际综合能力。本课程以</w:t>
      </w:r>
      <w:r>
        <w:rPr>
          <w:rFonts w:ascii="Times New Roman" w:hAnsi="Times New Roman"/>
          <w:kern w:val="1"/>
          <w:sz w:val="20"/>
          <w:szCs w:val="20"/>
          <w:highlight w:val="none"/>
        </w:rPr>
        <w:t>《</w:t>
      </w:r>
      <w:r>
        <w:rPr>
          <w:rFonts w:hint="eastAsia" w:ascii="Times New Roman" w:hAnsi="Times New Roman"/>
          <w:kern w:val="1"/>
          <w:sz w:val="20"/>
          <w:szCs w:val="20"/>
          <w:highlight w:val="none"/>
          <w:lang w:val="en-US" w:eastAsia="zh-CN"/>
        </w:rPr>
        <w:t>大学英语</w:t>
      </w:r>
      <w:r>
        <w:rPr>
          <w:rFonts w:ascii="Times New Roman" w:hAnsi="Times New Roman"/>
          <w:kern w:val="1"/>
          <w:sz w:val="20"/>
          <w:szCs w:val="20"/>
          <w:highlight w:val="none"/>
        </w:rPr>
        <w:t>听</w:t>
      </w:r>
      <w:r>
        <w:rPr>
          <w:rFonts w:hint="eastAsia" w:ascii="Times New Roman" w:hAnsi="Times New Roman"/>
          <w:kern w:val="1"/>
          <w:sz w:val="20"/>
          <w:szCs w:val="20"/>
          <w:highlight w:val="none"/>
          <w:lang w:val="en-US" w:eastAsia="zh-CN"/>
        </w:rPr>
        <w:t>说</w:t>
      </w:r>
      <w:r>
        <w:rPr>
          <w:rFonts w:ascii="Times New Roman" w:hAnsi="Times New Roman"/>
          <w:kern w:val="1"/>
          <w:sz w:val="20"/>
          <w:szCs w:val="20"/>
          <w:highlight w:val="none"/>
        </w:rPr>
        <w:t>教</w:t>
      </w:r>
      <w:r>
        <w:rPr>
          <w:rFonts w:hint="eastAsia" w:ascii="Times New Roman" w:hAnsi="Times New Roman"/>
          <w:kern w:val="1"/>
          <w:sz w:val="20"/>
          <w:szCs w:val="20"/>
          <w:highlight w:val="none"/>
          <w:lang w:val="en-US" w:eastAsia="zh-CN"/>
        </w:rPr>
        <w:t>程3</w:t>
      </w:r>
      <w:r>
        <w:rPr>
          <w:rFonts w:ascii="Times New Roman" w:hAnsi="Times New Roman"/>
          <w:kern w:val="1"/>
          <w:sz w:val="20"/>
          <w:szCs w:val="20"/>
          <w:highlight w:val="none"/>
        </w:rPr>
        <w:t>》</w:t>
      </w:r>
      <w:r>
        <w:rPr>
          <w:rFonts w:hint="eastAsia"/>
          <w:color w:val="000000"/>
          <w:sz w:val="20"/>
          <w:szCs w:val="20"/>
          <w:highlight w:val="none"/>
        </w:rPr>
        <w:t>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highlight w:val="none"/>
        </w:rPr>
        <w:t>APP</w:t>
      </w:r>
      <w:r>
        <w:rPr>
          <w:rFonts w:hint="eastAsia"/>
          <w:color w:val="000000"/>
          <w:sz w:val="20"/>
          <w:szCs w:val="20"/>
          <w:highlight w:val="none"/>
        </w:rPr>
        <w:t>应用程序随时随地练习听力，关注历届</w:t>
      </w:r>
      <w:r>
        <w:rPr>
          <w:rFonts w:hint="eastAsia"/>
          <w:color w:val="000000"/>
          <w:sz w:val="20"/>
          <w:szCs w:val="20"/>
          <w:highlight w:val="none"/>
          <w:lang w:val="en-US" w:eastAsia="zh-CN"/>
        </w:rPr>
        <w:t>大学英语国</w:t>
      </w:r>
      <w:r>
        <w:rPr>
          <w:rFonts w:hint="eastAsia"/>
          <w:color w:val="000000"/>
          <w:sz w:val="20"/>
          <w:szCs w:val="20"/>
          <w:highlight w:val="none"/>
        </w:rPr>
        <w:t>统考中的听力理解部分，以提高</w:t>
      </w:r>
      <w:r>
        <w:rPr>
          <w:rFonts w:hint="eastAsia"/>
          <w:color w:val="000000"/>
          <w:sz w:val="20"/>
          <w:szCs w:val="20"/>
          <w:highlight w:val="none"/>
          <w:lang w:val="en-US" w:eastAsia="zh-CN"/>
        </w:rPr>
        <w:t>大学英语</w:t>
      </w:r>
      <w:r>
        <w:rPr>
          <w:rFonts w:hint="eastAsia"/>
          <w:color w:val="000000"/>
          <w:sz w:val="20"/>
          <w:szCs w:val="20"/>
          <w:highlight w:val="none"/>
        </w:rPr>
        <w:t>四级考试的听力成绩。</w:t>
      </w:r>
    </w:p>
    <w:p>
      <w:pPr>
        <w:snapToGrid w:val="0"/>
        <w:spacing w:line="288" w:lineRule="auto"/>
        <w:ind w:firstLine="400" w:firstLineChars="200"/>
        <w:rPr>
          <w:color w:val="000000"/>
          <w:sz w:val="20"/>
          <w:szCs w:val="20"/>
          <w:highlight w:val="none"/>
        </w:rPr>
      </w:pPr>
      <w:r>
        <w:rPr>
          <w:rFonts w:hint="eastAsia"/>
          <w:color w:val="000000"/>
          <w:sz w:val="20"/>
          <w:szCs w:val="20"/>
          <w:highlight w:val="none"/>
        </w:rPr>
        <w:t>在口头表达能力方面，要求学生达到：（</w:t>
      </w:r>
      <w:r>
        <w:rPr>
          <w:color w:val="000000"/>
          <w:sz w:val="20"/>
          <w:szCs w:val="20"/>
          <w:highlight w:val="none"/>
        </w:rPr>
        <w:t>a</w:t>
      </w:r>
      <w:r>
        <w:rPr>
          <w:rFonts w:hint="eastAsia"/>
          <w:color w:val="000000"/>
          <w:sz w:val="20"/>
          <w:szCs w:val="20"/>
          <w:highlight w:val="none"/>
        </w:rPr>
        <w:t>）能利用已掌握的英语比较清楚地表达自己的思想，能运用交际策略绕过难点达到交际目的；（</w:t>
      </w:r>
      <w:r>
        <w:rPr>
          <w:color w:val="000000"/>
          <w:sz w:val="20"/>
          <w:szCs w:val="20"/>
          <w:highlight w:val="none"/>
        </w:rPr>
        <w:t>b</w:t>
      </w:r>
      <w:r>
        <w:rPr>
          <w:rFonts w:hint="eastAsia"/>
          <w:color w:val="000000"/>
          <w:sz w:val="20"/>
          <w:szCs w:val="20"/>
          <w:highlight w:val="none"/>
        </w:rPr>
        <w:t>）能准确掌握诸如询问、请求、建议等交际功能。在不同的场合，对不同的人用恰当、得体的语言形式去体现不同的交际功能；（</w:t>
      </w:r>
      <w:r>
        <w:rPr>
          <w:color w:val="000000"/>
          <w:sz w:val="20"/>
          <w:szCs w:val="20"/>
          <w:highlight w:val="none"/>
        </w:rPr>
        <w:t>c</w:t>
      </w:r>
      <w:r>
        <w:rPr>
          <w:rFonts w:hint="eastAsia"/>
          <w:color w:val="000000"/>
          <w:sz w:val="20"/>
          <w:szCs w:val="20"/>
          <w:highlight w:val="none"/>
        </w:rPr>
        <w:t>）树立主动开口讲英语的信心，培养讲英语的热情和兴趣；（</w:t>
      </w:r>
      <w:r>
        <w:rPr>
          <w:color w:val="000000"/>
          <w:sz w:val="20"/>
          <w:szCs w:val="20"/>
          <w:highlight w:val="none"/>
        </w:rPr>
        <w:t>d</w:t>
      </w:r>
      <w:r>
        <w:rPr>
          <w:rFonts w:hint="eastAsia"/>
          <w:color w:val="000000"/>
          <w:sz w:val="20"/>
          <w:szCs w:val="20"/>
          <w:highlight w:val="none"/>
        </w:rPr>
        <w:t>）逐步达到在英语口头表达方面准确与流利的结合。</w:t>
      </w:r>
    </w:p>
    <w:p>
      <w:pPr>
        <w:widowControl/>
        <w:spacing w:before="156" w:beforeLines="50" w:after="156" w:afterLines="50" w:line="288" w:lineRule="auto"/>
        <w:ind w:firstLine="360" w:firstLineChars="150"/>
        <w:jc w:val="left"/>
        <w:rPr>
          <w:rFonts w:ascii="黑体" w:hAnsi="宋体" w:eastAsia="黑体"/>
          <w:sz w:val="24"/>
          <w:highlight w:val="none"/>
        </w:rPr>
      </w:pPr>
      <w:r>
        <w:rPr>
          <w:rFonts w:ascii="黑体" w:hAnsi="宋体" w:eastAsia="黑体"/>
          <w:sz w:val="24"/>
          <w:highlight w:val="none"/>
        </w:rPr>
        <w:t>三</w:t>
      </w:r>
      <w:r>
        <w:rPr>
          <w:rFonts w:hint="eastAsia" w:ascii="黑体" w:hAnsi="宋体" w:eastAsia="黑体"/>
          <w:sz w:val="24"/>
          <w:highlight w:val="none"/>
        </w:rPr>
        <w:t>、</w:t>
      </w:r>
      <w:r>
        <w:rPr>
          <w:rFonts w:ascii="黑体" w:hAnsi="宋体" w:eastAsia="黑体"/>
          <w:sz w:val="24"/>
          <w:highlight w:val="none"/>
        </w:rPr>
        <w:t>选课建议</w:t>
      </w:r>
    </w:p>
    <w:p>
      <w:pPr>
        <w:snapToGrid w:val="0"/>
        <w:spacing w:line="300" w:lineRule="auto"/>
        <w:ind w:firstLine="400" w:firstLineChars="200"/>
        <w:rPr>
          <w:color w:val="000000"/>
          <w:szCs w:val="21"/>
          <w:highlight w:val="none"/>
        </w:rPr>
      </w:pPr>
      <w:r>
        <w:rPr>
          <w:color w:val="000000"/>
          <w:sz w:val="20"/>
          <w:szCs w:val="20"/>
          <w:highlight w:val="none"/>
        </w:rPr>
        <w:t>本课程为</w:t>
      </w:r>
      <w:r>
        <w:rPr>
          <w:rFonts w:hint="eastAsia"/>
          <w:color w:val="000000"/>
          <w:sz w:val="20"/>
          <w:szCs w:val="20"/>
          <w:highlight w:val="none"/>
          <w:lang w:val="en-US" w:eastAsia="zh-CN"/>
        </w:rPr>
        <w:t>通识基础教育</w:t>
      </w:r>
      <w:r>
        <w:rPr>
          <w:rFonts w:hint="eastAsia"/>
          <w:color w:val="000000"/>
          <w:sz w:val="20"/>
          <w:szCs w:val="20"/>
          <w:highlight w:val="none"/>
        </w:rPr>
        <w:t>课</w:t>
      </w:r>
      <w:r>
        <w:rPr>
          <w:rFonts w:hint="eastAsia"/>
          <w:color w:val="000000"/>
          <w:sz w:val="20"/>
          <w:szCs w:val="20"/>
          <w:highlight w:val="none"/>
          <w:lang w:val="en-US" w:eastAsia="zh-CN"/>
        </w:rPr>
        <w:t>程</w:t>
      </w:r>
      <w:r>
        <w:rPr>
          <w:color w:val="000000"/>
          <w:sz w:val="20"/>
          <w:szCs w:val="20"/>
          <w:highlight w:val="none"/>
        </w:rPr>
        <w:t>，适合对</w:t>
      </w:r>
      <w:r>
        <w:rPr>
          <w:rFonts w:hint="eastAsia"/>
          <w:color w:val="000000"/>
          <w:sz w:val="20"/>
          <w:szCs w:val="20"/>
          <w:highlight w:val="none"/>
          <w:lang w:val="en-US" w:eastAsia="zh-CN"/>
        </w:rPr>
        <w:t>大二</w:t>
      </w:r>
      <w:r>
        <w:rPr>
          <w:color w:val="000000"/>
          <w:sz w:val="20"/>
          <w:szCs w:val="20"/>
          <w:highlight w:val="none"/>
        </w:rPr>
        <w:t>年级上学期的学生开设；为</w:t>
      </w:r>
      <w:r>
        <w:rPr>
          <w:rFonts w:hint="eastAsia"/>
          <w:color w:val="000000"/>
          <w:sz w:val="20"/>
          <w:szCs w:val="20"/>
          <w:highlight w:val="none"/>
          <w:lang w:val="en-US" w:eastAsia="zh-CN"/>
        </w:rPr>
        <w:t>机制专业</w:t>
      </w:r>
      <w:r>
        <w:rPr>
          <w:color w:val="000000"/>
          <w:sz w:val="20"/>
          <w:szCs w:val="20"/>
          <w:highlight w:val="none"/>
        </w:rPr>
        <w:t>学生进入高年级的深入学习做好听说方面的准备。学生们应该注意基础词汇和听力技巧的积累和训练，以保证能适应高年级听说课程以及</w:t>
      </w:r>
      <w:r>
        <w:rPr>
          <w:rFonts w:hint="eastAsia"/>
          <w:color w:val="000000"/>
          <w:sz w:val="20"/>
          <w:szCs w:val="20"/>
          <w:highlight w:val="none"/>
          <w:lang w:val="en-US" w:eastAsia="zh-CN"/>
        </w:rPr>
        <w:t>专业英语相关</w:t>
      </w:r>
      <w:r>
        <w:rPr>
          <w:color w:val="000000"/>
          <w:sz w:val="20"/>
          <w:szCs w:val="20"/>
          <w:highlight w:val="none"/>
        </w:rPr>
        <w:t>课程的学习。</w:t>
      </w:r>
    </w:p>
    <w:p>
      <w:pPr>
        <w:widowControl/>
        <w:spacing w:before="156" w:beforeLines="50" w:after="156" w:afterLines="50" w:line="288" w:lineRule="auto"/>
        <w:ind w:firstLine="360" w:firstLineChars="150"/>
        <w:jc w:val="left"/>
        <w:rPr>
          <w:rFonts w:ascii="黑体" w:hAnsi="宋体" w:eastAsia="黑体"/>
          <w:sz w:val="24"/>
          <w:highlight w:val="none"/>
        </w:rPr>
      </w:pPr>
      <w:r>
        <w:rPr>
          <w:rFonts w:ascii="黑体" w:hAnsi="宋体" w:eastAsia="黑体"/>
          <w:sz w:val="24"/>
          <w:highlight w:val="none"/>
        </w:rPr>
        <w:t>四</w:t>
      </w:r>
      <w:r>
        <w:rPr>
          <w:rFonts w:hint="eastAsia" w:ascii="黑体" w:hAnsi="宋体" w:eastAsia="黑体"/>
          <w:sz w:val="24"/>
          <w:highlight w:val="none"/>
        </w:rPr>
        <w:t>、</w:t>
      </w:r>
      <w:r>
        <w:rPr>
          <w:rFonts w:ascii="黑体" w:hAnsi="宋体" w:eastAsia="黑体"/>
          <w:sz w:val="24"/>
          <w:highlight w:val="none"/>
        </w:rPr>
        <w:t>课程与</w:t>
      </w:r>
      <w:r>
        <w:rPr>
          <w:rFonts w:hint="eastAsia" w:ascii="黑体" w:hAnsi="宋体" w:eastAsia="黑体"/>
          <w:sz w:val="24"/>
          <w:highlight w:val="none"/>
        </w:rPr>
        <w:t>专业毕业要求</w:t>
      </w:r>
      <w:r>
        <w:rPr>
          <w:rFonts w:ascii="黑体" w:hAnsi="宋体" w:eastAsia="黑体"/>
          <w:sz w:val="24"/>
          <w:highlight w:val="none"/>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highlight w:val="none"/>
              </w:rPr>
            </w:pPr>
            <w:r>
              <w:rPr>
                <w:rFonts w:hint="eastAsia" w:ascii="黑体" w:hAnsi="黑体" w:eastAsia="黑体" w:cs="黑体"/>
                <w:kern w:val="0"/>
                <w:sz w:val="20"/>
                <w:szCs w:val="20"/>
                <w:highlight w:val="none"/>
              </w:rPr>
              <w:t>专业毕业要求</w:t>
            </w:r>
          </w:p>
        </w:tc>
        <w:tc>
          <w:tcPr>
            <w:tcW w:w="727" w:type="dxa"/>
          </w:tcPr>
          <w:p>
            <w:pPr>
              <w:jc w:val="center"/>
              <w:rPr>
                <w:rFonts w:ascii="黑体" w:hAnsi="黑体" w:eastAsia="黑体" w:cs="黑体"/>
                <w:kern w:val="0"/>
                <w:sz w:val="20"/>
                <w:szCs w:val="20"/>
                <w:highlight w:val="none"/>
              </w:rPr>
            </w:pPr>
            <w:r>
              <w:rPr>
                <w:rFonts w:hint="eastAsia" w:ascii="黑体" w:hAnsi="黑体" w:eastAsia="黑体" w:cs="黑体"/>
                <w:kern w:val="0"/>
                <w:sz w:val="20"/>
                <w:szCs w:val="20"/>
                <w:highlight w:val="none"/>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LO11：理解他人的观点，尊重他人的价值观，能在不同场合用书面或口头形式进行有效沟通。</w:t>
            </w:r>
          </w:p>
        </w:tc>
        <w:tc>
          <w:tcPr>
            <w:tcW w:w="727" w:type="dxa"/>
            <w:vAlign w:val="center"/>
          </w:tcPr>
          <w:p>
            <w:pPr>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LO31: 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LO32: 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LO33：了解中西文化差异和跨文化的理论知识，具备较强的跨文化沟通能力。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Cs w:val="21"/>
                <w:highlight w:val="none"/>
              </w:rPr>
            </w:pPr>
            <w:r>
              <w:rPr>
                <w:rFonts w:asciiTheme="minorHAnsi" w:hAnsiTheme="minorHAnsi" w:eastAsiaTheme="minorEastAsia"/>
                <w:szCs w:val="21"/>
                <w:highlight w:val="none"/>
              </w:rPr>
              <w:t>LO34</w:t>
            </w:r>
            <w:r>
              <w:rPr>
                <w:rFonts w:asciiTheme="minorHAnsi" w:hAnsiTheme="minorEastAsia" w:eastAsiaTheme="minorEastAsia"/>
                <w:szCs w:val="21"/>
                <w:highlight w:val="none"/>
              </w:rPr>
              <w:t>：</w:t>
            </w:r>
            <w:r>
              <w:rPr>
                <w:rFonts w:hint="eastAsia" w:cs="宋体" w:asciiTheme="minorEastAsia" w:hAnsiTheme="minorEastAsia" w:eastAsiaTheme="minorEastAsia"/>
                <w:color w:val="000000"/>
                <w:kern w:val="0"/>
                <w:szCs w:val="21"/>
                <w:highlight w:val="none"/>
              </w:rPr>
              <w:t>熟悉教育教学法规,具备基本的教师素养。</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highlight w:val="none"/>
              </w:rPr>
            </w:pPr>
            <w:r>
              <w:rPr>
                <w:rFonts w:cs="宋体" w:asciiTheme="minorHAnsi" w:hAnsiTheme="minorHAnsi" w:eastAsiaTheme="minorEastAsia"/>
                <w:color w:val="000000"/>
                <w:kern w:val="0"/>
                <w:szCs w:val="21"/>
                <w:highlight w:val="none"/>
              </w:rPr>
              <w:t>LO35</w:t>
            </w:r>
            <w:r>
              <w:rPr>
                <w:rFonts w:cs="宋体" w:asciiTheme="minorHAnsi" w:hAnsiTheme="minorEastAsia" w:eastAsiaTheme="minorEastAsia"/>
                <w:color w:val="000000"/>
                <w:kern w:val="0"/>
                <w:szCs w:val="21"/>
                <w:highlight w:val="none"/>
              </w:rPr>
              <w:t>：</w:t>
            </w:r>
            <w:r>
              <w:rPr>
                <w:rFonts w:hint="eastAsia" w:cs="宋体" w:asciiTheme="minorEastAsia" w:hAnsiTheme="minorEastAsia" w:eastAsiaTheme="minorEastAsia"/>
                <w:color w:val="000000"/>
                <w:kern w:val="0"/>
                <w:szCs w:val="21"/>
                <w:highlight w:val="none"/>
              </w:rPr>
              <w:t>掌握中小学英语教育基础知识和教学理论，具备开展英语教学的能力。</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highlight w:val="none"/>
              </w:rPr>
            </w:pPr>
            <w:r>
              <w:rPr>
                <w:rFonts w:cs="宋体" w:asciiTheme="minorHAnsi" w:hAnsiTheme="minorHAnsi" w:eastAsiaTheme="minorEastAsia"/>
                <w:color w:val="000000"/>
                <w:kern w:val="0"/>
                <w:szCs w:val="21"/>
                <w:highlight w:val="none"/>
              </w:rPr>
              <w:t xml:space="preserve">LO36: </w:t>
            </w:r>
            <w:r>
              <w:rPr>
                <w:rFonts w:hint="eastAsia" w:cs="宋体" w:asciiTheme="minorEastAsia" w:hAnsiTheme="minorEastAsia" w:eastAsiaTheme="minorEastAsia"/>
                <w:color w:val="000000"/>
                <w:kern w:val="0"/>
                <w:szCs w:val="21"/>
                <w:highlight w:val="none"/>
              </w:rPr>
              <w:t>掌握现代教育技术和文献检索、资料查询的方法，具备初步的教学科研能力。</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LO41：遵守纪律、守信守责；具有耐挫折、抗压力的能力。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LO51：同群体保持良好的合作关系，做集体中的积极成员；善于从多个维度思考问题，利用自己的知识与实践来提出新设想。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LO61：具备一定的信息素养，并能在工作中应用信息技术解决问题。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highlight w:val="none"/>
              </w:rPr>
            </w:pPr>
            <w:r>
              <w:rPr>
                <w:rFonts w:hint="eastAsia"/>
                <w:highlight w:val="none"/>
              </w:rPr>
              <w:t>LO71：愿意服务他人、服务企业、服务社会；为人热忱，富于爱心，懂得感恩（“感恩、回报、爱心”为我校校训内容之一）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pPr>
              <w:rPr>
                <w:highlight w:val="none"/>
              </w:rPr>
            </w:pPr>
            <w:r>
              <w:rPr>
                <w:rFonts w:hint="eastAsia"/>
                <w:highlight w:val="none"/>
              </w:rPr>
              <w:t>LO81：具有初步的第二外语表达沟通能力,有国际竞争与合作意识。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highlight w:val="none"/>
              </w:rPr>
            </w:pPr>
          </w:p>
        </w:tc>
      </w:tr>
    </w:tbl>
    <w:p>
      <w:pPr>
        <w:ind w:firstLine="420" w:firstLineChars="200"/>
        <w:rPr>
          <w:highlight w:val="none"/>
        </w:rPr>
      </w:pPr>
      <w:r>
        <w:rPr>
          <w:rFonts w:hint="eastAsia"/>
          <w:highlight w:val="none"/>
        </w:rPr>
        <w:t>备注：LO=</w:t>
      </w:r>
      <w:r>
        <w:rPr>
          <w:highlight w:val="none"/>
        </w:rPr>
        <w:t>learning outcomes</w:t>
      </w:r>
      <w:r>
        <w:rPr>
          <w:rFonts w:hint="eastAsia"/>
          <w:highlight w:val="none"/>
        </w:rPr>
        <w:t>（学习成果）</w:t>
      </w:r>
    </w:p>
    <w:p>
      <w:pPr>
        <w:rPr>
          <w:highlight w:val="none"/>
        </w:rPr>
      </w:pPr>
    </w:p>
    <w:p>
      <w:pPr>
        <w:widowControl/>
        <w:spacing w:before="156" w:beforeLines="50" w:after="156"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3402"/>
        <w:gridCol w:w="13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33" w:type="dxa"/>
            <w:shd w:val="clear" w:color="auto" w:fill="auto"/>
          </w:tcPr>
          <w:p>
            <w:pPr>
              <w:snapToGrid w:val="0"/>
              <w:spacing w:line="288" w:lineRule="auto"/>
              <w:jc w:val="center"/>
              <w:rPr>
                <w:b/>
                <w:color w:val="000000" w:themeColor="text1"/>
                <w:sz w:val="20"/>
                <w:szCs w:val="20"/>
                <w:highlight w:val="none"/>
                <w14:textFill>
                  <w14:solidFill>
                    <w14:schemeClr w14:val="tx1"/>
                  </w14:solidFill>
                </w14:textFill>
              </w:rPr>
            </w:pPr>
            <w:r>
              <w:rPr>
                <w:rFonts w:hint="eastAsia"/>
                <w:b/>
                <w:color w:val="000000" w:themeColor="text1"/>
                <w:sz w:val="20"/>
                <w:szCs w:val="20"/>
                <w:highlight w:val="none"/>
                <w14:textFill>
                  <w14:solidFill>
                    <w14:schemeClr w14:val="tx1"/>
                  </w14:solidFill>
                </w14:textFill>
              </w:rPr>
              <w:t>课程预期</w:t>
            </w:r>
          </w:p>
          <w:p>
            <w:pPr>
              <w:snapToGrid w:val="0"/>
              <w:spacing w:line="288" w:lineRule="auto"/>
              <w:jc w:val="center"/>
              <w:rPr>
                <w:b/>
                <w:color w:val="000000" w:themeColor="text1"/>
                <w:sz w:val="20"/>
                <w:szCs w:val="20"/>
                <w:highlight w:val="none"/>
                <w14:textFill>
                  <w14:solidFill>
                    <w14:schemeClr w14:val="tx1"/>
                  </w14:solidFill>
                </w14:textFill>
              </w:rPr>
            </w:pPr>
            <w:r>
              <w:rPr>
                <w:rFonts w:hint="eastAsia"/>
                <w:b/>
                <w:color w:val="000000" w:themeColor="text1"/>
                <w:sz w:val="20"/>
                <w:szCs w:val="20"/>
                <w:highlight w:val="none"/>
                <w14:textFill>
                  <w14:solidFill>
                    <w14:schemeClr w14:val="tx1"/>
                  </w14:solidFill>
                </w14:textFill>
              </w:rPr>
              <w:t>学习成果</w:t>
            </w:r>
          </w:p>
        </w:tc>
        <w:tc>
          <w:tcPr>
            <w:tcW w:w="3402"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130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27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bCs/>
                <w:color w:val="000000"/>
                <w:sz w:val="20"/>
                <w:szCs w:val="20"/>
                <w:highlight w:val="none"/>
              </w:rPr>
            </w:pPr>
            <w:r>
              <w:rPr>
                <w:rFonts w:hint="eastAsia"/>
                <w:bCs/>
                <w:color w:val="000000"/>
                <w:sz w:val="20"/>
                <w:szCs w:val="20"/>
                <w:highlight w:val="none"/>
              </w:rPr>
              <w:t>1</w:t>
            </w:r>
          </w:p>
        </w:tc>
        <w:tc>
          <w:tcPr>
            <w:tcW w:w="1133" w:type="dxa"/>
            <w:shd w:val="clear" w:color="auto" w:fill="auto"/>
            <w:vAlign w:val="center"/>
          </w:tcPr>
          <w:p>
            <w:pPr>
              <w:rPr>
                <w:bCs/>
                <w:color w:val="000000"/>
                <w:sz w:val="20"/>
                <w:szCs w:val="20"/>
                <w:highlight w:val="none"/>
              </w:rPr>
            </w:pPr>
            <w:r>
              <w:rPr>
                <w:rFonts w:hint="eastAsia"/>
                <w:bCs/>
                <w:color w:val="000000"/>
                <w:sz w:val="20"/>
                <w:szCs w:val="20"/>
                <w:highlight w:val="none"/>
              </w:rPr>
              <w:t>LO211</w:t>
            </w:r>
          </w:p>
        </w:tc>
        <w:tc>
          <w:tcPr>
            <w:tcW w:w="3402" w:type="dxa"/>
            <w:shd w:val="clear" w:color="auto" w:fill="auto"/>
          </w:tcPr>
          <w:p>
            <w:pPr>
              <w:rPr>
                <w:bCs/>
                <w:color w:val="000000"/>
                <w:sz w:val="20"/>
                <w:szCs w:val="20"/>
                <w:highlight w:val="none"/>
              </w:rPr>
            </w:pPr>
            <w:r>
              <w:rPr>
                <w:bCs/>
                <w:color w:val="000000"/>
                <w:sz w:val="20"/>
                <w:szCs w:val="20"/>
                <w:highlight w:val="none"/>
              </w:rPr>
              <w:t>通过</w:t>
            </w:r>
            <w:r>
              <w:rPr>
                <w:rFonts w:hint="eastAsia"/>
                <w:bCs/>
                <w:color w:val="000000"/>
                <w:sz w:val="20"/>
                <w:szCs w:val="20"/>
                <w:highlight w:val="none"/>
              </w:rPr>
              <w:t>课前词汇预习</w:t>
            </w:r>
            <w:r>
              <w:rPr>
                <w:bCs/>
                <w:color w:val="000000"/>
                <w:sz w:val="20"/>
                <w:szCs w:val="20"/>
                <w:highlight w:val="none"/>
              </w:rPr>
              <w:t>以及听力练习，</w:t>
            </w:r>
            <w:r>
              <w:rPr>
                <w:rFonts w:hint="eastAsia"/>
                <w:bCs/>
                <w:color w:val="000000"/>
                <w:sz w:val="20"/>
                <w:szCs w:val="20"/>
                <w:highlight w:val="none"/>
              </w:rPr>
              <w:t>能</w:t>
            </w:r>
            <w:r>
              <w:rPr>
                <w:bCs/>
                <w:color w:val="000000"/>
                <w:sz w:val="20"/>
                <w:szCs w:val="20"/>
                <w:highlight w:val="none"/>
              </w:rPr>
              <w:t>听辨2500基本</w:t>
            </w:r>
            <w:r>
              <w:rPr>
                <w:rFonts w:hint="eastAsia"/>
                <w:bCs/>
                <w:color w:val="000000"/>
                <w:sz w:val="20"/>
                <w:szCs w:val="20"/>
                <w:highlight w:val="none"/>
              </w:rPr>
              <w:t>日常交际</w:t>
            </w:r>
            <w:r>
              <w:rPr>
                <w:bCs/>
                <w:color w:val="000000"/>
                <w:sz w:val="20"/>
                <w:szCs w:val="20"/>
                <w:highlight w:val="none"/>
              </w:rPr>
              <w:t>词汇和一部分中等难度的</w:t>
            </w:r>
            <w:r>
              <w:rPr>
                <w:rFonts w:hint="eastAsia"/>
                <w:bCs/>
                <w:color w:val="000000"/>
                <w:sz w:val="20"/>
                <w:szCs w:val="20"/>
                <w:highlight w:val="none"/>
              </w:rPr>
              <w:t>新闻</w:t>
            </w:r>
            <w:r>
              <w:rPr>
                <w:bCs/>
                <w:color w:val="000000"/>
                <w:sz w:val="20"/>
                <w:szCs w:val="20"/>
                <w:highlight w:val="none"/>
              </w:rPr>
              <w:t>词汇</w:t>
            </w:r>
            <w:r>
              <w:rPr>
                <w:rFonts w:hint="eastAsia"/>
                <w:bCs/>
                <w:color w:val="000000"/>
                <w:sz w:val="20"/>
                <w:szCs w:val="20"/>
                <w:highlight w:val="none"/>
              </w:rPr>
              <w:t>，养成</w:t>
            </w:r>
            <w:r>
              <w:rPr>
                <w:bCs/>
                <w:color w:val="000000"/>
                <w:sz w:val="20"/>
                <w:szCs w:val="20"/>
                <w:highlight w:val="none"/>
              </w:rPr>
              <w:t>用英语思维的习惯</w:t>
            </w:r>
            <w:r>
              <w:rPr>
                <w:rFonts w:hint="eastAsia"/>
                <w:bCs/>
                <w:color w:val="000000"/>
                <w:sz w:val="20"/>
                <w:szCs w:val="20"/>
                <w:highlight w:val="none"/>
              </w:rPr>
              <w:t>。</w:t>
            </w:r>
          </w:p>
        </w:tc>
        <w:tc>
          <w:tcPr>
            <w:tcW w:w="1309"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任课教师布置听力材料，指导学生进行课外自主预习。</w:t>
            </w:r>
          </w:p>
        </w:tc>
        <w:tc>
          <w:tcPr>
            <w:tcW w:w="1276"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听写、纸笔测试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bCs/>
                <w:color w:val="000000"/>
                <w:sz w:val="20"/>
                <w:szCs w:val="20"/>
                <w:highlight w:val="none"/>
              </w:rPr>
            </w:pPr>
            <w:r>
              <w:rPr>
                <w:rFonts w:hint="eastAsia"/>
                <w:bCs/>
                <w:color w:val="000000"/>
                <w:sz w:val="20"/>
                <w:szCs w:val="20"/>
                <w:highlight w:val="none"/>
              </w:rPr>
              <w:t>2</w:t>
            </w:r>
          </w:p>
        </w:tc>
        <w:tc>
          <w:tcPr>
            <w:tcW w:w="1133" w:type="dxa"/>
            <w:shd w:val="clear" w:color="auto" w:fill="auto"/>
          </w:tcPr>
          <w:p>
            <w:pPr>
              <w:rPr>
                <w:bCs/>
                <w:color w:val="000000"/>
                <w:sz w:val="20"/>
                <w:szCs w:val="20"/>
                <w:highlight w:val="none"/>
              </w:rPr>
            </w:pPr>
            <w:r>
              <w:rPr>
                <w:rFonts w:hint="eastAsia"/>
                <w:bCs/>
                <w:color w:val="000000"/>
                <w:sz w:val="20"/>
                <w:szCs w:val="20"/>
                <w:highlight w:val="none"/>
              </w:rPr>
              <w:t>LO311</w:t>
            </w:r>
          </w:p>
        </w:tc>
        <w:tc>
          <w:tcPr>
            <w:tcW w:w="3402" w:type="dxa"/>
            <w:shd w:val="clear" w:color="auto" w:fill="auto"/>
          </w:tcPr>
          <w:p>
            <w:pPr>
              <w:rPr>
                <w:bCs/>
                <w:color w:val="000000"/>
                <w:sz w:val="20"/>
                <w:szCs w:val="20"/>
                <w:highlight w:val="none"/>
              </w:rPr>
            </w:pPr>
            <w:r>
              <w:rPr>
                <w:rFonts w:hint="eastAsia"/>
                <w:bCs/>
                <w:color w:val="000000"/>
                <w:sz w:val="20"/>
                <w:szCs w:val="20"/>
                <w:highlight w:val="none"/>
              </w:rPr>
              <w:t>通过</w:t>
            </w:r>
            <w:r>
              <w:rPr>
                <w:bCs/>
                <w:color w:val="000000"/>
                <w:sz w:val="20"/>
                <w:szCs w:val="20"/>
                <w:highlight w:val="none"/>
              </w:rPr>
              <w:t>教师讲解和课堂练习，能运用预测、</w:t>
            </w:r>
            <w:r>
              <w:rPr>
                <w:rFonts w:hint="eastAsia"/>
                <w:bCs/>
                <w:color w:val="000000"/>
                <w:sz w:val="20"/>
                <w:szCs w:val="20"/>
                <w:highlight w:val="none"/>
              </w:rPr>
              <w:t>联想</w:t>
            </w:r>
            <w:r>
              <w:rPr>
                <w:bCs/>
                <w:color w:val="000000"/>
                <w:sz w:val="20"/>
                <w:szCs w:val="20"/>
                <w:highlight w:val="none"/>
              </w:rPr>
              <w:t>、</w:t>
            </w:r>
            <w:r>
              <w:rPr>
                <w:rFonts w:hint="eastAsia"/>
                <w:bCs/>
                <w:color w:val="000000"/>
                <w:sz w:val="20"/>
                <w:szCs w:val="20"/>
                <w:highlight w:val="none"/>
              </w:rPr>
              <w:t>辨析</w:t>
            </w:r>
            <w:r>
              <w:rPr>
                <w:bCs/>
                <w:color w:val="000000"/>
                <w:sz w:val="20"/>
                <w:szCs w:val="20"/>
                <w:highlight w:val="none"/>
              </w:rPr>
              <w:t>、推测等听力技巧</w:t>
            </w:r>
            <w:r>
              <w:rPr>
                <w:rFonts w:hint="eastAsia"/>
                <w:bCs/>
                <w:color w:val="000000"/>
                <w:sz w:val="20"/>
                <w:szCs w:val="20"/>
                <w:highlight w:val="none"/>
              </w:rPr>
              <w:t>抓住英文</w:t>
            </w:r>
            <w:r>
              <w:rPr>
                <w:bCs/>
                <w:color w:val="000000"/>
                <w:sz w:val="20"/>
                <w:szCs w:val="20"/>
                <w:highlight w:val="none"/>
              </w:rPr>
              <w:t>日常对话和短文的</w:t>
            </w:r>
            <w:r>
              <w:rPr>
                <w:rFonts w:hint="eastAsia"/>
                <w:bCs/>
                <w:color w:val="000000"/>
                <w:sz w:val="20"/>
                <w:szCs w:val="20"/>
                <w:highlight w:val="none"/>
              </w:rPr>
              <w:t>中心大意</w:t>
            </w:r>
            <w:r>
              <w:rPr>
                <w:bCs/>
                <w:color w:val="000000"/>
                <w:sz w:val="20"/>
                <w:szCs w:val="20"/>
                <w:highlight w:val="none"/>
              </w:rPr>
              <w:t>并</w:t>
            </w:r>
            <w:r>
              <w:rPr>
                <w:rFonts w:hint="eastAsia"/>
                <w:bCs/>
                <w:color w:val="000000"/>
                <w:sz w:val="20"/>
                <w:szCs w:val="20"/>
                <w:highlight w:val="none"/>
              </w:rPr>
              <w:t>理解主要</w:t>
            </w:r>
            <w:r>
              <w:rPr>
                <w:bCs/>
                <w:color w:val="000000"/>
                <w:sz w:val="20"/>
                <w:szCs w:val="20"/>
                <w:highlight w:val="none"/>
              </w:rPr>
              <w:t>内容，</w:t>
            </w:r>
            <w:r>
              <w:rPr>
                <w:rFonts w:hint="eastAsia"/>
                <w:bCs/>
                <w:color w:val="000000"/>
                <w:sz w:val="20"/>
                <w:szCs w:val="20"/>
                <w:highlight w:val="none"/>
              </w:rPr>
              <w:t>养成</w:t>
            </w:r>
            <w:r>
              <w:rPr>
                <w:bCs/>
                <w:color w:val="000000"/>
                <w:sz w:val="20"/>
                <w:szCs w:val="20"/>
                <w:highlight w:val="none"/>
              </w:rPr>
              <w:t>良好的听力习惯</w:t>
            </w:r>
            <w:r>
              <w:rPr>
                <w:rFonts w:hint="eastAsia"/>
                <w:bCs/>
                <w:color w:val="000000"/>
                <w:sz w:val="20"/>
                <w:szCs w:val="20"/>
                <w:highlight w:val="none"/>
              </w:rPr>
              <w:t>及提高</w:t>
            </w:r>
            <w:r>
              <w:rPr>
                <w:bCs/>
                <w:color w:val="000000"/>
                <w:sz w:val="20"/>
                <w:szCs w:val="20"/>
                <w:highlight w:val="none"/>
              </w:rPr>
              <w:t>听说英语的兴趣</w:t>
            </w:r>
            <w:r>
              <w:rPr>
                <w:rFonts w:hint="eastAsia"/>
                <w:bCs/>
                <w:color w:val="000000"/>
                <w:sz w:val="20"/>
                <w:szCs w:val="20"/>
                <w:highlight w:val="none"/>
              </w:rPr>
              <w:t>。</w:t>
            </w:r>
          </w:p>
        </w:tc>
        <w:tc>
          <w:tcPr>
            <w:tcW w:w="1309"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课堂讲授，课堂练习。</w:t>
            </w:r>
          </w:p>
        </w:tc>
        <w:tc>
          <w:tcPr>
            <w:tcW w:w="1276"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bCs/>
                <w:color w:val="000000"/>
                <w:sz w:val="20"/>
                <w:szCs w:val="20"/>
                <w:highlight w:val="none"/>
              </w:rPr>
            </w:pPr>
            <w:r>
              <w:rPr>
                <w:rFonts w:hint="eastAsia"/>
                <w:bCs/>
                <w:color w:val="000000"/>
                <w:sz w:val="20"/>
                <w:szCs w:val="20"/>
                <w:highlight w:val="none"/>
              </w:rPr>
              <w:t>3</w:t>
            </w:r>
          </w:p>
        </w:tc>
        <w:tc>
          <w:tcPr>
            <w:tcW w:w="1133" w:type="dxa"/>
            <w:shd w:val="clear" w:color="auto" w:fill="auto"/>
          </w:tcPr>
          <w:p>
            <w:pPr>
              <w:rPr>
                <w:bCs/>
                <w:color w:val="000000"/>
                <w:sz w:val="20"/>
                <w:szCs w:val="20"/>
                <w:highlight w:val="none"/>
              </w:rPr>
            </w:pPr>
            <w:r>
              <w:rPr>
                <w:rFonts w:hint="eastAsia"/>
                <w:bCs/>
                <w:color w:val="000000"/>
                <w:sz w:val="20"/>
                <w:szCs w:val="20"/>
                <w:highlight w:val="none"/>
              </w:rPr>
              <w:t>L0312</w:t>
            </w:r>
          </w:p>
        </w:tc>
        <w:tc>
          <w:tcPr>
            <w:tcW w:w="3402" w:type="dxa"/>
            <w:shd w:val="clear" w:color="auto" w:fill="auto"/>
          </w:tcPr>
          <w:p>
            <w:pPr>
              <w:rPr>
                <w:bCs/>
                <w:color w:val="000000"/>
                <w:sz w:val="20"/>
                <w:szCs w:val="20"/>
                <w:highlight w:val="none"/>
              </w:rPr>
            </w:pPr>
            <w:r>
              <w:rPr>
                <w:rFonts w:hint="eastAsia"/>
                <w:bCs/>
                <w:color w:val="000000"/>
                <w:sz w:val="20"/>
                <w:szCs w:val="20"/>
                <w:highlight w:val="none"/>
              </w:rPr>
              <w:t>借助阅读</w:t>
            </w:r>
            <w:r>
              <w:rPr>
                <w:bCs/>
                <w:color w:val="000000"/>
                <w:sz w:val="20"/>
                <w:szCs w:val="20"/>
                <w:highlight w:val="none"/>
              </w:rPr>
              <w:t>新闻和</w:t>
            </w:r>
            <w:r>
              <w:rPr>
                <w:rFonts w:hint="eastAsia"/>
                <w:bCs/>
                <w:color w:val="000000"/>
                <w:sz w:val="20"/>
                <w:szCs w:val="20"/>
                <w:highlight w:val="none"/>
              </w:rPr>
              <w:t>做</w:t>
            </w:r>
            <w:r>
              <w:rPr>
                <w:bCs/>
                <w:color w:val="000000"/>
                <w:sz w:val="20"/>
                <w:szCs w:val="20"/>
                <w:highlight w:val="none"/>
              </w:rPr>
              <w:t>新闻听力练习，能</w:t>
            </w:r>
            <w:r>
              <w:rPr>
                <w:rFonts w:hint="eastAsia"/>
                <w:bCs/>
                <w:color w:val="000000"/>
                <w:sz w:val="20"/>
                <w:szCs w:val="20"/>
                <w:highlight w:val="none"/>
              </w:rPr>
              <w:t>听懂VOA慢速英语</w:t>
            </w:r>
            <w:r>
              <w:rPr>
                <w:bCs/>
                <w:color w:val="000000"/>
                <w:sz w:val="20"/>
                <w:szCs w:val="20"/>
                <w:highlight w:val="none"/>
              </w:rPr>
              <w:t>新闻</w:t>
            </w:r>
            <w:r>
              <w:rPr>
                <w:rFonts w:hint="eastAsia"/>
                <w:bCs/>
                <w:color w:val="000000"/>
                <w:sz w:val="20"/>
                <w:szCs w:val="20"/>
                <w:highlight w:val="none"/>
              </w:rPr>
              <w:t>的主要</w:t>
            </w:r>
            <w:r>
              <w:rPr>
                <w:bCs/>
                <w:color w:val="000000"/>
                <w:sz w:val="20"/>
                <w:szCs w:val="20"/>
                <w:highlight w:val="none"/>
              </w:rPr>
              <w:t>内容，</w:t>
            </w:r>
            <w:r>
              <w:rPr>
                <w:rFonts w:hint="eastAsia"/>
                <w:bCs/>
                <w:color w:val="000000"/>
                <w:sz w:val="20"/>
                <w:szCs w:val="20"/>
                <w:highlight w:val="none"/>
              </w:rPr>
              <w:t>提高获取</w:t>
            </w:r>
            <w:r>
              <w:rPr>
                <w:bCs/>
                <w:color w:val="000000"/>
                <w:sz w:val="20"/>
                <w:szCs w:val="20"/>
                <w:highlight w:val="none"/>
              </w:rPr>
              <w:t>英文新闻信息的能力；</w:t>
            </w:r>
          </w:p>
        </w:tc>
        <w:tc>
          <w:tcPr>
            <w:tcW w:w="1309" w:type="dxa"/>
            <w:shd w:val="clear" w:color="auto" w:fill="auto"/>
            <w:vAlign w:val="center"/>
          </w:tcPr>
          <w:p>
            <w:pPr>
              <w:jc w:val="center"/>
              <w:rPr>
                <w:bCs/>
                <w:color w:val="000000"/>
                <w:sz w:val="20"/>
                <w:szCs w:val="20"/>
                <w:highlight w:val="none"/>
              </w:rPr>
            </w:pPr>
            <w:r>
              <w:rPr>
                <w:rFonts w:hint="eastAsia"/>
                <w:bCs/>
                <w:color w:val="000000"/>
                <w:sz w:val="20"/>
                <w:szCs w:val="20"/>
                <w:highlight w:val="none"/>
              </w:rPr>
              <w:t>讲授，课堂练习;</w:t>
            </w:r>
          </w:p>
          <w:p>
            <w:pPr>
              <w:jc w:val="center"/>
              <w:rPr>
                <w:bCs/>
                <w:color w:val="000000"/>
                <w:sz w:val="20"/>
                <w:szCs w:val="20"/>
                <w:highlight w:val="none"/>
              </w:rPr>
            </w:pPr>
            <w:r>
              <w:rPr>
                <w:bCs/>
                <w:color w:val="000000"/>
                <w:sz w:val="20"/>
                <w:szCs w:val="20"/>
                <w:highlight w:val="none"/>
              </w:rPr>
              <w:t>新闻阅读</w:t>
            </w:r>
          </w:p>
        </w:tc>
        <w:tc>
          <w:tcPr>
            <w:tcW w:w="1276"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bCs/>
                <w:color w:val="000000"/>
                <w:sz w:val="20"/>
                <w:szCs w:val="20"/>
                <w:highlight w:val="none"/>
              </w:rPr>
            </w:pPr>
            <w:r>
              <w:rPr>
                <w:rFonts w:hint="eastAsia"/>
                <w:bCs/>
                <w:color w:val="000000"/>
                <w:sz w:val="20"/>
                <w:szCs w:val="20"/>
                <w:highlight w:val="none"/>
              </w:rPr>
              <w:t>4</w:t>
            </w:r>
          </w:p>
        </w:tc>
        <w:tc>
          <w:tcPr>
            <w:tcW w:w="1133" w:type="dxa"/>
            <w:shd w:val="clear" w:color="auto" w:fill="auto"/>
          </w:tcPr>
          <w:p>
            <w:pPr>
              <w:rPr>
                <w:bCs/>
                <w:color w:val="000000"/>
                <w:sz w:val="20"/>
                <w:szCs w:val="20"/>
                <w:highlight w:val="none"/>
              </w:rPr>
            </w:pPr>
            <w:r>
              <w:rPr>
                <w:rFonts w:hint="eastAsia"/>
                <w:bCs/>
                <w:color w:val="000000"/>
                <w:sz w:val="20"/>
                <w:szCs w:val="20"/>
                <w:highlight w:val="none"/>
              </w:rPr>
              <w:t>L0313</w:t>
            </w:r>
          </w:p>
        </w:tc>
        <w:tc>
          <w:tcPr>
            <w:tcW w:w="3402" w:type="dxa"/>
            <w:shd w:val="clear" w:color="auto" w:fill="auto"/>
          </w:tcPr>
          <w:p>
            <w:pPr>
              <w:snapToGrid w:val="0"/>
              <w:spacing w:line="300" w:lineRule="auto"/>
              <w:ind w:right="-45"/>
              <w:rPr>
                <w:bCs/>
                <w:color w:val="000000"/>
                <w:sz w:val="20"/>
                <w:szCs w:val="20"/>
                <w:highlight w:val="none"/>
              </w:rPr>
            </w:pPr>
            <w:r>
              <w:rPr>
                <w:rFonts w:hint="eastAsia"/>
                <w:bCs/>
                <w:color w:val="000000"/>
                <w:sz w:val="20"/>
                <w:szCs w:val="20"/>
                <w:highlight w:val="none"/>
              </w:rPr>
              <w:t>借助</w:t>
            </w:r>
            <w:r>
              <w:rPr>
                <w:bCs/>
                <w:color w:val="000000"/>
                <w:sz w:val="20"/>
                <w:szCs w:val="20"/>
                <w:highlight w:val="none"/>
              </w:rPr>
              <w:t>课外</w:t>
            </w:r>
            <w:r>
              <w:rPr>
                <w:rFonts w:hint="eastAsia"/>
                <w:bCs/>
                <w:color w:val="000000"/>
                <w:sz w:val="20"/>
                <w:szCs w:val="20"/>
                <w:highlight w:val="none"/>
              </w:rPr>
              <w:t>听力练习</w:t>
            </w:r>
            <w:r>
              <w:rPr>
                <w:bCs/>
                <w:color w:val="000000"/>
                <w:sz w:val="20"/>
                <w:szCs w:val="20"/>
                <w:highlight w:val="none"/>
              </w:rPr>
              <w:t>，能针对</w:t>
            </w:r>
            <w:r>
              <w:rPr>
                <w:rFonts w:hint="eastAsia"/>
                <w:bCs/>
                <w:color w:val="000000"/>
                <w:sz w:val="20"/>
                <w:szCs w:val="20"/>
                <w:highlight w:val="none"/>
              </w:rPr>
              <w:t>所</w:t>
            </w:r>
            <w:r>
              <w:rPr>
                <w:bCs/>
                <w:color w:val="000000"/>
                <w:sz w:val="20"/>
                <w:szCs w:val="20"/>
                <w:highlight w:val="none"/>
              </w:rPr>
              <w:t>听到的</w:t>
            </w:r>
            <w:r>
              <w:rPr>
                <w:rFonts w:hint="eastAsia"/>
                <w:bCs/>
                <w:color w:val="000000"/>
                <w:sz w:val="20"/>
                <w:szCs w:val="20"/>
                <w:highlight w:val="none"/>
              </w:rPr>
              <w:t>句子做句子听写，</w:t>
            </w:r>
            <w:r>
              <w:rPr>
                <w:bCs/>
                <w:color w:val="000000"/>
                <w:sz w:val="20"/>
                <w:szCs w:val="20"/>
                <w:highlight w:val="none"/>
              </w:rPr>
              <w:t>提高</w:t>
            </w:r>
            <w:r>
              <w:rPr>
                <w:rFonts w:hint="eastAsia"/>
                <w:bCs/>
                <w:color w:val="000000"/>
                <w:sz w:val="20"/>
                <w:szCs w:val="20"/>
                <w:highlight w:val="none"/>
              </w:rPr>
              <w:t>对语义</w:t>
            </w:r>
            <w:r>
              <w:rPr>
                <w:bCs/>
                <w:color w:val="000000"/>
                <w:sz w:val="20"/>
                <w:szCs w:val="20"/>
                <w:highlight w:val="none"/>
              </w:rPr>
              <w:t>的理解能力；</w:t>
            </w:r>
          </w:p>
        </w:tc>
        <w:tc>
          <w:tcPr>
            <w:tcW w:w="1309" w:type="dxa"/>
            <w:shd w:val="clear" w:color="auto" w:fill="auto"/>
            <w:vAlign w:val="center"/>
          </w:tcPr>
          <w:p>
            <w:pPr>
              <w:snapToGrid w:val="0"/>
              <w:spacing w:line="288" w:lineRule="auto"/>
              <w:jc w:val="center"/>
              <w:rPr>
                <w:bCs/>
                <w:color w:val="000000"/>
                <w:sz w:val="20"/>
                <w:szCs w:val="20"/>
                <w:highlight w:val="none"/>
              </w:rPr>
            </w:pPr>
            <w:r>
              <w:rPr>
                <w:bCs/>
                <w:color w:val="000000"/>
                <w:sz w:val="20"/>
                <w:szCs w:val="20"/>
                <w:highlight w:val="none"/>
              </w:rPr>
              <w:t>练习</w:t>
            </w:r>
            <w:r>
              <w:rPr>
                <w:rFonts w:hint="eastAsia"/>
                <w:bCs/>
                <w:color w:val="000000"/>
                <w:sz w:val="20"/>
                <w:szCs w:val="20"/>
                <w:highlight w:val="none"/>
              </w:rPr>
              <w:t>，课外指导</w:t>
            </w:r>
          </w:p>
        </w:tc>
        <w:tc>
          <w:tcPr>
            <w:tcW w:w="1276" w:type="dxa"/>
            <w:shd w:val="clear" w:color="auto" w:fill="auto"/>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实验项目报告、纸笔测试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pPr>
              <w:rPr>
                <w:bCs/>
                <w:color w:val="000000"/>
                <w:sz w:val="20"/>
                <w:szCs w:val="20"/>
                <w:highlight w:val="none"/>
              </w:rPr>
            </w:pPr>
            <w:r>
              <w:rPr>
                <w:rFonts w:hint="eastAsia"/>
                <w:bCs/>
                <w:color w:val="000000"/>
                <w:sz w:val="20"/>
                <w:szCs w:val="20"/>
                <w:highlight w:val="none"/>
              </w:rPr>
              <w:t>5</w:t>
            </w:r>
          </w:p>
        </w:tc>
        <w:tc>
          <w:tcPr>
            <w:tcW w:w="1133" w:type="dxa"/>
            <w:tcBorders>
              <w:top w:val="single" w:color="auto" w:sz="4" w:space="0"/>
              <w:left w:val="single" w:color="auto" w:sz="4" w:space="0"/>
              <w:bottom w:val="single" w:color="auto" w:sz="4" w:space="0"/>
              <w:right w:val="single" w:color="auto" w:sz="4" w:space="0"/>
            </w:tcBorders>
          </w:tcPr>
          <w:p>
            <w:pPr>
              <w:rPr>
                <w:bCs/>
                <w:color w:val="000000"/>
                <w:sz w:val="20"/>
                <w:szCs w:val="20"/>
                <w:highlight w:val="none"/>
              </w:rPr>
            </w:pPr>
            <w:r>
              <w:rPr>
                <w:bCs/>
                <w:color w:val="000000"/>
                <w:sz w:val="20"/>
                <w:szCs w:val="20"/>
                <w:highlight w:val="none"/>
              </w:rPr>
              <w:t>LO</w:t>
            </w:r>
            <w:r>
              <w:rPr>
                <w:rFonts w:hint="eastAsia"/>
                <w:bCs/>
                <w:color w:val="000000"/>
                <w:sz w:val="20"/>
                <w:szCs w:val="20"/>
                <w:highlight w:val="none"/>
              </w:rPr>
              <w:t>7</w:t>
            </w:r>
            <w:r>
              <w:rPr>
                <w:bCs/>
                <w:color w:val="000000"/>
                <w:sz w:val="20"/>
                <w:szCs w:val="20"/>
                <w:highlight w:val="none"/>
              </w:rPr>
              <w:t>1</w:t>
            </w:r>
            <w:r>
              <w:rPr>
                <w:rFonts w:hint="eastAsia"/>
                <w:bCs/>
                <w:color w:val="000000"/>
                <w:sz w:val="20"/>
                <w:szCs w:val="20"/>
                <w:highlight w:val="none"/>
              </w:rPr>
              <w:t>3</w:t>
            </w:r>
          </w:p>
        </w:tc>
        <w:tc>
          <w:tcPr>
            <w:tcW w:w="3402" w:type="dxa"/>
            <w:tcBorders>
              <w:top w:val="single" w:color="auto" w:sz="4" w:space="0"/>
              <w:left w:val="single" w:color="auto" w:sz="4" w:space="0"/>
              <w:bottom w:val="single" w:color="auto" w:sz="4" w:space="0"/>
              <w:right w:val="single" w:color="auto" w:sz="4" w:space="0"/>
            </w:tcBorders>
          </w:tcPr>
          <w:p>
            <w:pPr>
              <w:rPr>
                <w:bCs/>
                <w:color w:val="000000"/>
                <w:sz w:val="20"/>
                <w:szCs w:val="20"/>
                <w:highlight w:val="none"/>
              </w:rPr>
            </w:pPr>
            <w:r>
              <w:rPr>
                <w:rFonts w:hint="eastAsia"/>
                <w:bCs/>
                <w:color w:val="000000"/>
                <w:sz w:val="20"/>
                <w:szCs w:val="20"/>
                <w:highlight w:val="none"/>
              </w:rPr>
              <w:t>通过收集各种素材，能和小组成员共同合作完成对语篇话题的讨论，新闻背景知识的介绍，提高合作和沟通能力。</w:t>
            </w:r>
          </w:p>
        </w:tc>
        <w:tc>
          <w:tcPr>
            <w:tcW w:w="1309"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小组讨论、</w:t>
            </w:r>
            <w:r>
              <w:rPr>
                <w:bCs/>
                <w:color w:val="000000"/>
                <w:sz w:val="20"/>
                <w:szCs w:val="20"/>
                <w:highlight w:val="none"/>
              </w:rPr>
              <w:t>新闻汇报</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Cs/>
                <w:color w:val="000000"/>
                <w:sz w:val="20"/>
                <w:szCs w:val="20"/>
                <w:highlight w:val="none"/>
              </w:rPr>
            </w:pPr>
            <w:r>
              <w:rPr>
                <w:rFonts w:hint="eastAsia"/>
                <w:bCs/>
                <w:color w:val="000000"/>
                <w:sz w:val="20"/>
                <w:szCs w:val="20"/>
                <w:highlight w:val="none"/>
              </w:rPr>
              <w:t>课堂展示</w:t>
            </w:r>
          </w:p>
        </w:tc>
      </w:tr>
    </w:tbl>
    <w:p>
      <w:pPr>
        <w:widowControl/>
        <w:spacing w:before="156" w:beforeLines="50" w:after="156" w:afterLines="50" w:line="288" w:lineRule="auto"/>
        <w:ind w:firstLine="300" w:firstLineChars="150"/>
        <w:jc w:val="left"/>
        <w:rPr>
          <w:bCs/>
          <w:color w:val="000000"/>
          <w:sz w:val="20"/>
          <w:szCs w:val="20"/>
          <w:highlight w:val="none"/>
        </w:rPr>
      </w:pPr>
      <w:r>
        <w:rPr>
          <w:rFonts w:hint="eastAsia"/>
          <w:bCs/>
          <w:color w:val="000000"/>
          <w:sz w:val="20"/>
          <w:szCs w:val="20"/>
          <w:highlight w:val="none"/>
        </w:rPr>
        <w:t>六、</w:t>
      </w:r>
      <w:r>
        <w:rPr>
          <w:bCs/>
          <w:color w:val="000000"/>
          <w:sz w:val="20"/>
          <w:szCs w:val="20"/>
          <w:highlight w:val="none"/>
        </w:rPr>
        <w:t>课程内容</w:t>
      </w:r>
    </w:p>
    <w:p>
      <w:pPr>
        <w:snapToGrid w:val="0"/>
        <w:spacing w:line="288" w:lineRule="auto"/>
        <w:ind w:firstLine="440" w:firstLineChars="200"/>
        <w:rPr>
          <w:rFonts w:ascii="宋体" w:hAnsi="宋体"/>
          <w:sz w:val="22"/>
          <w:highlight w:val="none"/>
        </w:rPr>
      </w:pPr>
      <w:r>
        <w:rPr>
          <w:rFonts w:hint="eastAsia" w:ascii="宋体" w:hAnsi="宋体"/>
          <w:sz w:val="22"/>
          <w:highlight w:val="none"/>
        </w:rPr>
        <w:t>本课程2个学分, 在一个学期内开设, 每周2学时,共计32学时，其中</w:t>
      </w:r>
      <w:r>
        <w:rPr>
          <w:rFonts w:ascii="宋体" w:hAnsi="宋体"/>
          <w:sz w:val="22"/>
          <w:highlight w:val="none"/>
        </w:rPr>
        <w:t>32</w:t>
      </w:r>
      <w:r>
        <w:rPr>
          <w:rFonts w:hint="eastAsia" w:ascii="宋体" w:hAnsi="宋体"/>
          <w:sz w:val="22"/>
          <w:highlight w:val="none"/>
        </w:rPr>
        <w:t>课时用于课内实践。课程要求以学生练习为主, 教师讲解为辅。授课重点应该放在听力技能技巧的训练上,理论知识相对少讲。充分利用网上资源和现代技术设备,扩大学生的听音、辨音练习，并针对普遍性的问题进行分析讲解。</w:t>
      </w:r>
    </w:p>
    <w:p>
      <w:pPr>
        <w:snapToGrid w:val="0"/>
        <w:spacing w:line="288" w:lineRule="auto"/>
        <w:ind w:firstLine="440" w:firstLineChars="200"/>
        <w:rPr>
          <w:rFonts w:ascii="宋体" w:hAnsi="宋体"/>
          <w:sz w:val="22"/>
          <w:highlight w:val="none"/>
        </w:rPr>
      </w:pPr>
      <w:r>
        <w:rPr>
          <w:rFonts w:hint="eastAsia" w:ascii="宋体" w:hAnsi="宋体"/>
          <w:sz w:val="22"/>
          <w:highlight w:val="none"/>
        </w:rPr>
        <w:t>主要教学内容如下:</w:t>
      </w:r>
    </w:p>
    <w:tbl>
      <w:tblPr>
        <w:tblStyle w:val="5"/>
        <w:tblW w:w="457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5198"/>
        <w:gridCol w:w="152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4"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章节</w:t>
            </w:r>
          </w:p>
        </w:tc>
        <w:tc>
          <w:tcPr>
            <w:tcW w:w="3334" w:type="pct"/>
            <w:vAlign w:val="center"/>
          </w:tcPr>
          <w:p>
            <w:pPr>
              <w:autoSpaceDE w:val="0"/>
              <w:autoSpaceDN w:val="0"/>
              <w:adjustRightInd w:val="0"/>
              <w:snapToGrid w:val="0"/>
              <w:spacing w:before="31" w:beforeLines="10" w:after="31" w:afterLines="10"/>
              <w:jc w:val="center"/>
              <w:rPr>
                <w:color w:val="000000"/>
                <w:sz w:val="18"/>
                <w:szCs w:val="18"/>
                <w:highlight w:val="none"/>
                <w:lang w:val="zh-CN"/>
              </w:rPr>
            </w:pPr>
            <w:r>
              <w:rPr>
                <w:color w:val="000000"/>
                <w:sz w:val="18"/>
                <w:szCs w:val="18"/>
                <w:highlight w:val="none"/>
                <w:lang w:val="zh-CN"/>
              </w:rPr>
              <w:t>教学内容和能力要求</w:t>
            </w:r>
          </w:p>
        </w:tc>
        <w:tc>
          <w:tcPr>
            <w:tcW w:w="980" w:type="pct"/>
            <w:vAlign w:val="center"/>
          </w:tcPr>
          <w:p>
            <w:pPr>
              <w:autoSpaceDE w:val="0"/>
              <w:autoSpaceDN w:val="0"/>
              <w:adjustRightInd w:val="0"/>
              <w:snapToGrid w:val="0"/>
              <w:spacing w:before="31" w:beforeLines="10" w:after="31" w:afterLines="10"/>
              <w:jc w:val="center"/>
              <w:rPr>
                <w:color w:val="000000"/>
                <w:sz w:val="18"/>
                <w:szCs w:val="18"/>
                <w:highlight w:val="none"/>
                <w:lang w:val="zh-CN"/>
              </w:rPr>
            </w:pPr>
            <w:r>
              <w:rPr>
                <w:color w:val="000000"/>
                <w:sz w:val="18"/>
                <w:szCs w:val="18"/>
                <w:highlight w:val="none"/>
                <w:lang w:val="zh-CN"/>
              </w:rPr>
              <w:t>教学难点</w:t>
            </w:r>
          </w:p>
        </w:tc>
        <w:tc>
          <w:tcPr>
            <w:tcW w:w="432" w:type="pct"/>
          </w:tcPr>
          <w:p>
            <w:pPr>
              <w:autoSpaceDE w:val="0"/>
              <w:autoSpaceDN w:val="0"/>
              <w:adjustRightInd w:val="0"/>
              <w:snapToGrid w:val="0"/>
              <w:spacing w:before="31" w:beforeLines="10" w:after="31" w:afterLines="10"/>
              <w:jc w:val="center"/>
              <w:rPr>
                <w:color w:val="000000"/>
                <w:sz w:val="18"/>
                <w:szCs w:val="18"/>
                <w:highlight w:val="none"/>
                <w:lang w:val="zh-CN"/>
              </w:rPr>
            </w:pPr>
            <w:r>
              <w:rPr>
                <w:color w:val="000000"/>
                <w:sz w:val="18"/>
                <w:szCs w:val="18"/>
                <w:highlight w:val="none"/>
                <w:lang w:val="zh-CN"/>
              </w:rPr>
              <w:t>理论</w:t>
            </w:r>
            <w:r>
              <w:rPr>
                <w:rFonts w:hint="eastAsia"/>
                <w:color w:val="000000"/>
                <w:sz w:val="18"/>
                <w:szCs w:val="18"/>
                <w:highlight w:val="none"/>
                <w:lang w:val="zh-CN"/>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1</w:t>
            </w:r>
          </w:p>
        </w:tc>
        <w:tc>
          <w:tcPr>
            <w:tcW w:w="3334" w:type="pct"/>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color w:val="000000"/>
                <w:sz w:val="20"/>
                <w:szCs w:val="20"/>
                <w:highlight w:val="none"/>
                <w:lang w:val="zh-CN"/>
              </w:rPr>
              <w:t xml:space="preserve">Course outline sharing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Linking Sounds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Asking for/Giving Advice</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Using Examples for Illustration</w:t>
            </w:r>
          </w:p>
          <w:p>
            <w:pPr>
              <w:autoSpaceDE w:val="0"/>
              <w:autoSpaceDN w:val="0"/>
              <w:adjustRightInd w:val="0"/>
              <w:snapToGrid w:val="0"/>
              <w:spacing w:line="280" w:lineRule="exact"/>
              <w:ind w:left="53"/>
              <w:rPr>
                <w:color w:val="000000"/>
                <w:sz w:val="20"/>
                <w:szCs w:val="20"/>
                <w:highlight w:val="none"/>
                <w:lang w:val="zh-CN"/>
              </w:rPr>
            </w:pPr>
            <w:r>
              <w:rPr>
                <w:rFonts w:hint="eastAsia" w:hAnsi="宋体"/>
                <w:bCs/>
                <w:color w:val="000000"/>
                <w:sz w:val="20"/>
                <w:szCs w:val="20"/>
                <w:highlight w:val="none"/>
              </w:rPr>
              <w:t>知道20个左右新词，熟悉这些词在日常对话、篇章中的运用；</w:t>
            </w:r>
            <w:r>
              <w:rPr>
                <w:rFonts w:hint="eastAsia"/>
                <w:color w:val="000000"/>
                <w:sz w:val="20"/>
                <w:szCs w:val="20"/>
                <w:highlight w:val="none"/>
                <w:lang w:val="zh-CN"/>
              </w:rPr>
              <w:t>知道听力中的弱读、连读和缩写式；能够运用速写技巧记笔记；能够区分长短元音；理解所练习听力对话中的关键信息。</w:t>
            </w: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color w:val="000000"/>
                <w:sz w:val="18"/>
                <w:szCs w:val="18"/>
                <w:highlight w:val="none"/>
                <w:lang w:val="zh-CN"/>
              </w:rPr>
              <w:t>知道影响新闻听力的三大因素：背景知识、词汇、新闻句型。能够运用相关的词汇知识和背景知识推测新闻的主要内容和细节。</w:t>
            </w:r>
          </w:p>
          <w:p>
            <w:pPr>
              <w:autoSpaceDE w:val="0"/>
              <w:autoSpaceDN w:val="0"/>
              <w:adjustRightInd w:val="0"/>
              <w:snapToGrid w:val="0"/>
              <w:spacing w:before="31" w:beforeLines="10" w:after="31" w:afterLines="10"/>
              <w:jc w:val="left"/>
              <w:rPr>
                <w:color w:val="000000"/>
                <w:sz w:val="18"/>
                <w:szCs w:val="18"/>
                <w:highlight w:val="none"/>
              </w:rPr>
            </w:pPr>
          </w:p>
        </w:tc>
        <w:tc>
          <w:tcPr>
            <w:tcW w:w="432" w:type="pct"/>
          </w:tcPr>
          <w:p>
            <w:pPr>
              <w:autoSpaceDE w:val="0"/>
              <w:autoSpaceDN w:val="0"/>
              <w:adjustRightInd w:val="0"/>
              <w:snapToGrid w:val="0"/>
              <w:spacing w:before="31" w:beforeLines="10" w:after="31" w:afterLines="10"/>
              <w:jc w:val="left"/>
              <w:rPr>
                <w:color w:val="000000"/>
                <w:sz w:val="18"/>
                <w:szCs w:val="18"/>
                <w:highlight w:val="none"/>
              </w:rPr>
            </w:pPr>
          </w:p>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实践5课时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2</w:t>
            </w:r>
          </w:p>
        </w:tc>
        <w:tc>
          <w:tcPr>
            <w:tcW w:w="3334" w:type="pct"/>
            <w:vAlign w:val="center"/>
          </w:tcPr>
          <w:p>
            <w:pPr>
              <w:autoSpaceDE w:val="0"/>
              <w:autoSpaceDN w:val="0"/>
              <w:adjustRightInd w:val="0"/>
              <w:snapToGrid w:val="0"/>
              <w:spacing w:line="280" w:lineRule="exact"/>
              <w:rPr>
                <w:color w:val="000000"/>
                <w:sz w:val="20"/>
                <w:szCs w:val="20"/>
                <w:highlight w:val="none"/>
                <w:lang w:val="zh-CN"/>
              </w:rPr>
            </w:pP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Reading with Proper Intonation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Expressing fears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Using Signpost Languages</w:t>
            </w:r>
          </w:p>
          <w:p>
            <w:pPr>
              <w:autoSpaceDE w:val="0"/>
              <w:autoSpaceDN w:val="0"/>
              <w:adjustRightInd w:val="0"/>
              <w:snapToGrid w:val="0"/>
              <w:spacing w:line="280" w:lineRule="exact"/>
              <w:ind w:left="53"/>
              <w:rPr>
                <w:color w:val="000000"/>
                <w:sz w:val="20"/>
                <w:szCs w:val="20"/>
                <w:highlight w:val="none"/>
                <w:lang w:val="zh-CN"/>
              </w:rPr>
            </w:pPr>
            <w:r>
              <w:rPr>
                <w:rFonts w:hint="eastAsia" w:hAnsi="宋体"/>
                <w:bCs/>
                <w:color w:val="000000"/>
                <w:sz w:val="20"/>
                <w:szCs w:val="20"/>
                <w:highlight w:val="none"/>
              </w:rPr>
              <w:t>知道20个左右新词，熟悉这些词在日常对话、篇章中的运用；</w:t>
            </w:r>
            <w:r>
              <w:rPr>
                <w:rFonts w:hint="eastAsia"/>
                <w:color w:val="000000"/>
                <w:sz w:val="20"/>
                <w:szCs w:val="20"/>
                <w:highlight w:val="none"/>
                <w:lang w:val="zh-CN"/>
              </w:rPr>
              <w:t>运用对话练习所给的已知信息推测对话的主要内容；运用速记技巧记录对话中的关键信息；通过查阅资料了解篇章内容所涉及的背景信息。</w:t>
            </w: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color w:val="000000"/>
                <w:sz w:val="18"/>
                <w:szCs w:val="18"/>
                <w:highlight w:val="none"/>
                <w:lang w:val="zh-CN"/>
              </w:rPr>
              <w:t>运用听力材料中所给的已知信息推测听力的关键信息，并进行速记。</w:t>
            </w:r>
          </w:p>
        </w:tc>
        <w:tc>
          <w:tcPr>
            <w:tcW w:w="432" w:type="pct"/>
          </w:tcPr>
          <w:p>
            <w:pPr>
              <w:autoSpaceDE w:val="0"/>
              <w:autoSpaceDN w:val="0"/>
              <w:adjustRightInd w:val="0"/>
              <w:snapToGrid w:val="0"/>
              <w:spacing w:before="31" w:beforeLines="10" w:after="31" w:afterLines="10"/>
              <w:jc w:val="left"/>
              <w:rPr>
                <w:color w:val="000000"/>
                <w:sz w:val="18"/>
                <w:szCs w:val="18"/>
                <w:highlight w:val="none"/>
              </w:rPr>
            </w:pPr>
            <w:r>
              <w:rPr>
                <w:rFonts w:hint="eastAsia"/>
                <w:color w:val="000000"/>
                <w:sz w:val="18"/>
                <w:szCs w:val="18"/>
                <w:highlight w:val="none"/>
                <w:lang w:val="zh-CN"/>
              </w:rPr>
              <w:t>实践5课时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3</w:t>
            </w:r>
          </w:p>
        </w:tc>
        <w:tc>
          <w:tcPr>
            <w:tcW w:w="3334" w:type="pct"/>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Reading with Prop</w:t>
            </w:r>
            <w:r>
              <w:rPr>
                <w:rFonts w:hint="eastAsia"/>
                <w:color w:val="000000"/>
                <w:sz w:val="20"/>
                <w:szCs w:val="20"/>
                <w:highlight w:val="none"/>
                <w:lang w:val="zh-CN"/>
              </w:rPr>
              <w:t>e</w:t>
            </w:r>
            <w:r>
              <w:rPr>
                <w:rFonts w:hint="eastAsia"/>
                <w:color w:val="000000"/>
                <w:sz w:val="20"/>
                <w:szCs w:val="20"/>
                <w:highlight w:val="none"/>
                <w:lang w:val="en-US" w:eastAsia="zh-CN"/>
              </w:rPr>
              <w:t>r Intonation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Expressing Opinions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Discussing Advantages and Disadvantages</w:t>
            </w:r>
          </w:p>
          <w:p>
            <w:pPr>
              <w:autoSpaceDE w:val="0"/>
              <w:autoSpaceDN w:val="0"/>
              <w:adjustRightInd w:val="0"/>
              <w:snapToGrid w:val="0"/>
              <w:spacing w:line="280" w:lineRule="exact"/>
              <w:ind w:left="53"/>
              <w:rPr>
                <w:color w:val="000000"/>
                <w:sz w:val="20"/>
                <w:szCs w:val="20"/>
                <w:highlight w:val="none"/>
                <w:lang w:val="zh-CN"/>
              </w:rPr>
            </w:pPr>
            <w:r>
              <w:rPr>
                <w:rFonts w:hint="eastAsia" w:hAnsi="宋体"/>
                <w:bCs/>
                <w:color w:val="000000"/>
                <w:sz w:val="20"/>
                <w:szCs w:val="20"/>
                <w:highlight w:val="none"/>
              </w:rPr>
              <w:t>知道20个左右新词，熟悉这些词在日常对话、篇章中的运用；</w:t>
            </w:r>
            <w:r>
              <w:rPr>
                <w:rFonts w:hint="eastAsia"/>
                <w:color w:val="000000"/>
                <w:sz w:val="20"/>
                <w:szCs w:val="20"/>
                <w:highlight w:val="none"/>
                <w:lang w:val="zh-CN"/>
              </w:rPr>
              <w:t>知道听力中的弱读、连读和缩写式；运用速写技巧记笔记；能够区分长短元音；运用已知信息预测篇章中的关键信息和主旨大意。查阅资料了解新闻所涉及的背景信息及词汇知识。</w:t>
            </w: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rPr>
            </w:pPr>
            <w:r>
              <w:rPr>
                <w:rFonts w:hint="eastAsia"/>
                <w:color w:val="000000"/>
                <w:sz w:val="18"/>
                <w:szCs w:val="18"/>
                <w:highlight w:val="none"/>
              </w:rPr>
              <w:t xml:space="preserve"> Saint Louis Science Center 和Vandenberg Air Force Base的相关背景知识。</w:t>
            </w:r>
          </w:p>
          <w:p>
            <w:pPr>
              <w:autoSpaceDE w:val="0"/>
              <w:autoSpaceDN w:val="0"/>
              <w:adjustRightInd w:val="0"/>
              <w:snapToGrid w:val="0"/>
              <w:spacing w:before="31" w:beforeLines="10" w:after="31" w:afterLines="10"/>
              <w:jc w:val="left"/>
              <w:rPr>
                <w:color w:val="000000"/>
                <w:sz w:val="18"/>
                <w:szCs w:val="18"/>
                <w:highlight w:val="none"/>
              </w:rPr>
            </w:pPr>
          </w:p>
        </w:tc>
        <w:tc>
          <w:tcPr>
            <w:tcW w:w="432" w:type="pct"/>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实践5课时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line="280" w:lineRule="exact"/>
              <w:jc w:val="left"/>
              <w:rPr>
                <w:color w:val="000000"/>
                <w:sz w:val="20"/>
                <w:szCs w:val="20"/>
                <w:highlight w:val="none"/>
                <w:lang w:val="zh-CN"/>
              </w:rPr>
            </w:pPr>
            <w:r>
              <w:rPr>
                <w:rFonts w:hint="eastAsia"/>
                <w:color w:val="000000"/>
                <w:sz w:val="20"/>
                <w:szCs w:val="20"/>
                <w:highlight w:val="none"/>
                <w:lang w:val="zh-CN"/>
              </w:rPr>
              <w:t>4</w:t>
            </w:r>
          </w:p>
        </w:tc>
        <w:tc>
          <w:tcPr>
            <w:tcW w:w="3334" w:type="pct"/>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Varying Intonation to Attract Attention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Giving/Responding to Suggestions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Giving Reasons</w:t>
            </w:r>
          </w:p>
          <w:p>
            <w:pPr>
              <w:autoSpaceDE w:val="0"/>
              <w:autoSpaceDN w:val="0"/>
              <w:adjustRightInd w:val="0"/>
              <w:snapToGrid w:val="0"/>
              <w:spacing w:line="280" w:lineRule="exact"/>
              <w:ind w:left="53"/>
              <w:rPr>
                <w:color w:val="000000"/>
                <w:sz w:val="20"/>
                <w:szCs w:val="20"/>
                <w:highlight w:val="none"/>
                <w:lang w:val="zh-CN"/>
              </w:rPr>
            </w:pPr>
            <w:r>
              <w:rPr>
                <w:rFonts w:hint="eastAsia" w:hAnsi="宋体"/>
                <w:bCs/>
                <w:color w:val="000000"/>
                <w:sz w:val="20"/>
                <w:szCs w:val="20"/>
                <w:highlight w:val="none"/>
              </w:rPr>
              <w:t>知道20个左右新词，熟悉这些词在日常对话、篇章中的运用；</w:t>
            </w:r>
            <w:r>
              <w:rPr>
                <w:rFonts w:hint="eastAsia"/>
                <w:color w:val="000000"/>
                <w:sz w:val="20"/>
                <w:szCs w:val="20"/>
                <w:highlight w:val="none"/>
                <w:lang w:val="zh-CN"/>
              </w:rPr>
              <w:t>知道并能在听力中辨别数字的读法；知道中西方与home相关的谚语并了解中西方家庭观念的不同；运用已知信息预测篇章中的关键信息和主旨大意。</w:t>
            </w:r>
          </w:p>
          <w:p>
            <w:pPr>
              <w:tabs>
                <w:tab w:val="left" w:pos="720"/>
              </w:tabs>
              <w:snapToGrid w:val="0"/>
              <w:spacing w:line="280" w:lineRule="exact"/>
              <w:ind w:left="413" w:right="1871"/>
              <w:rPr>
                <w:color w:val="000000"/>
                <w:sz w:val="20"/>
                <w:szCs w:val="20"/>
                <w:highlight w:val="none"/>
                <w:lang w:val="zh-CN"/>
              </w:rPr>
            </w:pP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color w:val="000000"/>
                <w:sz w:val="18"/>
                <w:szCs w:val="18"/>
                <w:highlight w:val="none"/>
                <w:lang w:val="zh-CN"/>
              </w:rPr>
              <w:t>知道数字的英文表达在听力材料中辨别数字的读音。</w:t>
            </w:r>
          </w:p>
        </w:tc>
        <w:tc>
          <w:tcPr>
            <w:tcW w:w="432" w:type="pct"/>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实践5课时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line="280" w:lineRule="exact"/>
              <w:jc w:val="left"/>
              <w:rPr>
                <w:color w:val="000000"/>
                <w:sz w:val="20"/>
                <w:szCs w:val="20"/>
                <w:highlight w:val="none"/>
                <w:lang w:val="zh-CN"/>
              </w:rPr>
            </w:pPr>
            <w:r>
              <w:rPr>
                <w:rFonts w:hint="eastAsia"/>
                <w:color w:val="000000"/>
                <w:sz w:val="20"/>
                <w:szCs w:val="20"/>
                <w:highlight w:val="none"/>
                <w:lang w:val="zh-CN"/>
              </w:rPr>
              <w:t>5</w:t>
            </w:r>
          </w:p>
        </w:tc>
        <w:tc>
          <w:tcPr>
            <w:tcW w:w="3334" w:type="pct"/>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Stressed Words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Giving Responses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Making Emphasis</w:t>
            </w:r>
          </w:p>
          <w:p>
            <w:pPr>
              <w:autoSpaceDE w:val="0"/>
              <w:autoSpaceDN w:val="0"/>
              <w:adjustRightInd w:val="0"/>
              <w:snapToGrid w:val="0"/>
              <w:spacing w:line="280" w:lineRule="exact"/>
              <w:ind w:left="53"/>
              <w:rPr>
                <w:color w:val="000000"/>
                <w:sz w:val="20"/>
                <w:szCs w:val="20"/>
                <w:highlight w:val="none"/>
                <w:lang w:val="zh-CN"/>
              </w:rPr>
            </w:pPr>
            <w:r>
              <w:rPr>
                <w:rFonts w:hint="eastAsia" w:hAnsi="宋体"/>
                <w:bCs/>
                <w:color w:val="000000"/>
                <w:sz w:val="20"/>
                <w:szCs w:val="20"/>
                <w:highlight w:val="none"/>
              </w:rPr>
              <w:t>知道20个左右新词，熟悉这些词在日常对话、篇章中的运用；</w:t>
            </w:r>
            <w:r>
              <w:rPr>
                <w:rFonts w:hint="eastAsia"/>
                <w:color w:val="000000"/>
                <w:sz w:val="20"/>
                <w:szCs w:val="20"/>
                <w:highlight w:val="none"/>
                <w:lang w:val="zh-CN"/>
              </w:rPr>
              <w:t>运用已有的食物词汇进行填空；运用对话练习所给的已知信息推测对话的主要内容和关键信息；通过查阅资料了解新闻内容所涉及的背景信息。</w:t>
            </w: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color w:val="000000"/>
                <w:sz w:val="18"/>
                <w:szCs w:val="18"/>
                <w:highlight w:val="none"/>
                <w:lang w:val="zh-CN"/>
              </w:rPr>
              <w:t>烹饪所需材料的词汇；</w:t>
            </w:r>
            <w:r>
              <w:rPr>
                <w:rFonts w:hint="eastAsia"/>
                <w:color w:val="000000"/>
                <w:sz w:val="18"/>
                <w:szCs w:val="18"/>
                <w:highlight w:val="none"/>
                <w:lang w:val="zh-CN"/>
              </w:rPr>
              <w:t>coffee制作流程的说明</w:t>
            </w:r>
            <w:r>
              <w:rPr>
                <w:color w:val="000000"/>
                <w:sz w:val="18"/>
                <w:szCs w:val="18"/>
                <w:highlight w:val="none"/>
                <w:lang w:val="zh-CN"/>
              </w:rPr>
              <w:t>。</w:t>
            </w:r>
          </w:p>
          <w:p>
            <w:pPr>
              <w:autoSpaceDE w:val="0"/>
              <w:autoSpaceDN w:val="0"/>
              <w:adjustRightInd w:val="0"/>
              <w:snapToGrid w:val="0"/>
              <w:spacing w:before="31" w:beforeLines="10" w:after="31" w:afterLines="10"/>
              <w:jc w:val="center"/>
              <w:rPr>
                <w:color w:val="000000"/>
                <w:sz w:val="18"/>
                <w:szCs w:val="18"/>
                <w:highlight w:val="none"/>
                <w:lang w:val="zh-CN"/>
              </w:rPr>
            </w:pPr>
          </w:p>
        </w:tc>
        <w:tc>
          <w:tcPr>
            <w:tcW w:w="432" w:type="pct"/>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实践6课时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6</w:t>
            </w:r>
          </w:p>
        </w:tc>
        <w:tc>
          <w:tcPr>
            <w:tcW w:w="3334" w:type="pct"/>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Reading in Sense Groups</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Prompting for More Information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highlight w:val="none"/>
                <w:lang w:val="zh-CN"/>
              </w:rPr>
            </w:pPr>
            <w:r>
              <w:rPr>
                <w:rFonts w:hint="eastAsia"/>
                <w:color w:val="000000"/>
                <w:sz w:val="20"/>
                <w:szCs w:val="20"/>
                <w:highlight w:val="none"/>
                <w:lang w:val="en-US" w:eastAsia="zh-CN"/>
              </w:rPr>
              <w:t>Using Persuasion</w:t>
            </w:r>
          </w:p>
          <w:p>
            <w:pPr>
              <w:autoSpaceDE w:val="0"/>
              <w:autoSpaceDN w:val="0"/>
              <w:adjustRightInd w:val="0"/>
              <w:snapToGrid w:val="0"/>
              <w:spacing w:line="280" w:lineRule="exact"/>
              <w:ind w:left="53"/>
              <w:rPr>
                <w:color w:val="000000"/>
                <w:sz w:val="20"/>
                <w:szCs w:val="20"/>
                <w:highlight w:val="none"/>
                <w:lang w:val="zh-CN"/>
              </w:rPr>
            </w:pPr>
            <w:r>
              <w:rPr>
                <w:rFonts w:hint="eastAsia"/>
                <w:color w:val="000000"/>
                <w:sz w:val="20"/>
                <w:szCs w:val="20"/>
                <w:highlight w:val="none"/>
                <w:lang w:val="zh-CN"/>
              </w:rPr>
              <w:t>知道并能在听力材料中辨别时间的英文表达；运用对话练习所给的已知信息推测对话中所需填写词语的词性及意义；通过查阅资料了解新闻内容所涉及的背景信息。</w:t>
            </w:r>
          </w:p>
        </w:tc>
        <w:tc>
          <w:tcPr>
            <w:tcW w:w="980" w:type="pct"/>
            <w:vAlign w:val="center"/>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20"/>
                <w:szCs w:val="20"/>
                <w:highlight w:val="none"/>
                <w:lang w:val="zh-CN"/>
              </w:rPr>
              <w:t>运用对话练习所给的已知信息推测对话中所需填写词语的词性及意义</w:t>
            </w:r>
          </w:p>
        </w:tc>
        <w:tc>
          <w:tcPr>
            <w:tcW w:w="432" w:type="pct"/>
          </w:tcPr>
          <w:p>
            <w:pPr>
              <w:autoSpaceDE w:val="0"/>
              <w:autoSpaceDN w:val="0"/>
              <w:adjustRightInd w:val="0"/>
              <w:snapToGrid w:val="0"/>
              <w:spacing w:before="31" w:beforeLines="10" w:after="31" w:afterLines="10"/>
              <w:jc w:val="left"/>
              <w:rPr>
                <w:color w:val="000000"/>
                <w:sz w:val="18"/>
                <w:szCs w:val="18"/>
                <w:highlight w:val="none"/>
                <w:lang w:val="zh-CN"/>
              </w:rPr>
            </w:pPr>
            <w:r>
              <w:rPr>
                <w:rFonts w:hint="eastAsia"/>
                <w:color w:val="000000"/>
                <w:sz w:val="18"/>
                <w:szCs w:val="18"/>
                <w:highlight w:val="none"/>
                <w:lang w:val="zh-CN"/>
              </w:rPr>
              <w:t>实践6课时</w:t>
            </w:r>
          </w:p>
        </w:tc>
      </w:tr>
    </w:tbl>
    <w:p>
      <w:pPr>
        <w:snapToGrid w:val="0"/>
        <w:spacing w:line="288" w:lineRule="auto"/>
        <w:ind w:firstLine="440" w:firstLineChars="200"/>
        <w:rPr>
          <w:rFonts w:ascii="宋体" w:hAnsi="宋体"/>
          <w:sz w:val="22"/>
          <w:highlight w:val="none"/>
        </w:rPr>
      </w:pPr>
    </w:p>
    <w:p>
      <w:pPr>
        <w:widowControl/>
        <w:spacing w:before="156" w:beforeLines="50" w:after="156"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七、课内实验名称及基本要求</w:t>
      </w:r>
    </w:p>
    <w:tbl>
      <w:tblPr>
        <w:tblStyle w:val="5"/>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1"/>
        <w:gridCol w:w="3241"/>
        <w:gridCol w:w="900"/>
        <w:gridCol w:w="135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highlight w:val="none"/>
              </w:rPr>
            </w:pPr>
            <w:r>
              <w:rPr>
                <w:rFonts w:hint="eastAsia" w:ascii="宋体" w:hAnsi="宋体"/>
                <w:sz w:val="20"/>
                <w:szCs w:val="20"/>
                <w:highlight w:val="none"/>
              </w:rPr>
              <w:t>序号</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highlight w:val="none"/>
              </w:rPr>
            </w:pPr>
            <w:r>
              <w:rPr>
                <w:rFonts w:hint="eastAsia" w:ascii="宋体" w:hAnsi="宋体"/>
                <w:sz w:val="20"/>
                <w:szCs w:val="20"/>
                <w:highlight w:val="none"/>
              </w:rPr>
              <w:t>实验名称</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highlight w:val="none"/>
              </w:rPr>
            </w:pPr>
            <w:r>
              <w:rPr>
                <w:rFonts w:hint="eastAsia" w:ascii="宋体" w:hAnsi="宋体"/>
                <w:sz w:val="20"/>
                <w:szCs w:val="20"/>
                <w:highlight w:val="none"/>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highlight w:val="none"/>
              </w:rPr>
            </w:pPr>
            <w:r>
              <w:rPr>
                <w:rFonts w:hint="eastAsia" w:ascii="宋体" w:hAnsi="宋体"/>
                <w:sz w:val="20"/>
                <w:szCs w:val="20"/>
                <w:highlight w:val="none"/>
              </w:rPr>
              <w:t>实验</w:t>
            </w:r>
          </w:p>
          <w:p>
            <w:pPr>
              <w:snapToGrid w:val="0"/>
              <w:jc w:val="center"/>
              <w:rPr>
                <w:rFonts w:ascii="宋体"/>
                <w:sz w:val="20"/>
                <w:szCs w:val="20"/>
                <w:highlight w:val="none"/>
              </w:rPr>
            </w:pPr>
            <w:r>
              <w:rPr>
                <w:rFonts w:hint="eastAsia" w:ascii="宋体" w:hAnsi="宋体"/>
                <w:sz w:val="20"/>
                <w:szCs w:val="20"/>
                <w:highlight w:val="none"/>
              </w:rPr>
              <w:t>时数</w:t>
            </w:r>
          </w:p>
        </w:tc>
        <w:tc>
          <w:tcPr>
            <w:tcW w:w="1353"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highlight w:val="none"/>
              </w:rPr>
            </w:pPr>
            <w:r>
              <w:rPr>
                <w:rFonts w:hint="eastAsia" w:ascii="宋体"/>
                <w:sz w:val="20"/>
                <w:szCs w:val="20"/>
                <w:highlight w:val="none"/>
              </w:rPr>
              <w:t>实验类型</w:t>
            </w:r>
          </w:p>
        </w:tc>
        <w:tc>
          <w:tcPr>
            <w:tcW w:w="1420"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highlight w:val="none"/>
              </w:rPr>
            </w:pPr>
            <w:r>
              <w:rPr>
                <w:rFonts w:hint="eastAsia" w:ascii="宋体" w:hAnsi="宋体"/>
                <w:sz w:val="20"/>
                <w:szCs w:val="20"/>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highlight w:val="none"/>
              </w:rPr>
            </w:pPr>
            <w:r>
              <w:rPr>
                <w:rFonts w:ascii="宋体" w:hAnsi="宋体" w:cs="宋体"/>
                <w:kern w:val="1"/>
                <w:sz w:val="16"/>
                <w:szCs w:val="16"/>
                <w:highlight w:val="none"/>
              </w:rPr>
              <w:t>1</w:t>
            </w:r>
          </w:p>
        </w:tc>
        <w:tc>
          <w:tcPr>
            <w:tcW w:w="162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对话练习</w:t>
            </w:r>
          </w:p>
        </w:tc>
        <w:tc>
          <w:tcPr>
            <w:tcW w:w="324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课内对话练习、CET</w:t>
            </w:r>
            <w:r>
              <w:rPr>
                <w:rFonts w:hint="eastAsia" w:ascii="宋体" w:hAnsi="宋体" w:cs="宋体"/>
                <w:kern w:val="1"/>
                <w:sz w:val="20"/>
                <w:szCs w:val="20"/>
                <w:highlight w:val="none"/>
              </w:rPr>
              <w:t xml:space="preserve"> 长对话练习</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7</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highlight w:val="none"/>
              </w:rPr>
            </w:pPr>
            <w:r>
              <w:rPr>
                <w:rFonts w:ascii="宋体" w:hAnsi="宋体" w:cs="宋体"/>
                <w:kern w:val="1"/>
                <w:sz w:val="20"/>
                <w:szCs w:val="20"/>
                <w:highlight w:val="none"/>
              </w:rPr>
              <w:t>综合型</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highlight w:val="none"/>
              </w:rPr>
            </w:pPr>
            <w:r>
              <w:rPr>
                <w:rFonts w:ascii="宋体" w:hAnsi="宋体" w:cs="宋体"/>
                <w:kern w:val="1"/>
                <w:sz w:val="16"/>
                <w:szCs w:val="16"/>
                <w:highlight w:val="none"/>
              </w:rPr>
              <w:t>2</w:t>
            </w:r>
          </w:p>
        </w:tc>
        <w:tc>
          <w:tcPr>
            <w:tcW w:w="162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篇章练习</w:t>
            </w:r>
          </w:p>
        </w:tc>
        <w:tc>
          <w:tcPr>
            <w:tcW w:w="324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课内篇章练习，</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7</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highlight w:val="none"/>
              </w:rPr>
            </w:pPr>
            <w:r>
              <w:rPr>
                <w:rFonts w:ascii="宋体" w:hAnsi="宋体" w:cs="宋体"/>
                <w:kern w:val="1"/>
                <w:sz w:val="20"/>
                <w:szCs w:val="20"/>
                <w:highlight w:val="none"/>
              </w:rPr>
              <w:t>综合型</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highlight w:val="none"/>
              </w:rPr>
            </w:pPr>
            <w:r>
              <w:rPr>
                <w:rFonts w:ascii="宋体" w:hAnsi="宋体" w:cs="宋体"/>
                <w:kern w:val="1"/>
                <w:sz w:val="16"/>
                <w:szCs w:val="16"/>
                <w:highlight w:val="none"/>
              </w:rPr>
              <w:t>3</w:t>
            </w:r>
          </w:p>
        </w:tc>
        <w:tc>
          <w:tcPr>
            <w:tcW w:w="162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新闻练习</w:t>
            </w:r>
          </w:p>
        </w:tc>
        <w:tc>
          <w:tcPr>
            <w:tcW w:w="324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VOA</w:t>
            </w:r>
            <w:r>
              <w:rPr>
                <w:rFonts w:hint="eastAsia" w:ascii="宋体" w:hAnsi="宋体" w:cs="宋体"/>
                <w:kern w:val="1"/>
                <w:sz w:val="20"/>
                <w:szCs w:val="20"/>
                <w:highlight w:val="none"/>
              </w:rPr>
              <w:t xml:space="preserve"> </w:t>
            </w:r>
            <w:r>
              <w:rPr>
                <w:rFonts w:ascii="宋体" w:hAnsi="宋体" w:cs="宋体"/>
                <w:kern w:val="1"/>
                <w:sz w:val="20"/>
                <w:szCs w:val="20"/>
                <w:highlight w:val="none"/>
              </w:rPr>
              <w:t>news</w:t>
            </w:r>
            <w:r>
              <w:rPr>
                <w:rFonts w:hint="eastAsia" w:ascii="宋体" w:hAnsi="宋体" w:cs="宋体"/>
                <w:kern w:val="1"/>
                <w:sz w:val="20"/>
                <w:szCs w:val="20"/>
                <w:highlight w:val="none"/>
              </w:rPr>
              <w:t xml:space="preserve">, </w:t>
            </w:r>
            <w:r>
              <w:rPr>
                <w:rFonts w:ascii="宋体" w:hAnsi="宋体" w:cs="宋体"/>
                <w:kern w:val="1"/>
                <w:sz w:val="20"/>
                <w:szCs w:val="20"/>
                <w:highlight w:val="none"/>
              </w:rPr>
              <w:t>BBC</w:t>
            </w:r>
            <w:r>
              <w:rPr>
                <w:rFonts w:hint="eastAsia" w:ascii="宋体" w:hAnsi="宋体" w:cs="宋体"/>
                <w:kern w:val="1"/>
                <w:sz w:val="20"/>
                <w:szCs w:val="20"/>
                <w:highlight w:val="none"/>
              </w:rPr>
              <w:t xml:space="preserve"> </w:t>
            </w:r>
            <w:r>
              <w:rPr>
                <w:rFonts w:ascii="宋体" w:hAnsi="宋体" w:cs="宋体"/>
                <w:kern w:val="1"/>
                <w:sz w:val="20"/>
                <w:szCs w:val="20"/>
                <w:highlight w:val="none"/>
              </w:rPr>
              <w:t>news，</w:t>
            </w:r>
            <w:r>
              <w:rPr>
                <w:rFonts w:hint="eastAsia" w:ascii="宋体" w:hAnsi="宋体" w:cs="宋体"/>
                <w:kern w:val="1"/>
                <w:sz w:val="20"/>
                <w:szCs w:val="20"/>
                <w:highlight w:val="none"/>
              </w:rPr>
              <w:t>NPR news</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8</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highlight w:val="none"/>
              </w:rPr>
            </w:pPr>
            <w:r>
              <w:rPr>
                <w:rFonts w:ascii="宋体" w:hAnsi="宋体" w:cs="宋体"/>
                <w:kern w:val="1"/>
                <w:sz w:val="20"/>
                <w:szCs w:val="20"/>
                <w:highlight w:val="none"/>
              </w:rPr>
              <w:t>综合型</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highlight w:val="none"/>
              </w:rPr>
            </w:pPr>
            <w:r>
              <w:rPr>
                <w:rFonts w:ascii="宋体" w:hAnsi="宋体" w:cs="宋体"/>
                <w:kern w:val="1"/>
                <w:sz w:val="16"/>
                <w:szCs w:val="16"/>
                <w:highlight w:val="none"/>
              </w:rPr>
              <w:t>4</w:t>
            </w:r>
          </w:p>
        </w:tc>
        <w:tc>
          <w:tcPr>
            <w:tcW w:w="162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听写练习</w:t>
            </w:r>
          </w:p>
        </w:tc>
        <w:tc>
          <w:tcPr>
            <w:tcW w:w="324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单词听写、</w:t>
            </w:r>
            <w:r>
              <w:rPr>
                <w:rFonts w:ascii="宋体" w:hAnsi="宋体" w:cs="宋体"/>
                <w:kern w:val="1"/>
                <w:sz w:val="20"/>
                <w:szCs w:val="20"/>
                <w:highlight w:val="none"/>
              </w:rPr>
              <w:t>句子听写、 篇章听写</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5</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highlight w:val="none"/>
              </w:rPr>
            </w:pPr>
            <w:r>
              <w:rPr>
                <w:rFonts w:ascii="宋体" w:hAnsi="宋体" w:cs="宋体"/>
                <w:kern w:val="1"/>
                <w:sz w:val="20"/>
                <w:szCs w:val="20"/>
                <w:highlight w:val="none"/>
              </w:rPr>
              <w:t>综合型</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highlight w:val="none"/>
              </w:rPr>
            </w:pPr>
            <w:r>
              <w:rPr>
                <w:rFonts w:hint="eastAsia" w:ascii="宋体" w:hAnsi="宋体" w:cs="宋体"/>
                <w:kern w:val="1"/>
                <w:sz w:val="16"/>
                <w:szCs w:val="16"/>
                <w:highlight w:val="none"/>
              </w:rPr>
              <w:t>5</w:t>
            </w:r>
          </w:p>
        </w:tc>
        <w:tc>
          <w:tcPr>
            <w:tcW w:w="162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PPT展示</w:t>
            </w:r>
          </w:p>
        </w:tc>
        <w:tc>
          <w:tcPr>
            <w:tcW w:w="3241"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ascii="宋体" w:hAnsi="宋体" w:cs="宋体"/>
                <w:kern w:val="1"/>
                <w:sz w:val="20"/>
                <w:szCs w:val="20"/>
                <w:highlight w:val="none"/>
              </w:rPr>
              <w:t>课内听力材料相关背景展示</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r>
              <w:rPr>
                <w:rFonts w:hint="eastAsia" w:ascii="宋体" w:hAnsi="宋体" w:cs="宋体"/>
                <w:kern w:val="1"/>
                <w:sz w:val="20"/>
                <w:szCs w:val="20"/>
                <w:highlight w:val="none"/>
              </w:rPr>
              <w:t>5</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highlight w:val="none"/>
              </w:rPr>
            </w:pPr>
            <w:r>
              <w:rPr>
                <w:rFonts w:ascii="宋体" w:hAnsi="宋体" w:cs="宋体"/>
                <w:kern w:val="1"/>
                <w:sz w:val="20"/>
                <w:szCs w:val="20"/>
                <w:highlight w:val="none"/>
              </w:rPr>
              <w:t>综合型</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highlight w:val="none"/>
              </w:rPr>
            </w:pPr>
          </w:p>
        </w:tc>
      </w:tr>
    </w:tbl>
    <w:p>
      <w:pPr>
        <w:snapToGrid w:val="0"/>
        <w:spacing w:line="288" w:lineRule="auto"/>
        <w:ind w:right="2520" w:firstLine="480" w:firstLineChars="200"/>
        <w:rPr>
          <w:rFonts w:ascii="黑体" w:hAnsi="宋体" w:eastAsia="黑体"/>
          <w:sz w:val="24"/>
          <w:highlight w:val="none"/>
        </w:rPr>
      </w:pPr>
    </w:p>
    <w:p>
      <w:pPr>
        <w:snapToGrid w:val="0"/>
        <w:spacing w:line="288" w:lineRule="auto"/>
        <w:ind w:right="2520" w:firstLine="480" w:firstLineChars="200"/>
        <w:rPr>
          <w:rFonts w:ascii="黑体" w:hAnsi="宋体" w:eastAsia="黑体"/>
          <w:sz w:val="24"/>
          <w:highlight w:val="none"/>
        </w:rPr>
      </w:pPr>
    </w:p>
    <w:p>
      <w:pPr>
        <w:snapToGrid w:val="0"/>
        <w:spacing w:line="288" w:lineRule="auto"/>
        <w:ind w:right="2520" w:firstLine="480" w:firstLineChars="200"/>
        <w:rPr>
          <w:rFonts w:ascii="黑体" w:hAnsi="宋体" w:eastAsia="黑体"/>
          <w:sz w:val="24"/>
          <w:highlight w:val="none"/>
        </w:rPr>
      </w:pPr>
    </w:p>
    <w:p>
      <w:pPr>
        <w:rPr>
          <w:rFonts w:hint="eastAsia" w:ascii="黑体" w:hAnsi="宋体" w:eastAsia="黑体"/>
          <w:sz w:val="24"/>
          <w:highlight w:val="none"/>
        </w:rPr>
      </w:pPr>
      <w:r>
        <w:rPr>
          <w:rFonts w:hint="eastAsia" w:ascii="黑体" w:hAnsi="宋体" w:eastAsia="黑体"/>
          <w:sz w:val="24"/>
          <w:highlight w:val="none"/>
        </w:rPr>
        <w:br w:type="page"/>
      </w:r>
    </w:p>
    <w:p>
      <w:pPr>
        <w:snapToGrid w:val="0"/>
        <w:spacing w:line="288" w:lineRule="auto"/>
        <w:ind w:right="2520" w:firstLine="480" w:firstLineChars="200"/>
        <w:rPr>
          <w:sz w:val="20"/>
          <w:szCs w:val="20"/>
          <w:highlight w:val="none"/>
        </w:rPr>
      </w:pPr>
      <w:r>
        <w:rPr>
          <w:rFonts w:hint="eastAsia" w:ascii="黑体" w:hAnsi="宋体" w:eastAsia="黑体"/>
          <w:sz w:val="24"/>
          <w:highlight w:val="none"/>
        </w:rPr>
        <w:t>八、评价方式与成绩</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464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napToGrid w:val="0"/>
              <w:spacing w:before="156" w:beforeLines="50" w:after="156" w:afterLines="50"/>
              <w:rPr>
                <w:rFonts w:ascii="宋体" w:hAnsi="宋体"/>
                <w:bCs/>
                <w:color w:val="000000"/>
                <w:szCs w:val="20"/>
                <w:highlight w:val="none"/>
              </w:rPr>
            </w:pPr>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464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评价方式</w:t>
            </w:r>
          </w:p>
        </w:tc>
        <w:tc>
          <w:tcPr>
            <w:tcW w:w="2127"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 xml:space="preserve"> 期末</w:t>
            </w:r>
            <w:r>
              <w:rPr>
                <w:rFonts w:ascii="宋体" w:hAnsi="宋体" w:eastAsiaTheme="minorEastAsia"/>
                <w:bCs/>
                <w:color w:val="000000"/>
                <w:szCs w:val="20"/>
                <w:highlight w:val="none"/>
              </w:rPr>
              <w:t>考试（</w:t>
            </w:r>
            <w:r>
              <w:rPr>
                <w:rFonts w:hint="eastAsia" w:ascii="宋体" w:hAnsi="宋体" w:eastAsiaTheme="minorEastAsia"/>
                <w:bCs/>
                <w:color w:val="000000"/>
                <w:szCs w:val="20"/>
                <w:highlight w:val="none"/>
              </w:rPr>
              <w:t>1</w:t>
            </w:r>
            <w:r>
              <w:rPr>
                <w:rFonts w:ascii="宋体" w:hAnsi="宋体" w:eastAsiaTheme="minorEastAsia"/>
                <w:bCs/>
                <w:color w:val="000000"/>
                <w:szCs w:val="20"/>
                <w:highlight w:val="none"/>
              </w:rPr>
              <w:t>）</w:t>
            </w:r>
          </w:p>
        </w:tc>
        <w:tc>
          <w:tcPr>
            <w:tcW w:w="4649" w:type="dxa"/>
            <w:shd w:val="clear" w:color="auto" w:fill="auto"/>
          </w:tcPr>
          <w:p>
            <w:pPr>
              <w:spacing w:line="288" w:lineRule="auto"/>
              <w:ind w:firstLine="420" w:firstLineChars="20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纸笔</w:t>
            </w:r>
            <w:r>
              <w:rPr>
                <w:rFonts w:ascii="宋体" w:hAnsi="宋体" w:eastAsiaTheme="minorEastAsia"/>
                <w:bCs/>
                <w:color w:val="000000"/>
                <w:szCs w:val="20"/>
                <w:highlight w:val="none"/>
              </w:rPr>
              <w:t>测试（</w:t>
            </w:r>
            <w:r>
              <w:rPr>
                <w:rFonts w:hint="eastAsia" w:ascii="宋体" w:hAnsi="宋体" w:eastAsiaTheme="minorEastAsia"/>
                <w:bCs/>
                <w:color w:val="000000"/>
                <w:szCs w:val="20"/>
                <w:highlight w:val="none"/>
              </w:rPr>
              <w:t>闭卷</w:t>
            </w:r>
            <w:r>
              <w:rPr>
                <w:rFonts w:ascii="宋体" w:hAnsi="宋体" w:eastAsiaTheme="minorEastAsia"/>
                <w:bCs/>
                <w:color w:val="000000"/>
                <w:szCs w:val="20"/>
                <w:highlight w:val="none"/>
              </w:rPr>
              <w:t>）</w:t>
            </w:r>
          </w:p>
        </w:tc>
        <w:tc>
          <w:tcPr>
            <w:tcW w:w="2127"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过程</w:t>
            </w:r>
            <w:r>
              <w:rPr>
                <w:rFonts w:ascii="宋体" w:hAnsi="宋体" w:eastAsiaTheme="minorEastAsia"/>
                <w:bCs/>
                <w:color w:val="000000"/>
                <w:szCs w:val="20"/>
                <w:highlight w:val="none"/>
              </w:rPr>
              <w:t>考核</w:t>
            </w:r>
            <w:r>
              <w:rPr>
                <w:rFonts w:hint="eastAsia" w:ascii="宋体" w:hAnsi="宋体" w:eastAsiaTheme="minorEastAsia"/>
                <w:bCs/>
                <w:color w:val="000000"/>
                <w:szCs w:val="20"/>
                <w:highlight w:val="none"/>
              </w:rPr>
              <w:t>1（X</w:t>
            </w:r>
            <w:r>
              <w:rPr>
                <w:rFonts w:ascii="宋体" w:hAnsi="宋体" w:eastAsiaTheme="minorEastAsia"/>
                <w:bCs/>
                <w:color w:val="000000"/>
                <w:szCs w:val="20"/>
                <w:highlight w:val="none"/>
              </w:rPr>
              <w:t>1</w:t>
            </w:r>
            <w:r>
              <w:rPr>
                <w:rFonts w:hint="eastAsia" w:ascii="宋体" w:hAnsi="宋体" w:eastAsiaTheme="minorEastAsia"/>
                <w:bCs/>
                <w:color w:val="000000"/>
                <w:szCs w:val="20"/>
                <w:highlight w:val="none"/>
              </w:rPr>
              <w:t>）</w:t>
            </w:r>
          </w:p>
        </w:tc>
        <w:tc>
          <w:tcPr>
            <w:tcW w:w="4649"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课堂测验（</w:t>
            </w:r>
            <w:r>
              <w:rPr>
                <w:rFonts w:ascii="宋体" w:hAnsi="宋体" w:eastAsiaTheme="minorEastAsia"/>
                <w:bCs/>
                <w:color w:val="000000"/>
                <w:szCs w:val="20"/>
                <w:highlight w:val="none"/>
              </w:rPr>
              <w:t>对话、篇章、听写等</w:t>
            </w:r>
            <w:r>
              <w:rPr>
                <w:rFonts w:hint="eastAsia" w:ascii="宋体" w:hAnsi="宋体" w:eastAsiaTheme="minorEastAsia"/>
                <w:bCs/>
                <w:color w:val="000000"/>
                <w:szCs w:val="20"/>
                <w:highlight w:val="none"/>
              </w:rPr>
              <w:t>）</w:t>
            </w:r>
          </w:p>
        </w:tc>
        <w:tc>
          <w:tcPr>
            <w:tcW w:w="2127"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过程</w:t>
            </w:r>
            <w:r>
              <w:rPr>
                <w:rFonts w:ascii="宋体" w:hAnsi="宋体" w:eastAsiaTheme="minorEastAsia"/>
                <w:bCs/>
                <w:color w:val="000000"/>
                <w:szCs w:val="20"/>
                <w:highlight w:val="none"/>
              </w:rPr>
              <w:t>考核</w:t>
            </w:r>
            <w:r>
              <w:rPr>
                <w:rFonts w:hint="eastAsia" w:ascii="宋体" w:hAnsi="宋体" w:eastAsiaTheme="minorEastAsia"/>
                <w:bCs/>
                <w:color w:val="000000"/>
                <w:szCs w:val="20"/>
                <w:highlight w:val="none"/>
              </w:rPr>
              <w:t>2（X2）</w:t>
            </w:r>
          </w:p>
        </w:tc>
        <w:tc>
          <w:tcPr>
            <w:tcW w:w="4649"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每日听写、实践报告</w:t>
            </w:r>
          </w:p>
        </w:tc>
        <w:tc>
          <w:tcPr>
            <w:tcW w:w="2127"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过程</w:t>
            </w:r>
            <w:r>
              <w:rPr>
                <w:rFonts w:ascii="宋体" w:hAnsi="宋体" w:eastAsiaTheme="minorEastAsia"/>
                <w:bCs/>
                <w:color w:val="000000"/>
                <w:szCs w:val="20"/>
                <w:highlight w:val="none"/>
              </w:rPr>
              <w:t>考核</w:t>
            </w:r>
            <w:r>
              <w:rPr>
                <w:rFonts w:hint="eastAsia" w:ascii="宋体" w:hAnsi="宋体" w:eastAsiaTheme="minorEastAsia"/>
                <w:bCs/>
                <w:color w:val="000000"/>
                <w:szCs w:val="20"/>
                <w:highlight w:val="none"/>
              </w:rPr>
              <w:t>3（X</w:t>
            </w:r>
            <w:r>
              <w:rPr>
                <w:rFonts w:ascii="宋体" w:hAnsi="宋体" w:eastAsiaTheme="minorEastAsia"/>
                <w:bCs/>
                <w:color w:val="000000"/>
                <w:szCs w:val="20"/>
                <w:highlight w:val="none"/>
              </w:rPr>
              <w:t>3</w:t>
            </w:r>
            <w:r>
              <w:rPr>
                <w:rFonts w:hint="eastAsia" w:ascii="宋体" w:hAnsi="宋体" w:eastAsiaTheme="minorEastAsia"/>
                <w:bCs/>
                <w:color w:val="000000"/>
                <w:szCs w:val="20"/>
                <w:highlight w:val="none"/>
              </w:rPr>
              <w:t>）</w:t>
            </w:r>
          </w:p>
        </w:tc>
        <w:tc>
          <w:tcPr>
            <w:tcW w:w="4649"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ascii="宋体" w:hAnsi="宋体" w:eastAsiaTheme="minorEastAsia"/>
                <w:bCs/>
                <w:color w:val="000000"/>
                <w:szCs w:val="20"/>
                <w:highlight w:val="none"/>
              </w:rPr>
              <w:t>课堂口语展示、</w:t>
            </w:r>
            <w:r>
              <w:rPr>
                <w:rFonts w:hint="eastAsia" w:ascii="宋体" w:hAnsi="宋体" w:eastAsiaTheme="minorEastAsia"/>
                <w:bCs/>
                <w:color w:val="000000"/>
                <w:szCs w:val="20"/>
                <w:highlight w:val="none"/>
              </w:rPr>
              <w:t>词汇</w:t>
            </w:r>
            <w:r>
              <w:rPr>
                <w:rFonts w:ascii="宋体" w:hAnsi="宋体" w:eastAsiaTheme="minorEastAsia"/>
                <w:bCs/>
                <w:color w:val="000000"/>
                <w:szCs w:val="20"/>
                <w:highlight w:val="none"/>
              </w:rPr>
              <w:t>听写、作业等</w:t>
            </w:r>
          </w:p>
        </w:tc>
        <w:tc>
          <w:tcPr>
            <w:tcW w:w="2127" w:type="dxa"/>
            <w:shd w:val="clear" w:color="auto" w:fill="auto"/>
          </w:tcPr>
          <w:p>
            <w:pPr>
              <w:snapToGrid w:val="0"/>
              <w:spacing w:before="156" w:beforeLines="50" w:after="156" w:afterLines="50"/>
              <w:jc w:val="center"/>
              <w:rPr>
                <w:rFonts w:ascii="宋体" w:hAnsi="宋体" w:eastAsiaTheme="minorEastAsia"/>
                <w:bCs/>
                <w:color w:val="000000"/>
                <w:szCs w:val="20"/>
                <w:highlight w:val="none"/>
              </w:rPr>
            </w:pPr>
            <w:r>
              <w:rPr>
                <w:rFonts w:hint="eastAsia" w:ascii="宋体" w:hAnsi="宋体" w:eastAsiaTheme="minorEastAsia"/>
                <w:bCs/>
                <w:color w:val="000000"/>
                <w:szCs w:val="20"/>
                <w:highlight w:val="none"/>
              </w:rPr>
              <w:t>15%</w:t>
            </w:r>
          </w:p>
        </w:tc>
      </w:tr>
    </w:tbl>
    <w:p>
      <w:pPr>
        <w:snapToGrid w:val="0"/>
        <w:spacing w:line="288" w:lineRule="auto"/>
        <w:rPr>
          <w:sz w:val="28"/>
          <w:szCs w:val="28"/>
          <w:highlight w:val="none"/>
        </w:rPr>
      </w:pPr>
      <w:r>
        <w:rPr>
          <w:rFonts w:hint="eastAsia"/>
          <w:sz w:val="28"/>
          <w:szCs w:val="28"/>
          <w:highlight w:val="none"/>
        </w:rPr>
        <w:t>撰写人：</w:t>
      </w:r>
      <w:r>
        <w:rPr>
          <w:sz w:val="28"/>
          <w:szCs w:val="28"/>
          <w:highlight w:val="none"/>
        </w:rPr>
        <w:t xml:space="preserve"> </w:t>
      </w:r>
      <w:r>
        <w:rPr>
          <w:sz w:val="28"/>
          <w:szCs w:val="28"/>
          <w:highlight w:val="none"/>
        </w:rPr>
        <w:drawing>
          <wp:inline distT="0" distB="0" distL="114300" distR="114300">
            <wp:extent cx="495300" cy="3333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lum bright="20001"/>
                    </a:blip>
                    <a:stretch>
                      <a:fillRect/>
                    </a:stretch>
                  </pic:blipFill>
                  <pic:spPr>
                    <a:xfrm>
                      <a:off x="0" y="0"/>
                      <a:ext cx="495300" cy="333375"/>
                    </a:xfrm>
                    <a:prstGeom prst="rect">
                      <a:avLst/>
                    </a:prstGeom>
                    <a:noFill/>
                    <a:ln>
                      <a:noFill/>
                    </a:ln>
                  </pic:spPr>
                </pic:pic>
              </a:graphicData>
            </a:graphic>
          </wp:inline>
        </w:drawing>
      </w:r>
      <w:r>
        <w:rPr>
          <w:sz w:val="28"/>
          <w:szCs w:val="28"/>
          <w:highlight w:val="none"/>
        </w:rPr>
        <w:t xml:space="preserve">  </w:t>
      </w:r>
      <w:r>
        <w:rPr>
          <w:rFonts w:hint="eastAsia"/>
          <w:sz w:val="28"/>
          <w:szCs w:val="28"/>
          <w:highlight w:val="none"/>
        </w:rPr>
        <w:t>系主任审核签名：</w:t>
      </w:r>
      <w:r>
        <w:rPr>
          <w:sz w:val="28"/>
          <w:szCs w:val="28"/>
          <w:highlight w:val="none"/>
        </w:rPr>
        <w:t xml:space="preserve"> </w:t>
      </w:r>
      <w:r>
        <w:rPr>
          <w:highlight w:val="none"/>
        </w:rPr>
        <w:drawing>
          <wp:anchor distT="0" distB="0" distL="0" distR="0" simplePos="0" relativeHeight="251660288" behindDoc="1" locked="0" layoutInCell="1" allowOverlap="1">
            <wp:simplePos x="0" y="0"/>
            <wp:positionH relativeFrom="column">
              <wp:posOffset>2984500</wp:posOffset>
            </wp:positionH>
            <wp:positionV relativeFrom="paragraph">
              <wp:posOffset>1910080</wp:posOffset>
            </wp:positionV>
            <wp:extent cx="695325" cy="413385"/>
            <wp:effectExtent l="0" t="0" r="952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5325" cy="413385"/>
                    </a:xfrm>
                    <a:prstGeom prst="rect">
                      <a:avLst/>
                    </a:prstGeom>
                  </pic:spPr>
                </pic:pic>
              </a:graphicData>
            </a:graphic>
          </wp:anchor>
        </w:drawing>
      </w:r>
      <w:r>
        <w:rPr>
          <w:rFonts w:hint="eastAsia"/>
          <w:highlight w:val="none"/>
          <w:lang w:val="en-US" w:eastAsia="zh-CN"/>
        </w:rPr>
        <w:t xml:space="preserve">                </w:t>
      </w:r>
      <w:r>
        <w:rPr>
          <w:rFonts w:hint="eastAsia"/>
          <w:sz w:val="28"/>
          <w:szCs w:val="28"/>
          <w:highlight w:val="none"/>
        </w:rPr>
        <w:t>审核时间：202</w:t>
      </w:r>
      <w:r>
        <w:rPr>
          <w:rFonts w:hint="eastAsia"/>
          <w:sz w:val="28"/>
          <w:szCs w:val="28"/>
          <w:highlight w:val="none"/>
          <w:lang w:val="en-US" w:eastAsia="zh-CN"/>
        </w:rPr>
        <w:t>2.9</w:t>
      </w:r>
      <w:r>
        <w:rPr>
          <w:rFonts w:hint="eastAsia"/>
          <w:sz w:val="28"/>
          <w:szCs w:val="28"/>
          <w:highlight w:val="none"/>
        </w:rPr>
        <w:t xml:space="preserve">                     </w:t>
      </w:r>
    </w:p>
    <w:p>
      <w:pPr>
        <w:rPr>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071269"/>
    <w:rsid w:val="000A602B"/>
    <w:rsid w:val="000C1F5B"/>
    <w:rsid w:val="000F1E09"/>
    <w:rsid w:val="00106F54"/>
    <w:rsid w:val="00107115"/>
    <w:rsid w:val="001072BC"/>
    <w:rsid w:val="001208D6"/>
    <w:rsid w:val="00140A70"/>
    <w:rsid w:val="001B4409"/>
    <w:rsid w:val="001E5829"/>
    <w:rsid w:val="001F4A0B"/>
    <w:rsid w:val="00221902"/>
    <w:rsid w:val="00256B39"/>
    <w:rsid w:val="0026033C"/>
    <w:rsid w:val="002649C9"/>
    <w:rsid w:val="002A17DB"/>
    <w:rsid w:val="002D71A1"/>
    <w:rsid w:val="002D7B69"/>
    <w:rsid w:val="002E3721"/>
    <w:rsid w:val="002F64C6"/>
    <w:rsid w:val="00301EFB"/>
    <w:rsid w:val="00313BBA"/>
    <w:rsid w:val="0032602E"/>
    <w:rsid w:val="00326CC0"/>
    <w:rsid w:val="003367AE"/>
    <w:rsid w:val="00361D02"/>
    <w:rsid w:val="003A2869"/>
    <w:rsid w:val="003B1258"/>
    <w:rsid w:val="004100B0"/>
    <w:rsid w:val="00415563"/>
    <w:rsid w:val="004315EE"/>
    <w:rsid w:val="00432907"/>
    <w:rsid w:val="00446968"/>
    <w:rsid w:val="004549C3"/>
    <w:rsid w:val="00457855"/>
    <w:rsid w:val="0046187F"/>
    <w:rsid w:val="00475DC9"/>
    <w:rsid w:val="00475E81"/>
    <w:rsid w:val="004858A0"/>
    <w:rsid w:val="00486665"/>
    <w:rsid w:val="004A3ACE"/>
    <w:rsid w:val="004D7589"/>
    <w:rsid w:val="0051310B"/>
    <w:rsid w:val="00514FDA"/>
    <w:rsid w:val="00524AFD"/>
    <w:rsid w:val="005467DC"/>
    <w:rsid w:val="00553D03"/>
    <w:rsid w:val="00587500"/>
    <w:rsid w:val="005A547C"/>
    <w:rsid w:val="005B2B6D"/>
    <w:rsid w:val="005B4B4E"/>
    <w:rsid w:val="005E0310"/>
    <w:rsid w:val="005E1722"/>
    <w:rsid w:val="006123C9"/>
    <w:rsid w:val="00624FE1"/>
    <w:rsid w:val="00630ACD"/>
    <w:rsid w:val="00671F93"/>
    <w:rsid w:val="00694920"/>
    <w:rsid w:val="006A07C3"/>
    <w:rsid w:val="006C0536"/>
    <w:rsid w:val="006D7822"/>
    <w:rsid w:val="007208D6"/>
    <w:rsid w:val="00732E15"/>
    <w:rsid w:val="007427EE"/>
    <w:rsid w:val="007434FA"/>
    <w:rsid w:val="00763978"/>
    <w:rsid w:val="0078240C"/>
    <w:rsid w:val="00786FDB"/>
    <w:rsid w:val="00797241"/>
    <w:rsid w:val="007A4A66"/>
    <w:rsid w:val="007B0AC9"/>
    <w:rsid w:val="007B3733"/>
    <w:rsid w:val="007B7C62"/>
    <w:rsid w:val="007C0EFD"/>
    <w:rsid w:val="007D5149"/>
    <w:rsid w:val="0083485B"/>
    <w:rsid w:val="008762E6"/>
    <w:rsid w:val="008A4986"/>
    <w:rsid w:val="008B0DD3"/>
    <w:rsid w:val="008B397C"/>
    <w:rsid w:val="008B47F4"/>
    <w:rsid w:val="008C5884"/>
    <w:rsid w:val="008D77D8"/>
    <w:rsid w:val="00900019"/>
    <w:rsid w:val="00900471"/>
    <w:rsid w:val="00916D13"/>
    <w:rsid w:val="009270CD"/>
    <w:rsid w:val="00944077"/>
    <w:rsid w:val="00982FC6"/>
    <w:rsid w:val="00984C7C"/>
    <w:rsid w:val="0099063E"/>
    <w:rsid w:val="0099152E"/>
    <w:rsid w:val="009C5039"/>
    <w:rsid w:val="009D4C0E"/>
    <w:rsid w:val="009E0E48"/>
    <w:rsid w:val="009E1AEE"/>
    <w:rsid w:val="00A225E5"/>
    <w:rsid w:val="00A32CCC"/>
    <w:rsid w:val="00A67B80"/>
    <w:rsid w:val="00A769B1"/>
    <w:rsid w:val="00A83C3B"/>
    <w:rsid w:val="00AC4834"/>
    <w:rsid w:val="00AC4C45"/>
    <w:rsid w:val="00AC662B"/>
    <w:rsid w:val="00AD33FF"/>
    <w:rsid w:val="00B46F21"/>
    <w:rsid w:val="00B511A5"/>
    <w:rsid w:val="00B736A7"/>
    <w:rsid w:val="00B7651F"/>
    <w:rsid w:val="00B7710F"/>
    <w:rsid w:val="00BB16AE"/>
    <w:rsid w:val="00BC73E8"/>
    <w:rsid w:val="00C12D14"/>
    <w:rsid w:val="00C169BF"/>
    <w:rsid w:val="00C345BD"/>
    <w:rsid w:val="00C56932"/>
    <w:rsid w:val="00C56E09"/>
    <w:rsid w:val="00CA1B91"/>
    <w:rsid w:val="00CA3785"/>
    <w:rsid w:val="00CB162E"/>
    <w:rsid w:val="00CD3487"/>
    <w:rsid w:val="00CE0504"/>
    <w:rsid w:val="00CE7762"/>
    <w:rsid w:val="00CF096B"/>
    <w:rsid w:val="00D10505"/>
    <w:rsid w:val="00D5147F"/>
    <w:rsid w:val="00D642A9"/>
    <w:rsid w:val="00D72456"/>
    <w:rsid w:val="00D802F1"/>
    <w:rsid w:val="00D80E0A"/>
    <w:rsid w:val="00D85CB5"/>
    <w:rsid w:val="00D86658"/>
    <w:rsid w:val="00DF25C7"/>
    <w:rsid w:val="00DF31F6"/>
    <w:rsid w:val="00E12C5F"/>
    <w:rsid w:val="00E16D30"/>
    <w:rsid w:val="00E21D65"/>
    <w:rsid w:val="00E27FA8"/>
    <w:rsid w:val="00E33169"/>
    <w:rsid w:val="00E56F6A"/>
    <w:rsid w:val="00E70904"/>
    <w:rsid w:val="00E92FEB"/>
    <w:rsid w:val="00EB3F8E"/>
    <w:rsid w:val="00EB4C40"/>
    <w:rsid w:val="00EC56AC"/>
    <w:rsid w:val="00ED3A92"/>
    <w:rsid w:val="00EE79EC"/>
    <w:rsid w:val="00EF44B1"/>
    <w:rsid w:val="00F2727E"/>
    <w:rsid w:val="00F31E49"/>
    <w:rsid w:val="00F35AA0"/>
    <w:rsid w:val="00F45CE1"/>
    <w:rsid w:val="00F46E5E"/>
    <w:rsid w:val="00F47C94"/>
    <w:rsid w:val="00F47FAF"/>
    <w:rsid w:val="00F52AF4"/>
    <w:rsid w:val="00F53C91"/>
    <w:rsid w:val="00F5713F"/>
    <w:rsid w:val="00F61246"/>
    <w:rsid w:val="00F66426"/>
    <w:rsid w:val="00F812F6"/>
    <w:rsid w:val="00F830CF"/>
    <w:rsid w:val="00F979FD"/>
    <w:rsid w:val="00FA16A3"/>
    <w:rsid w:val="00FA3038"/>
    <w:rsid w:val="00FB6188"/>
    <w:rsid w:val="024B0C39"/>
    <w:rsid w:val="03E83272"/>
    <w:rsid w:val="05A07E93"/>
    <w:rsid w:val="0A8128A6"/>
    <w:rsid w:val="0BF32A1B"/>
    <w:rsid w:val="10BD2C22"/>
    <w:rsid w:val="11561326"/>
    <w:rsid w:val="22987C80"/>
    <w:rsid w:val="24192CCC"/>
    <w:rsid w:val="378F06AC"/>
    <w:rsid w:val="39A66CD4"/>
    <w:rsid w:val="3CD52CE1"/>
    <w:rsid w:val="3F6D282C"/>
    <w:rsid w:val="410F2E6A"/>
    <w:rsid w:val="4430136C"/>
    <w:rsid w:val="4AB0382B"/>
    <w:rsid w:val="505973E4"/>
    <w:rsid w:val="545F00B9"/>
    <w:rsid w:val="569868B5"/>
    <w:rsid w:val="611F6817"/>
    <w:rsid w:val="66CA1754"/>
    <w:rsid w:val="6F1E65D4"/>
    <w:rsid w:val="6F266C86"/>
    <w:rsid w:val="6F5042C2"/>
    <w:rsid w:val="74316312"/>
    <w:rsid w:val="780F13C8"/>
    <w:rsid w:val="7A3400FC"/>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3073</Words>
  <Characters>3850</Characters>
  <Lines>33</Lines>
  <Paragraphs>9</Paragraphs>
  <TotalTime>0</TotalTime>
  <ScaleCrop>false</ScaleCrop>
  <LinksUpToDate>false</LinksUpToDate>
  <CharactersWithSpaces>3955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2022-11-28T05:08:52Z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7A8DE40CA20C4A3988FA8C818951B550</vt:lpwstr>
  </property>
</Properties>
</file>