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bookmarkStart w:id="0" w:name="_Toc68181938"/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689610</wp:posOffset>
                </wp:positionH>
                <wp:positionV relativeFrom="page">
                  <wp:posOffset>324485</wp:posOffset>
                </wp:positionV>
                <wp:extent cx="2635250" cy="280670"/>
                <wp:effectExtent l="0" t="0" r="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SJQU-QR-JW-033（A0）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.3pt;margin-top:25.55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cX5PQ1AAAAAkBAAAP&#10;AAAAAAAAAAEAIAAAACIAAABkcnMvZG93bnJldi54bWxQSwECFAAUAAAACACHTuJAa1QOrVUCAACd&#10;BAAADgAAAAAAAAABACAAAAAj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SJQU-QR-JW-033（A0）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【德语综合技能】</w:t>
      </w:r>
      <w:bookmarkEnd w:id="0"/>
    </w:p>
    <w:p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 w:cs="宋体"/>
          <w:b/>
          <w:bCs/>
          <w:sz w:val="28"/>
          <w:szCs w:val="28"/>
        </w:rPr>
        <w:t>【German</w:t>
      </w:r>
      <w:r>
        <w:rPr>
          <w:rFonts w:cs="宋体"/>
          <w:b/>
          <w:bCs/>
          <w:sz w:val="28"/>
          <w:szCs w:val="28"/>
        </w:rPr>
        <w:t xml:space="preserve"> </w:t>
      </w:r>
      <w:r>
        <w:rPr>
          <w:rFonts w:hint="eastAsia" w:cs="宋体"/>
          <w:b/>
          <w:bCs/>
          <w:sz w:val="28"/>
          <w:szCs w:val="28"/>
        </w:rPr>
        <w:t>skills】</w:t>
      </w:r>
    </w:p>
    <w:p>
      <w:pPr>
        <w:spacing w:after="156" w:afterLines="50"/>
        <w:ind w:firstLine="480" w:firstLineChars="200"/>
        <w:rPr>
          <w:rFonts w:ascii="黑体" w:hAnsi="黑体" w:eastAsia="黑体"/>
          <w:color w:val="008080"/>
          <w:sz w:val="36"/>
          <w:szCs w:val="36"/>
        </w:rPr>
      </w:pPr>
      <w:bookmarkStart w:id="1" w:name="_Toc67416256"/>
      <w:bookmarkStart w:id="2" w:name="_Toc67416058"/>
      <w:r>
        <w:rPr>
          <w:rFonts w:hint="eastAsia" w:ascii="黑体" w:hAnsi="黑体" w:eastAsia="黑体"/>
          <w:sz w:val="24"/>
          <w:szCs w:val="32"/>
        </w:rPr>
        <w:t>一、基本信息</w:t>
      </w:r>
      <w:bookmarkEnd w:id="1"/>
      <w:bookmarkEnd w:id="2"/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rFonts w:hint="eastAsia" w:cs="宋体"/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t>2020344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</w:rPr>
      </w:pPr>
      <w:r>
        <w:rPr>
          <w:rFonts w:hint="eastAsia" w:cs="宋体"/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cs="宋体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</w:rPr>
      </w:pPr>
      <w:r>
        <w:rPr>
          <w:rFonts w:hint="eastAsia" w:cs="宋体"/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ascii="宋体" w:hAnsi="宋体" w:cs="宋体"/>
          <w:kern w:val="0"/>
          <w:sz w:val="20"/>
          <w:szCs w:val="20"/>
        </w:rPr>
        <w:t>德语</w:t>
      </w:r>
      <w:r>
        <w:rPr>
          <w:rFonts w:hint="eastAsia" w:ascii="宋体" w:hAnsi="宋体" w:cs="宋体"/>
          <w:kern w:val="0"/>
          <w:sz w:val="20"/>
          <w:szCs w:val="20"/>
        </w:rPr>
        <w:t>专业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rFonts w:hint="eastAsia" w:cs="宋体"/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 w:cs="宋体"/>
          <w:color w:val="000000"/>
          <w:sz w:val="20"/>
          <w:szCs w:val="20"/>
        </w:rPr>
        <w:t>院级</w:t>
      </w:r>
      <w:r>
        <w:rPr>
          <w:rFonts w:ascii="宋体" w:hAnsi="宋体" w:cs="宋体"/>
          <w:kern w:val="0"/>
          <w:sz w:val="20"/>
          <w:szCs w:val="20"/>
        </w:rPr>
        <w:t>选修课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b/>
          <w:bCs/>
          <w:color w:val="000000"/>
        </w:rPr>
      </w:pPr>
      <w:r>
        <w:rPr>
          <w:rFonts w:hint="eastAsia" w:cs="宋体"/>
          <w:b/>
          <w:bCs/>
          <w:color w:val="000000"/>
          <w:sz w:val="20"/>
          <w:szCs w:val="20"/>
        </w:rPr>
        <w:t>开课院系：</w:t>
      </w:r>
      <w:r>
        <w:rPr>
          <w:rFonts w:hint="eastAsia" w:cs="宋体"/>
          <w:color w:val="000000"/>
          <w:sz w:val="20"/>
          <w:szCs w:val="20"/>
        </w:rPr>
        <w:t>外国语学院德语系</w:t>
      </w:r>
    </w:p>
    <w:p>
      <w:pPr>
        <w:pStyle w:val="2"/>
        <w:shd w:val="clear" w:color="auto" w:fill="FFFFFF"/>
        <w:snapToGrid w:val="0"/>
        <w:spacing w:before="0" w:after="0"/>
        <w:ind w:left="392"/>
        <w:jc w:val="both"/>
        <w:rPr>
          <w:b w:val="0"/>
          <w:kern w:val="2"/>
          <w:sz w:val="20"/>
          <w:szCs w:val="20"/>
        </w:rPr>
      </w:pPr>
      <w:r>
        <w:rPr>
          <w:rFonts w:hint="eastAsia" w:cs="宋体"/>
          <w:color w:val="000000"/>
          <w:sz w:val="20"/>
          <w:szCs w:val="20"/>
        </w:rPr>
        <w:t>使用教材：</w:t>
      </w:r>
      <w:r>
        <w:rPr>
          <w:color w:val="000000"/>
          <w:sz w:val="20"/>
          <w:szCs w:val="20"/>
        </w:rPr>
        <w:t>【</w:t>
      </w:r>
      <w:r>
        <w:rPr>
          <w:b w:val="0"/>
          <w:kern w:val="2"/>
          <w:sz w:val="20"/>
          <w:szCs w:val="20"/>
        </w:rPr>
        <w:t>新求精德语语法精解与练习（修订版）</w:t>
      </w:r>
      <w:r>
        <w:rPr>
          <w:rFonts w:hint="eastAsia"/>
          <w:b w:val="0"/>
          <w:kern w:val="2"/>
          <w:sz w:val="20"/>
          <w:szCs w:val="20"/>
        </w:rPr>
        <w:t>,同济大学留德预备部，同济大学出版社，2</w:t>
      </w:r>
      <w:r>
        <w:rPr>
          <w:b w:val="0"/>
          <w:kern w:val="2"/>
          <w:sz w:val="20"/>
          <w:szCs w:val="20"/>
        </w:rPr>
        <w:t>013</w:t>
      </w:r>
      <w:r>
        <w:rPr>
          <w:rFonts w:hint="eastAsia"/>
          <w:b w:val="0"/>
          <w:kern w:val="2"/>
          <w:sz w:val="20"/>
          <w:szCs w:val="20"/>
        </w:rPr>
        <w:t>年。</w:t>
      </w:r>
    </w:p>
    <w:p>
      <w:pPr>
        <w:snapToGrid w:val="0"/>
        <w:spacing w:line="288" w:lineRule="auto"/>
        <w:ind w:firstLine="392" w:firstLineChars="196"/>
        <w:rPr>
          <w:rFonts w:cs="宋体"/>
          <w:color w:val="000000"/>
          <w:sz w:val="20"/>
          <w:szCs w:val="20"/>
        </w:rPr>
      </w:pPr>
      <w:r>
        <w:rPr>
          <w:rFonts w:hint="eastAsia"/>
          <w:bCs/>
          <w:sz w:val="20"/>
          <w:szCs w:val="20"/>
        </w:rPr>
        <w:t>《新求精德语中级语法精解与练习（修订版）》，杨建培，同济大学出版社，</w:t>
      </w:r>
      <w:r>
        <w:rPr>
          <w:bCs/>
          <w:sz w:val="20"/>
          <w:szCs w:val="20"/>
        </w:rPr>
        <w:t>20</w:t>
      </w:r>
      <w:r>
        <w:rPr>
          <w:rFonts w:hint="eastAsia"/>
          <w:bCs/>
          <w:sz w:val="20"/>
          <w:szCs w:val="20"/>
        </w:rPr>
        <w:t>1</w:t>
      </w:r>
      <w:r>
        <w:rPr>
          <w:bCs/>
          <w:sz w:val="20"/>
          <w:szCs w:val="20"/>
        </w:rPr>
        <w:t>7</w:t>
      </w:r>
      <w:r>
        <w:rPr>
          <w:rFonts w:hint="eastAsia"/>
          <w:bCs/>
          <w:sz w:val="20"/>
          <w:szCs w:val="20"/>
        </w:rPr>
        <w:t>年</w:t>
      </w:r>
    </w:p>
    <w:p>
      <w:pPr>
        <w:snapToGrid w:val="0"/>
        <w:spacing w:line="288" w:lineRule="auto"/>
        <w:ind w:firstLine="400" w:firstLineChars="200"/>
        <w:rPr>
          <w:bCs/>
          <w:sz w:val="20"/>
          <w:szCs w:val="20"/>
        </w:rPr>
      </w:pPr>
      <w:r>
        <w:rPr>
          <w:rFonts w:hint="eastAsia"/>
          <w:sz w:val="20"/>
          <w:szCs w:val="20"/>
        </w:rPr>
        <w:t>参考书目:</w:t>
      </w:r>
      <w:r>
        <w:rPr>
          <w:bCs/>
          <w:sz w:val="20"/>
          <w:szCs w:val="20"/>
        </w:rPr>
        <w:t xml:space="preserve"> </w:t>
      </w:r>
      <w:r>
        <w:rPr>
          <w:rFonts w:hint="eastAsia"/>
          <w:bCs/>
          <w:sz w:val="20"/>
          <w:szCs w:val="20"/>
        </w:rPr>
        <w:t>《新编德语语法》 蔡幼生， 上海外语教育出版社，2</w:t>
      </w:r>
      <w:r>
        <w:rPr>
          <w:bCs/>
          <w:sz w:val="20"/>
          <w:szCs w:val="20"/>
        </w:rPr>
        <w:t>006年</w:t>
      </w:r>
    </w:p>
    <w:p>
      <w:pPr>
        <w:snapToGrid w:val="0"/>
        <w:spacing w:line="288" w:lineRule="auto"/>
        <w:ind w:left="415" w:leftChars="150" w:hanging="100" w:hangingChars="50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《标准德语语法</w:t>
      </w:r>
      <w:r>
        <w:rPr>
          <w:bCs/>
          <w:sz w:val="20"/>
          <w:szCs w:val="20"/>
        </w:rPr>
        <w:t>—</w:t>
      </w:r>
      <w:r>
        <w:rPr>
          <w:rFonts w:hint="eastAsia"/>
          <w:bCs/>
          <w:sz w:val="20"/>
          <w:szCs w:val="20"/>
        </w:rPr>
        <w:t xml:space="preserve">精解与练习》 </w:t>
      </w:r>
      <w:r>
        <w:rPr>
          <w:bCs/>
          <w:sz w:val="20"/>
          <w:szCs w:val="20"/>
        </w:rPr>
        <w:t>Hilke Dreyer, Richard Schmitt, 王芳译</w:t>
      </w:r>
      <w:r>
        <w:rPr>
          <w:rFonts w:hint="eastAsia"/>
          <w:bCs/>
          <w:sz w:val="20"/>
          <w:szCs w:val="20"/>
        </w:rPr>
        <w:t xml:space="preserve">， 外语教学与研究出版社， </w:t>
      </w:r>
      <w:r>
        <w:rPr>
          <w:bCs/>
          <w:sz w:val="20"/>
          <w:szCs w:val="20"/>
        </w:rPr>
        <w:t>2016年</w:t>
      </w:r>
    </w:p>
    <w:p>
      <w:pPr>
        <w:snapToGrid w:val="0"/>
        <w:spacing w:line="288" w:lineRule="auto"/>
        <w:ind w:firstLine="300" w:firstLineChars="150"/>
        <w:rPr>
          <w:rFonts w:cs="宋体"/>
          <w:color w:val="000000"/>
          <w:sz w:val="20"/>
          <w:szCs w:val="20"/>
        </w:rPr>
      </w:pPr>
      <w:r>
        <w:rPr>
          <w:rFonts w:hint="eastAsia"/>
          <w:bCs/>
          <w:sz w:val="20"/>
          <w:szCs w:val="20"/>
        </w:rPr>
        <w:t>《</w:t>
      </w:r>
      <w:r>
        <w:rPr>
          <w:bCs/>
          <w:sz w:val="20"/>
          <w:szCs w:val="20"/>
        </w:rPr>
        <w:t>新求精德语语法精解与练习</w:t>
      </w:r>
      <w:r>
        <w:rPr>
          <w:rFonts w:hint="eastAsia"/>
          <w:bCs/>
          <w:sz w:val="20"/>
          <w:szCs w:val="20"/>
        </w:rPr>
        <w:t>》 《</w:t>
      </w:r>
      <w:r>
        <w:rPr>
          <w:bCs/>
          <w:sz w:val="20"/>
          <w:szCs w:val="20"/>
        </w:rPr>
        <w:t>新求精德语强化教程</w:t>
      </w:r>
      <w:r>
        <w:rPr>
          <w:rFonts w:hint="eastAsia"/>
          <w:bCs/>
          <w:sz w:val="20"/>
          <w:szCs w:val="20"/>
        </w:rPr>
        <w:t>》教育部直属同济大学留德预备部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  <w:r>
        <w:rPr>
          <w:color w:val="000000"/>
          <w:sz w:val="20"/>
          <w:szCs w:val="20"/>
        </w:rPr>
        <w:t>https://www.zhihuishu.com/</w:t>
      </w:r>
    </w:p>
    <w:p>
      <w:pPr>
        <w:adjustRightInd w:val="0"/>
        <w:snapToGrid w:val="0"/>
        <w:spacing w:line="288" w:lineRule="auto"/>
        <w:ind w:firstLine="402" w:firstLineChars="200"/>
        <w:rPr>
          <w:color w:val="000000"/>
          <w:sz w:val="20"/>
          <w:szCs w:val="20"/>
        </w:rPr>
      </w:pPr>
      <w:r>
        <w:rPr>
          <w:rFonts w:hint="eastAsia" w:cs="宋体"/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中级德语2，2020410，（10）</w:t>
      </w:r>
      <w:r>
        <w:rPr>
          <w:color w:val="000000"/>
          <w:sz w:val="20"/>
          <w:szCs w:val="20"/>
        </w:rPr>
        <w:t>】</w:t>
      </w:r>
    </w:p>
    <w:p>
      <w:pPr>
        <w:adjustRightInd w:val="0"/>
        <w:snapToGrid w:val="0"/>
        <w:spacing w:line="288" w:lineRule="auto"/>
        <w:ind w:firstLine="392" w:firstLineChars="196"/>
        <w:rPr>
          <w:color w:val="000000"/>
          <w:sz w:val="20"/>
          <w:szCs w:val="20"/>
        </w:rPr>
      </w:pPr>
    </w:p>
    <w:p>
      <w:pPr>
        <w:ind w:firstLine="480" w:firstLineChars="200"/>
        <w:rPr>
          <w:rFonts w:ascii="黑体" w:hAnsi="黑体" w:eastAsia="黑体"/>
          <w:sz w:val="24"/>
          <w:szCs w:val="32"/>
        </w:rPr>
      </w:pPr>
      <w:bookmarkStart w:id="3" w:name="_Toc67416059"/>
      <w:bookmarkStart w:id="4" w:name="_Toc67416257"/>
      <w:r>
        <w:rPr>
          <w:rFonts w:ascii="黑体" w:hAnsi="黑体" w:eastAsia="黑体"/>
          <w:sz w:val="24"/>
          <w:szCs w:val="32"/>
        </w:rPr>
        <w:t>二、课程简介</w:t>
      </w:r>
      <w:bookmarkEnd w:id="3"/>
      <w:bookmarkEnd w:id="4"/>
    </w:p>
    <w:p>
      <w:pPr>
        <w:ind w:firstLine="420" w:firstLineChars="200"/>
        <w:rPr>
          <w:color w:val="000000"/>
        </w:rPr>
      </w:pPr>
      <w:r>
        <w:rPr>
          <w:color w:val="000000"/>
        </w:rPr>
        <w:t>本课程是德语专业的一门专业</w:t>
      </w:r>
      <w:r>
        <w:rPr>
          <w:rFonts w:hint="eastAsia"/>
          <w:color w:val="000000"/>
        </w:rPr>
        <w:t>选修</w:t>
      </w:r>
      <w:r>
        <w:rPr>
          <w:color w:val="000000"/>
        </w:rPr>
        <w:t>课程，</w:t>
      </w:r>
      <w:r>
        <w:rPr>
          <w:rFonts w:hint="eastAsia"/>
          <w:color w:val="000000"/>
        </w:rPr>
        <w:t>是德语学习技能的综合提高，把语法、词汇等语言知识的传授、和听说读写等技能训练有机结合，以达到培养有效交际能力的目的。在题材选择、内容安排上，充分考虑德国的国情，以及社会现状</w:t>
      </w:r>
      <w:r>
        <w:rPr>
          <w:color w:val="000000"/>
        </w:rPr>
        <w:t>。通过各种练习，牢固地掌握德语语法，提高运用德语的能力。</w:t>
      </w:r>
      <w:r>
        <w:rPr>
          <w:rFonts w:hint="eastAsia"/>
          <w:szCs w:val="20"/>
        </w:rPr>
        <w:t>各种练习形式带有一点启发性，在一定程度避免了语法练习的机械性和枯燥性，有利于培养学生对德语的学习兴趣，打下全面的德语语言基础基础，提升自己的听说读写译综合技能的水平。</w:t>
      </w:r>
    </w:p>
    <w:p>
      <w:pPr>
        <w:snapToGrid w:val="0"/>
        <w:spacing w:line="288" w:lineRule="auto"/>
        <w:ind w:firstLine="420" w:firstLineChars="200"/>
        <w:rPr>
          <w:szCs w:val="20"/>
        </w:rPr>
      </w:pPr>
    </w:p>
    <w:p>
      <w:pPr>
        <w:ind w:firstLine="240" w:firstLineChars="100"/>
        <w:rPr>
          <w:rFonts w:ascii="黑体" w:hAnsi="黑体" w:eastAsia="黑体"/>
          <w:sz w:val="24"/>
          <w:szCs w:val="32"/>
        </w:rPr>
      </w:pPr>
      <w:bookmarkStart w:id="5" w:name="_Toc67416060"/>
      <w:bookmarkStart w:id="6" w:name="_Toc67416258"/>
      <w:r>
        <w:rPr>
          <w:rFonts w:ascii="黑体" w:hAnsi="黑体" w:eastAsia="黑体"/>
          <w:sz w:val="24"/>
          <w:szCs w:val="32"/>
        </w:rPr>
        <w:t>三、选课建议</w:t>
      </w:r>
      <w:bookmarkEnd w:id="5"/>
      <w:bookmarkEnd w:id="6"/>
    </w:p>
    <w:p>
      <w:pPr>
        <w:snapToGrid w:val="0"/>
        <w:spacing w:line="288" w:lineRule="auto"/>
        <w:ind w:firstLine="400" w:firstLineChars="200"/>
        <w:rPr>
          <w:bCs/>
          <w:color w:val="000000"/>
        </w:rPr>
      </w:pPr>
      <w:r>
        <w:rPr>
          <w:rFonts w:hint="eastAsia"/>
          <w:bCs/>
          <w:color w:val="000000"/>
          <w:sz w:val="20"/>
          <w:szCs w:val="20"/>
        </w:rPr>
        <w:t>《</w:t>
      </w:r>
      <w:r>
        <w:rPr>
          <w:rFonts w:hint="eastAsia" w:cs="宋体"/>
          <w:bCs/>
        </w:rPr>
        <w:t>德语综合技能</w:t>
      </w:r>
      <w:r>
        <w:rPr>
          <w:rFonts w:hint="eastAsia"/>
          <w:bCs/>
          <w:color w:val="000000"/>
        </w:rPr>
        <w:t>》针对大三专业学生开设，需要先修完成《中级德语2》</w:t>
      </w:r>
    </w:p>
    <w:p>
      <w:pPr>
        <w:snapToGrid w:val="0"/>
        <w:spacing w:line="288" w:lineRule="auto"/>
        <w:ind w:firstLine="420" w:firstLineChars="200"/>
        <w:rPr>
          <w:bCs/>
          <w:color w:val="000000"/>
        </w:rPr>
      </w:pPr>
    </w:p>
    <w:p>
      <w:pPr>
        <w:snapToGrid w:val="0"/>
        <w:spacing w:line="288" w:lineRule="auto"/>
        <w:ind w:firstLine="420" w:firstLineChars="200"/>
        <w:rPr>
          <w:bCs/>
          <w:color w:val="000000"/>
        </w:rPr>
      </w:pPr>
    </w:p>
    <w:p>
      <w:pPr>
        <w:ind w:firstLine="240" w:firstLineChars="100"/>
        <w:rPr>
          <w:rFonts w:ascii="黑体" w:hAnsi="黑体" w:eastAsia="黑体"/>
          <w:sz w:val="24"/>
          <w:szCs w:val="32"/>
        </w:rPr>
      </w:pPr>
      <w:bookmarkStart w:id="7" w:name="_Toc67416061"/>
      <w:bookmarkStart w:id="8" w:name="_Toc67416259"/>
      <w:r>
        <w:rPr>
          <w:rFonts w:ascii="黑体" w:hAnsi="黑体" w:eastAsia="黑体"/>
          <w:sz w:val="24"/>
          <w:szCs w:val="32"/>
        </w:rPr>
        <w:t>四</w:t>
      </w:r>
      <w:r>
        <w:rPr>
          <w:rFonts w:hint="eastAsia" w:ascii="黑体" w:hAnsi="黑体" w:eastAsia="黑体"/>
          <w:sz w:val="24"/>
          <w:szCs w:val="32"/>
        </w:rPr>
        <w:t>、</w:t>
      </w:r>
      <w:r>
        <w:rPr>
          <w:rFonts w:ascii="黑体" w:hAnsi="黑体" w:eastAsia="黑体"/>
          <w:sz w:val="24"/>
          <w:szCs w:val="32"/>
        </w:rPr>
        <w:t>课程与</w:t>
      </w:r>
      <w:r>
        <w:rPr>
          <w:rFonts w:hint="eastAsia" w:ascii="黑体" w:hAnsi="黑体" w:eastAsia="黑体"/>
          <w:sz w:val="24"/>
          <w:szCs w:val="32"/>
        </w:rPr>
        <w:t>专业毕业要求</w:t>
      </w:r>
      <w:r>
        <w:rPr>
          <w:rFonts w:ascii="黑体" w:hAnsi="黑体" w:eastAsia="黑体"/>
          <w:sz w:val="24"/>
          <w:szCs w:val="32"/>
        </w:rPr>
        <w:t>的关联性</w:t>
      </w:r>
      <w:bookmarkEnd w:id="7"/>
      <w:bookmarkEnd w:id="8"/>
    </w:p>
    <w:tbl>
      <w:tblPr>
        <w:tblStyle w:val="5"/>
        <w:tblW w:w="84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851"/>
        <w:gridCol w:w="6266"/>
        <w:gridCol w:w="6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0"/>
              </w:rPr>
              <w:t>专业毕业要求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关联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L011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LO111</w:t>
            </w:r>
          </w:p>
        </w:tc>
        <w:tc>
          <w:tcPr>
            <w:tcW w:w="6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倾听他人意见、尊重他人观点、分析他人需求。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LO112</w:t>
            </w:r>
          </w:p>
        </w:tc>
        <w:tc>
          <w:tcPr>
            <w:tcW w:w="6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应用书面或口头形式，阐释自己的观点，有效沟通。</w:t>
            </w:r>
          </w:p>
        </w:tc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L021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LO211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能根据需要确定学习目标，并设计学习计划。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LO212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L031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L0311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掌握德语语言基本理论与知识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L0312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具备扎实的语言基本功和听、说、读、写等语言应用能力。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L032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L0321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掌握德语语言学，具备一定理论基础。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L0322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了解德语文学，掌握相关知识，具有文学鉴赏能力。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L033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LO331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了解德国国情历史和社会概况。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LO332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熟悉中德两国文化差异，能够与德国人进行深入交流。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L034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LO341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掌握一定的商贸知识，了解外贸的基本概念和基本操作。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LO342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具备从事外贸工作的基本技能，能够从事简单的外贸活动。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能用中德文双语撰写外贸函电，填写国际贸易的单证，起草外贸合同。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L035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L0351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掌握笔译技巧，具有较熟练运用德语进行笔译工作的能力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L0352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掌握口译技巧，具有较熟练运用德语进行口译工作的能力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L041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LO411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遵纪守法：遵守校纪校规，具备法律意识。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LO412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诚实守信：为人诚实，信守承诺，尽职尽责。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LO413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爱岗敬业：了解与专业相关的法律法规，在学习和社会实践中遵守职业规范，具备职业道德操守。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LO414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心理健康，能承受学习和生活中的压力。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L051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LO511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在集体活动中能主动担任自己的角色，与其他成员密切合作，共同完成任务。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LO512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有质疑精神，能有逻辑的分析与批判。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B05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LO513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能用创新的方法或者多种方法解决复杂问题或真实问题。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B05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LO514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了解行业前沿知识技术。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B05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L061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LO611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能够根据需要进行专业文献检索。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LO612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能够使用适合的工具来搜集信息，并对信息加以分析、鉴别、判断与整合。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LO613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熟练使用计算机，掌握常用办公软件。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L071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LO711</w:t>
            </w:r>
          </w:p>
        </w:tc>
        <w:tc>
          <w:tcPr>
            <w:tcW w:w="6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爱党爱国：了解祖国的优秀传统文化和革命历史，构建爱党爱国的理想信念。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LO712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助人为乐：富于爱心，懂得感恩，具备助人为乐的品质。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LO713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奉献社会：具有服务企业、服务社会的意愿和行为能力。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LO714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爱护环境：具有爱护环境的意识和与自然和谐相处的环保理念。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L081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L0811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具备外语表达沟通能力，达到本专业的要求。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L0812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理解其他国家历史文化，有跨文化交流能力。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L0813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有国际竞争与合作意识。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</w:tbl>
    <w:p>
      <w:pPr>
        <w:pStyle w:val="10"/>
        <w:ind w:firstLine="420" w:firstLineChars="200"/>
      </w:pPr>
    </w:p>
    <w:p>
      <w:pPr>
        <w:ind w:firstLine="480" w:firstLineChars="200"/>
        <w:rPr>
          <w:rFonts w:ascii="黑体" w:hAnsi="黑体" w:eastAsia="黑体"/>
          <w:sz w:val="24"/>
          <w:szCs w:val="32"/>
        </w:rPr>
      </w:pPr>
      <w:bookmarkStart w:id="9" w:name="_Toc67416260"/>
      <w:bookmarkStart w:id="10" w:name="_Toc67416062"/>
      <w:r>
        <w:rPr>
          <w:rFonts w:hint="eastAsia" w:ascii="黑体" w:hAnsi="黑体" w:eastAsia="黑体"/>
          <w:sz w:val="24"/>
          <w:szCs w:val="32"/>
        </w:rPr>
        <w:t>五、课程目标/课程预期学习成果</w:t>
      </w:r>
      <w:bookmarkEnd w:id="9"/>
      <w:bookmarkEnd w:id="10"/>
    </w:p>
    <w:p>
      <w:pPr>
        <w:snapToGrid w:val="0"/>
        <w:spacing w:line="288" w:lineRule="auto"/>
        <w:ind w:left="420" w:leftChars="200"/>
        <w:rPr>
          <w:color w:val="000000"/>
          <w:sz w:val="20"/>
          <w:szCs w:val="20"/>
        </w:rPr>
      </w:pPr>
    </w:p>
    <w:tbl>
      <w:tblPr>
        <w:tblStyle w:val="5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133"/>
        <w:gridCol w:w="2982"/>
        <w:gridCol w:w="1275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课程预期学习成果</w:t>
            </w: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1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t>LO311</w:t>
            </w: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掌握德语语言基本理论与知识，能够正确完成德语的基本语法练习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课堂讨论、探讨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平时练习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t>LO312</w:t>
            </w: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具备扎实的语言基本功和听、说、读、写等语言应用能力，能满足日常德语交际的要求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课堂练习，课后练习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测试</w:t>
            </w:r>
          </w:p>
          <w:p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平时练习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t>LO811</w:t>
            </w:r>
          </w:p>
          <w:p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具备外语表达沟通能力，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能满足日常德语交际的要求，同时保证基本的准确率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课堂讲授、探讨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期末考试 </w:t>
            </w:r>
          </w:p>
        </w:tc>
      </w:tr>
    </w:tbl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ind w:firstLine="480" w:firstLineChars="200"/>
        <w:rPr>
          <w:rFonts w:ascii="黑体" w:hAnsi="黑体" w:eastAsia="黑体"/>
          <w:sz w:val="24"/>
          <w:szCs w:val="32"/>
        </w:rPr>
      </w:pPr>
      <w:bookmarkStart w:id="11" w:name="_Toc67416261"/>
      <w:bookmarkStart w:id="12" w:name="_Toc67416063"/>
      <w:r>
        <w:rPr>
          <w:rFonts w:ascii="黑体" w:hAnsi="黑体" w:eastAsia="黑体"/>
          <w:sz w:val="24"/>
          <w:szCs w:val="32"/>
        </w:rPr>
        <w:t>六、课程内容</w:t>
      </w:r>
      <w:bookmarkEnd w:id="11"/>
      <w:bookmarkEnd w:id="12"/>
    </w:p>
    <w:p>
      <w:pPr>
        <w:snapToGrid w:val="0"/>
        <w:spacing w:line="288" w:lineRule="auto"/>
        <w:ind w:firstLine="400" w:firstLineChars="200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本课程总课时为</w:t>
      </w:r>
      <w:r>
        <w:rPr>
          <w:bCs/>
          <w:sz w:val="20"/>
          <w:szCs w:val="20"/>
        </w:rPr>
        <w:t>32</w:t>
      </w:r>
      <w:r>
        <w:rPr>
          <w:rFonts w:hint="eastAsia"/>
          <w:bCs/>
          <w:sz w:val="20"/>
          <w:szCs w:val="20"/>
        </w:rPr>
        <w:t>学时，理论课时为</w:t>
      </w:r>
      <w:r>
        <w:rPr>
          <w:bCs/>
          <w:sz w:val="20"/>
          <w:szCs w:val="20"/>
        </w:rPr>
        <w:t>32</w:t>
      </w:r>
      <w:r>
        <w:rPr>
          <w:rFonts w:hint="eastAsia"/>
          <w:bCs/>
          <w:sz w:val="20"/>
          <w:szCs w:val="20"/>
        </w:rPr>
        <w:t>学时，实践课时为</w:t>
      </w:r>
      <w:r>
        <w:rPr>
          <w:bCs/>
          <w:sz w:val="20"/>
          <w:szCs w:val="20"/>
        </w:rPr>
        <w:t>0</w:t>
      </w:r>
      <w:r>
        <w:rPr>
          <w:rFonts w:hint="eastAsia"/>
          <w:bCs/>
          <w:sz w:val="20"/>
          <w:szCs w:val="20"/>
        </w:rPr>
        <w:t>学时。</w:t>
      </w:r>
    </w:p>
    <w:p>
      <w:pPr>
        <w:snapToGrid w:val="0"/>
        <w:spacing w:line="288" w:lineRule="auto"/>
        <w:ind w:firstLine="400" w:firstLineChars="200"/>
        <w:rPr>
          <w:rFonts w:ascii="宋体" w:hAnsi="宋体"/>
          <w:sz w:val="20"/>
          <w:szCs w:val="20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2235"/>
        <w:gridCol w:w="1794"/>
        <w:gridCol w:w="1097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shd w:val="clear" w:color="auto" w:fill="auto"/>
          </w:tcPr>
          <w:p>
            <w:pPr>
              <w:spacing w:before="156" w:beforeLines="50" w:after="156" w:afterLines="50" w:line="288" w:lineRule="auto"/>
              <w:outlineLvl w:val="0"/>
              <w:rPr>
                <w:rFonts w:ascii="黑体" w:hAnsi="宋体" w:eastAsia="黑体"/>
              </w:rPr>
            </w:pPr>
            <w:bookmarkStart w:id="13" w:name="_Toc67648629"/>
            <w:bookmarkStart w:id="14" w:name="_Toc67416064"/>
            <w:bookmarkStart w:id="15" w:name="_Toc67416262"/>
            <w:bookmarkStart w:id="16" w:name="_Toc68181939"/>
            <w:r>
              <w:rPr>
                <w:rFonts w:hint="eastAsia" w:ascii="黑体" w:hAnsi="宋体" w:eastAsia="黑体"/>
              </w:rPr>
              <w:t>单元</w:t>
            </w:r>
            <w:bookmarkEnd w:id="13"/>
            <w:bookmarkEnd w:id="14"/>
            <w:bookmarkEnd w:id="15"/>
            <w:bookmarkEnd w:id="16"/>
          </w:p>
        </w:tc>
        <w:tc>
          <w:tcPr>
            <w:tcW w:w="2235" w:type="dxa"/>
            <w:shd w:val="clear" w:color="auto" w:fill="auto"/>
          </w:tcPr>
          <w:p>
            <w:pPr>
              <w:spacing w:before="156" w:beforeLines="50" w:after="156" w:afterLines="50" w:line="288" w:lineRule="auto"/>
              <w:outlineLvl w:val="0"/>
              <w:rPr>
                <w:rFonts w:ascii="黑体" w:hAnsi="宋体" w:eastAsia="黑体"/>
              </w:rPr>
            </w:pPr>
            <w:bookmarkStart w:id="17" w:name="_Toc67416065"/>
            <w:bookmarkStart w:id="18" w:name="_Toc67416263"/>
            <w:bookmarkStart w:id="19" w:name="_Toc68181940"/>
            <w:bookmarkStart w:id="20" w:name="_Toc67648630"/>
            <w:r>
              <w:rPr>
                <w:rFonts w:hint="eastAsia" w:ascii="黑体" w:hAnsi="宋体" w:eastAsia="黑体"/>
              </w:rPr>
              <w:t>教学内容</w:t>
            </w:r>
            <w:bookmarkEnd w:id="17"/>
            <w:bookmarkEnd w:id="18"/>
            <w:bookmarkEnd w:id="19"/>
            <w:bookmarkEnd w:id="20"/>
          </w:p>
        </w:tc>
        <w:tc>
          <w:tcPr>
            <w:tcW w:w="1794" w:type="dxa"/>
            <w:shd w:val="clear" w:color="auto" w:fill="auto"/>
          </w:tcPr>
          <w:p>
            <w:pPr>
              <w:spacing w:before="156" w:beforeLines="50" w:after="156" w:afterLines="50" w:line="288" w:lineRule="auto"/>
              <w:outlineLvl w:val="0"/>
              <w:rPr>
                <w:rFonts w:ascii="黑体" w:hAnsi="宋体" w:eastAsia="黑体"/>
              </w:rPr>
            </w:pPr>
            <w:bookmarkStart w:id="21" w:name="_Toc67416264"/>
            <w:bookmarkStart w:id="22" w:name="_Toc67416066"/>
            <w:bookmarkStart w:id="23" w:name="_Toc68181941"/>
            <w:bookmarkStart w:id="24" w:name="_Toc67648631"/>
            <w:r>
              <w:rPr>
                <w:rFonts w:hint="eastAsia" w:ascii="黑体" w:hAnsi="宋体" w:eastAsia="黑体"/>
              </w:rPr>
              <w:t>能力要求</w:t>
            </w:r>
            <w:bookmarkEnd w:id="21"/>
            <w:bookmarkEnd w:id="22"/>
            <w:bookmarkEnd w:id="23"/>
            <w:bookmarkEnd w:id="24"/>
          </w:p>
        </w:tc>
        <w:tc>
          <w:tcPr>
            <w:tcW w:w="1097" w:type="dxa"/>
          </w:tcPr>
          <w:p>
            <w:pPr>
              <w:spacing w:before="156" w:beforeLines="50" w:after="156" w:afterLines="50" w:line="288" w:lineRule="auto"/>
              <w:outlineLvl w:val="0"/>
              <w:rPr>
                <w:rFonts w:ascii="黑体" w:hAnsi="宋体" w:eastAsia="黑体"/>
                <w:b/>
              </w:rPr>
            </w:pPr>
            <w:bookmarkStart w:id="25" w:name="_Toc67416067"/>
            <w:bookmarkStart w:id="26" w:name="_Toc67416265"/>
            <w:bookmarkStart w:id="27" w:name="_Toc67648632"/>
            <w:bookmarkStart w:id="28" w:name="_Toc68181942"/>
            <w:r>
              <w:rPr>
                <w:rFonts w:hint="eastAsia" w:ascii="宋体" w:cs="宋体"/>
                <w:b/>
                <w:kern w:val="0"/>
              </w:rPr>
              <w:t>理论课时</w:t>
            </w:r>
            <w:bookmarkEnd w:id="25"/>
            <w:bookmarkEnd w:id="26"/>
            <w:bookmarkEnd w:id="27"/>
            <w:bookmarkEnd w:id="28"/>
          </w:p>
        </w:tc>
        <w:tc>
          <w:tcPr>
            <w:tcW w:w="2205" w:type="dxa"/>
          </w:tcPr>
          <w:p>
            <w:pPr>
              <w:spacing w:before="156" w:beforeLines="50" w:after="156" w:afterLines="50" w:line="288" w:lineRule="auto"/>
              <w:outlineLvl w:val="0"/>
              <w:rPr>
                <w:rFonts w:hint="eastAsia" w:ascii="宋体" w:cs="宋体"/>
                <w:b/>
                <w:kern w:val="0"/>
              </w:rPr>
            </w:pPr>
            <w:r>
              <w:rPr>
                <w:rFonts w:hint="eastAsia" w:ascii="宋体" w:cs="宋体"/>
                <w:b/>
                <w:kern w:val="0"/>
              </w:rPr>
              <w:t>教学重点与难点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shd w:val="clear" w:color="auto" w:fill="auto"/>
          </w:tcPr>
          <w:p>
            <w:pPr>
              <w:spacing w:before="156" w:beforeLines="50" w:after="156" w:afterLines="50" w:line="288" w:lineRule="auto"/>
              <w:outlineLvl w:val="0"/>
              <w:rPr>
                <w:rFonts w:ascii="黑体" w:hAnsi="宋体" w:eastAsia="黑体"/>
              </w:rPr>
            </w:pPr>
            <w:bookmarkStart w:id="29" w:name="_Toc67416068"/>
            <w:bookmarkStart w:id="30" w:name="_Toc67416266"/>
            <w:bookmarkStart w:id="31" w:name="_Toc68181943"/>
            <w:bookmarkStart w:id="32" w:name="_Toc67648633"/>
            <w:r>
              <w:rPr>
                <w:rFonts w:hint="eastAsia" w:ascii="黑体" w:hAnsi="宋体" w:eastAsia="黑体"/>
              </w:rPr>
              <w:t>1</w:t>
            </w:r>
            <w:r>
              <w:rPr>
                <w:rFonts w:ascii="黑体" w:hAnsi="宋体" w:eastAsia="黑体"/>
              </w:rPr>
              <w:t>.</w:t>
            </w:r>
            <w:r>
              <w:rPr>
                <w:rFonts w:hint="eastAsia" w:ascii="黑体" w:hAnsi="宋体" w:eastAsia="黑体"/>
              </w:rPr>
              <w:t>德语语法精讲</w:t>
            </w:r>
            <w:bookmarkEnd w:id="29"/>
            <w:bookmarkEnd w:id="30"/>
            <w:bookmarkEnd w:id="31"/>
            <w:bookmarkEnd w:id="32"/>
          </w:p>
        </w:tc>
        <w:tc>
          <w:tcPr>
            <w:tcW w:w="2235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rFonts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复习德语的重点语法，包括被动态、二虚拟、各式分词、功能动词等。</w:t>
            </w:r>
          </w:p>
          <w:p>
            <w:pPr>
              <w:snapToGrid w:val="0"/>
              <w:spacing w:line="288" w:lineRule="auto"/>
              <w:rPr>
                <w:rFonts w:hAnsi="宋体"/>
                <w:kern w:val="0"/>
              </w:rPr>
            </w:pPr>
          </w:p>
        </w:tc>
        <w:tc>
          <w:tcPr>
            <w:tcW w:w="1794" w:type="dxa"/>
            <w:shd w:val="clear" w:color="auto" w:fill="auto"/>
          </w:tcPr>
          <w:p>
            <w:pPr>
              <w:widowControl/>
              <w:rPr>
                <w:kern w:val="0"/>
              </w:rPr>
            </w:pPr>
            <w:r>
              <w:rPr>
                <w:rFonts w:hint="eastAsia"/>
                <w:kern w:val="0"/>
              </w:rPr>
              <w:t>能够正确完成相对于的语法练习，保证语法正确性。</w:t>
            </w:r>
          </w:p>
          <w:p>
            <w:pPr>
              <w:widowControl/>
              <w:rPr>
                <w:rFonts w:ascii="宋体"/>
              </w:rPr>
            </w:pPr>
          </w:p>
        </w:tc>
        <w:tc>
          <w:tcPr>
            <w:tcW w:w="1097" w:type="dxa"/>
          </w:tcPr>
          <w:p>
            <w:pPr>
              <w:widowControl/>
              <w:rPr>
                <w:kern w:val="0"/>
              </w:rPr>
            </w:pPr>
            <w:r>
              <w:rPr>
                <w:kern w:val="0"/>
              </w:rPr>
              <w:t>20/</w:t>
            </w:r>
          </w:p>
        </w:tc>
        <w:tc>
          <w:tcPr>
            <w:tcW w:w="2205" w:type="dxa"/>
          </w:tcPr>
          <w:p>
            <w:pPr>
              <w:widowControl/>
              <w:rPr>
                <w:kern w:val="0"/>
              </w:rPr>
            </w:pPr>
            <w:r>
              <w:rPr>
                <w:rFonts w:hint="eastAsia"/>
                <w:kern w:val="0"/>
              </w:rPr>
              <w:t>二虚拟的各类用法</w:t>
            </w:r>
          </w:p>
          <w:p>
            <w:pPr>
              <w:widowControl/>
              <w:rPr>
                <w:kern w:val="0"/>
              </w:rPr>
            </w:pPr>
            <w:r>
              <w:rPr>
                <w:rFonts w:hint="eastAsia"/>
                <w:kern w:val="0"/>
              </w:rPr>
              <w:t>分词结构与从句的相互转换</w:t>
            </w:r>
          </w:p>
          <w:p>
            <w:pPr>
              <w:widowControl/>
              <w:rPr>
                <w:rFonts w:hint="eastAsia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shd w:val="clear" w:color="auto" w:fill="auto"/>
          </w:tcPr>
          <w:p>
            <w:pPr>
              <w:spacing w:before="156" w:beforeLines="50" w:after="156" w:afterLines="50" w:line="288" w:lineRule="auto"/>
              <w:outlineLvl w:val="0"/>
              <w:rPr>
                <w:rFonts w:ascii="黑体" w:hAnsi="宋体" w:eastAsia="黑体"/>
              </w:rPr>
            </w:pPr>
            <w:bookmarkStart w:id="33" w:name="_Toc68181944"/>
            <w:bookmarkStart w:id="34" w:name="_Toc67416069"/>
            <w:bookmarkStart w:id="35" w:name="_Toc67648634"/>
            <w:bookmarkStart w:id="36" w:name="_Toc67416267"/>
            <w:r>
              <w:rPr>
                <w:rFonts w:hint="eastAsia" w:ascii="黑体" w:hAnsi="宋体" w:eastAsia="黑体"/>
              </w:rPr>
              <w:t>2</w:t>
            </w:r>
            <w:r>
              <w:rPr>
                <w:rFonts w:ascii="黑体" w:hAnsi="宋体" w:eastAsia="黑体"/>
              </w:rPr>
              <w:t>.</w:t>
            </w:r>
            <w:r>
              <w:rPr>
                <w:rFonts w:hint="eastAsia" w:ascii="黑体" w:hAnsi="宋体" w:eastAsia="黑体"/>
              </w:rPr>
              <w:t>口语</w:t>
            </w:r>
            <w:bookmarkEnd w:id="33"/>
            <w:bookmarkEnd w:id="34"/>
            <w:bookmarkEnd w:id="35"/>
            <w:bookmarkEnd w:id="36"/>
          </w:p>
        </w:tc>
        <w:tc>
          <w:tcPr>
            <w:tcW w:w="2235" w:type="dxa"/>
            <w:shd w:val="clear" w:color="auto" w:fill="auto"/>
          </w:tcPr>
          <w:p>
            <w:pPr>
              <w:snapToGrid w:val="0"/>
              <w:spacing w:line="288" w:lineRule="auto"/>
              <w:rPr>
                <w:rFonts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复习德语口语课中谈论的基本场景，增加一定的学术以及商务场景下的口语对话。</w:t>
            </w:r>
          </w:p>
          <w:p>
            <w:pPr>
              <w:spacing w:before="156" w:beforeLines="50" w:after="156" w:afterLines="50" w:line="288" w:lineRule="auto"/>
              <w:outlineLvl w:val="0"/>
              <w:rPr>
                <w:rFonts w:ascii="黑体" w:hAnsi="宋体" w:eastAsia="黑体"/>
              </w:rPr>
            </w:pPr>
          </w:p>
        </w:tc>
        <w:tc>
          <w:tcPr>
            <w:tcW w:w="1794" w:type="dxa"/>
            <w:shd w:val="clear" w:color="auto" w:fill="auto"/>
          </w:tcPr>
          <w:p>
            <w:pPr>
              <w:spacing w:before="156" w:beforeLines="50" w:after="156" w:afterLines="50" w:line="288" w:lineRule="auto"/>
              <w:outlineLvl w:val="0"/>
              <w:rPr>
                <w:rFonts w:ascii="黑体" w:hAnsi="宋体" w:eastAsia="黑体"/>
              </w:rPr>
            </w:pPr>
            <w:bookmarkStart w:id="37" w:name="_Toc68181945"/>
            <w:bookmarkStart w:id="38" w:name="_Toc67648635"/>
            <w:bookmarkStart w:id="39" w:name="_Toc67416268"/>
            <w:bookmarkStart w:id="40" w:name="_Toc67416070"/>
            <w:r>
              <w:rPr>
                <w:rFonts w:hint="eastAsia" w:ascii="宋体" w:hAnsi="宋体"/>
                <w:sz w:val="20"/>
                <w:szCs w:val="20"/>
              </w:rPr>
              <w:t>运用所学词汇和句型礼貌地、符合场景要求的表达自己想法</w:t>
            </w:r>
            <w:bookmarkEnd w:id="37"/>
            <w:bookmarkEnd w:id="38"/>
            <w:bookmarkEnd w:id="39"/>
            <w:bookmarkEnd w:id="40"/>
          </w:p>
        </w:tc>
        <w:tc>
          <w:tcPr>
            <w:tcW w:w="1097" w:type="dxa"/>
          </w:tcPr>
          <w:p>
            <w:pPr>
              <w:snapToGrid w:val="0"/>
              <w:spacing w:line="288" w:lineRule="auto"/>
              <w:rPr>
                <w:rFonts w:hAnsi="宋体"/>
                <w:kern w:val="0"/>
              </w:rPr>
            </w:pPr>
            <w:r>
              <w:rPr>
                <w:rFonts w:hAnsi="宋体"/>
                <w:kern w:val="0"/>
              </w:rPr>
              <w:t>4/</w:t>
            </w:r>
          </w:p>
        </w:tc>
        <w:tc>
          <w:tcPr>
            <w:tcW w:w="2205" w:type="dxa"/>
          </w:tcPr>
          <w:p>
            <w:pPr>
              <w:snapToGrid w:val="0"/>
              <w:spacing w:line="288" w:lineRule="auto"/>
              <w:rPr>
                <w:rFonts w:hint="eastAsia"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商务及学术场景中的常见句型及固定用法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shd w:val="clear" w:color="auto" w:fill="auto"/>
          </w:tcPr>
          <w:p>
            <w:pPr>
              <w:spacing w:before="156" w:beforeLines="50" w:after="156" w:afterLines="50" w:line="288" w:lineRule="auto"/>
              <w:outlineLvl w:val="0"/>
              <w:rPr>
                <w:rFonts w:ascii="黑体" w:hAnsi="宋体" w:eastAsia="黑体"/>
              </w:rPr>
            </w:pPr>
            <w:bookmarkStart w:id="41" w:name="_Toc68181946"/>
            <w:bookmarkStart w:id="42" w:name="_Toc67648636"/>
            <w:bookmarkStart w:id="43" w:name="_Toc67416071"/>
            <w:bookmarkStart w:id="44" w:name="_Toc67416269"/>
            <w:r>
              <w:rPr>
                <w:rFonts w:ascii="黑体" w:hAnsi="宋体" w:eastAsia="黑体"/>
              </w:rPr>
              <w:t>3.</w:t>
            </w:r>
            <w:r>
              <w:rPr>
                <w:rFonts w:hint="eastAsia" w:ascii="黑体" w:hAnsi="宋体" w:eastAsia="黑体"/>
              </w:rPr>
              <w:t>写作</w:t>
            </w:r>
            <w:bookmarkEnd w:id="41"/>
            <w:bookmarkEnd w:id="42"/>
            <w:bookmarkEnd w:id="43"/>
            <w:bookmarkEnd w:id="44"/>
          </w:p>
        </w:tc>
        <w:tc>
          <w:tcPr>
            <w:tcW w:w="2235" w:type="dxa"/>
            <w:shd w:val="clear" w:color="auto" w:fill="auto"/>
          </w:tcPr>
          <w:p>
            <w:pPr>
              <w:snapToGrid w:val="0"/>
              <w:spacing w:line="288" w:lineRule="auto"/>
              <w:rPr>
                <w:rFonts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复习德语写作的常见类型，尤其是关于议论文写作以及图表描述。</w:t>
            </w:r>
          </w:p>
          <w:p>
            <w:pPr>
              <w:spacing w:before="156" w:beforeLines="50" w:after="156" w:afterLines="50" w:line="288" w:lineRule="auto"/>
              <w:outlineLvl w:val="0"/>
              <w:rPr>
                <w:rFonts w:ascii="黑体" w:hAnsi="宋体" w:eastAsia="黑体"/>
              </w:rPr>
            </w:pPr>
          </w:p>
        </w:tc>
        <w:tc>
          <w:tcPr>
            <w:tcW w:w="1794" w:type="dxa"/>
            <w:shd w:val="clear" w:color="auto" w:fill="auto"/>
          </w:tcPr>
          <w:p>
            <w:pPr>
              <w:snapToGrid w:val="0"/>
              <w:spacing w:line="288" w:lineRule="auto"/>
              <w:rPr>
                <w:rFonts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能够完成简单的图表描述以及议论文写作，知道常用词汇和句型，并且能够运用到自己的文章中。</w:t>
            </w:r>
          </w:p>
        </w:tc>
        <w:tc>
          <w:tcPr>
            <w:tcW w:w="1097" w:type="dxa"/>
          </w:tcPr>
          <w:p>
            <w:pPr>
              <w:snapToGrid w:val="0"/>
              <w:spacing w:line="288" w:lineRule="auto"/>
              <w:rPr>
                <w:rFonts w:hAnsi="宋体"/>
                <w:kern w:val="0"/>
              </w:rPr>
            </w:pPr>
            <w:r>
              <w:rPr>
                <w:rFonts w:hAnsi="宋体"/>
                <w:kern w:val="0"/>
              </w:rPr>
              <w:t>4/</w:t>
            </w:r>
          </w:p>
        </w:tc>
        <w:tc>
          <w:tcPr>
            <w:tcW w:w="2205" w:type="dxa"/>
          </w:tcPr>
          <w:p>
            <w:pPr>
              <w:snapToGrid w:val="0"/>
              <w:spacing w:line="288" w:lineRule="auto"/>
              <w:rPr>
                <w:rFonts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用词用句的精准性</w:t>
            </w:r>
          </w:p>
          <w:p>
            <w:pPr>
              <w:snapToGrid w:val="0"/>
              <w:spacing w:line="288" w:lineRule="auto"/>
              <w:rPr>
                <w:rFonts w:hint="eastAsia"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合适的德语表达词汇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shd w:val="clear" w:color="auto" w:fill="auto"/>
          </w:tcPr>
          <w:p>
            <w:pPr>
              <w:spacing w:before="156" w:beforeLines="50" w:after="156" w:afterLines="50" w:line="288" w:lineRule="auto"/>
              <w:outlineLvl w:val="0"/>
              <w:rPr>
                <w:rFonts w:ascii="黑体" w:hAnsi="宋体" w:eastAsia="黑体"/>
              </w:rPr>
            </w:pPr>
            <w:bookmarkStart w:id="45" w:name="_Toc67648637"/>
            <w:bookmarkStart w:id="46" w:name="_Toc67416270"/>
            <w:bookmarkStart w:id="47" w:name="_Toc67416072"/>
            <w:bookmarkStart w:id="48" w:name="_Toc68181947"/>
            <w:r>
              <w:rPr>
                <w:rFonts w:hint="eastAsia" w:ascii="黑体" w:hAnsi="宋体" w:eastAsia="黑体"/>
              </w:rPr>
              <w:t>4</w:t>
            </w:r>
            <w:r>
              <w:rPr>
                <w:rFonts w:ascii="黑体" w:hAnsi="宋体" w:eastAsia="黑体"/>
              </w:rPr>
              <w:t>.</w:t>
            </w:r>
            <w:r>
              <w:rPr>
                <w:rFonts w:hint="eastAsia" w:ascii="黑体" w:hAnsi="宋体" w:eastAsia="黑体"/>
              </w:rPr>
              <w:t>阅读</w:t>
            </w:r>
            <w:bookmarkEnd w:id="45"/>
            <w:bookmarkEnd w:id="46"/>
            <w:bookmarkEnd w:id="47"/>
            <w:bookmarkEnd w:id="48"/>
          </w:p>
        </w:tc>
        <w:tc>
          <w:tcPr>
            <w:tcW w:w="2235" w:type="dxa"/>
            <w:shd w:val="clear" w:color="auto" w:fill="auto"/>
          </w:tcPr>
          <w:p>
            <w:pPr>
              <w:snapToGrid w:val="0"/>
              <w:spacing w:line="288" w:lineRule="auto"/>
              <w:rPr>
                <w:rFonts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阅读德语科技类及生活类的文章，尤其结合时事，阅读德语最新的文章。</w:t>
            </w:r>
          </w:p>
          <w:p>
            <w:pPr>
              <w:spacing w:before="156" w:beforeLines="50" w:after="156" w:afterLines="50" w:line="288" w:lineRule="auto"/>
              <w:outlineLvl w:val="0"/>
              <w:rPr>
                <w:rFonts w:ascii="黑体" w:hAnsi="宋体" w:eastAsia="黑体"/>
              </w:rPr>
            </w:pPr>
          </w:p>
        </w:tc>
        <w:tc>
          <w:tcPr>
            <w:tcW w:w="1794" w:type="dxa"/>
            <w:shd w:val="clear" w:color="auto" w:fill="auto"/>
          </w:tcPr>
          <w:p>
            <w:pPr>
              <w:snapToGrid w:val="0"/>
              <w:spacing w:line="288" w:lineRule="auto"/>
              <w:rPr>
                <w:rFonts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能够大致理解文章的意思，并能用简单的德语进行概括</w:t>
            </w:r>
          </w:p>
          <w:p>
            <w:pPr>
              <w:spacing w:before="156" w:beforeLines="50" w:after="156" w:afterLines="50" w:line="288" w:lineRule="auto"/>
              <w:outlineLvl w:val="0"/>
              <w:rPr>
                <w:rFonts w:ascii="黑体" w:hAnsi="宋体" w:eastAsia="黑体"/>
              </w:rPr>
            </w:pPr>
          </w:p>
        </w:tc>
        <w:tc>
          <w:tcPr>
            <w:tcW w:w="1097" w:type="dxa"/>
          </w:tcPr>
          <w:p>
            <w:pPr>
              <w:snapToGrid w:val="0"/>
              <w:spacing w:line="288" w:lineRule="auto"/>
              <w:rPr>
                <w:rFonts w:hAnsi="宋体"/>
                <w:kern w:val="0"/>
              </w:rPr>
            </w:pPr>
            <w:r>
              <w:rPr>
                <w:rFonts w:hAnsi="宋体"/>
                <w:kern w:val="0"/>
              </w:rPr>
              <w:t>4/</w:t>
            </w:r>
          </w:p>
        </w:tc>
        <w:tc>
          <w:tcPr>
            <w:tcW w:w="2205" w:type="dxa"/>
          </w:tcPr>
          <w:p>
            <w:pPr>
              <w:snapToGrid w:val="0"/>
              <w:spacing w:line="288" w:lineRule="auto"/>
              <w:rPr>
                <w:rFonts w:hint="eastAsia"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阅读技巧和解题方式</w:t>
            </w:r>
          </w:p>
        </w:tc>
      </w:tr>
    </w:tbl>
    <w:p>
      <w:pPr>
        <w:spacing w:before="156" w:beforeLines="50" w:after="156" w:afterLines="50" w:line="288" w:lineRule="auto"/>
        <w:outlineLvl w:val="0"/>
        <w:rPr>
          <w:rFonts w:ascii="黑体" w:hAnsi="宋体" w:eastAsia="黑体"/>
          <w:sz w:val="24"/>
        </w:rPr>
      </w:pPr>
    </w:p>
    <w:p>
      <w:pPr>
        <w:ind w:firstLine="480" w:firstLineChars="200"/>
        <w:rPr>
          <w:rFonts w:ascii="黑体" w:hAnsi="黑体" w:eastAsia="黑体"/>
          <w:sz w:val="24"/>
          <w:szCs w:val="32"/>
        </w:rPr>
      </w:pPr>
      <w:bookmarkStart w:id="49" w:name="_Toc67416271"/>
      <w:bookmarkStart w:id="50" w:name="_Toc67416073"/>
      <w:r>
        <w:rPr>
          <w:rFonts w:hint="eastAsia" w:ascii="黑体" w:hAnsi="黑体" w:eastAsia="黑体"/>
          <w:sz w:val="24"/>
          <w:szCs w:val="32"/>
        </w:rPr>
        <w:t>七</w:t>
      </w:r>
      <w:r>
        <w:rPr>
          <w:rFonts w:ascii="黑体" w:hAnsi="黑体" w:eastAsia="黑体"/>
          <w:sz w:val="24"/>
          <w:szCs w:val="32"/>
        </w:rPr>
        <w:t>、评价方式与成绩</w:t>
      </w:r>
      <w:bookmarkEnd w:id="49"/>
      <w:bookmarkEnd w:id="50"/>
    </w:p>
    <w:tbl>
      <w:tblPr>
        <w:tblStyle w:val="5"/>
        <w:tblpPr w:leftFromText="180" w:rightFromText="180" w:vertAnchor="text" w:horzAnchor="margin" w:tblpY="271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56" w:beforeLines="50" w:after="156" w:afterLines="50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总评构成（</w:t>
            </w:r>
            <w:r>
              <w:rPr>
                <w:rFonts w:ascii="宋体" w:hAnsi="宋体" w:cs="宋体"/>
                <w:color w:val="000000"/>
              </w:rPr>
              <w:t>1+X</w:t>
            </w:r>
            <w:r>
              <w:rPr>
                <w:rFonts w:hint="eastAsia" w:ascii="宋体" w:hAnsi="宋体" w:cs="宋体"/>
                <w:color w:val="000000"/>
              </w:rPr>
              <w:t>）</w:t>
            </w:r>
          </w:p>
        </w:tc>
        <w:tc>
          <w:tcPr>
            <w:tcW w:w="5103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评价方式</w:t>
            </w:r>
          </w:p>
        </w:tc>
        <w:tc>
          <w:tcPr>
            <w:tcW w:w="2127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</w:t>
            </w:r>
          </w:p>
        </w:tc>
        <w:tc>
          <w:tcPr>
            <w:tcW w:w="5103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期末考查</w:t>
            </w:r>
          </w:p>
        </w:tc>
        <w:tc>
          <w:tcPr>
            <w:tcW w:w="2127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5</w:t>
            </w:r>
            <w:r>
              <w:rPr>
                <w:rFonts w:ascii="宋体" w:hAnsi="宋体"/>
                <w:bCs/>
                <w:color w:val="000000"/>
                <w:szCs w:val="20"/>
              </w:rPr>
              <w:t>5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X1</w:t>
            </w:r>
          </w:p>
        </w:tc>
        <w:tc>
          <w:tcPr>
            <w:tcW w:w="5103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测试</w:t>
            </w:r>
          </w:p>
        </w:tc>
        <w:tc>
          <w:tcPr>
            <w:tcW w:w="2127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15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9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X2</w:t>
            </w:r>
          </w:p>
        </w:tc>
        <w:tc>
          <w:tcPr>
            <w:tcW w:w="5103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平时练习</w:t>
            </w:r>
          </w:p>
        </w:tc>
        <w:tc>
          <w:tcPr>
            <w:tcW w:w="2127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15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X3</w:t>
            </w:r>
          </w:p>
        </w:tc>
        <w:tc>
          <w:tcPr>
            <w:tcW w:w="5103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课堂参与</w:t>
            </w:r>
          </w:p>
        </w:tc>
        <w:tc>
          <w:tcPr>
            <w:tcW w:w="2127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</w:rPr>
              <w:t>5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%</w:t>
            </w:r>
          </w:p>
        </w:tc>
      </w:tr>
    </w:tbl>
    <w:p>
      <w:pPr>
        <w:snapToGrid w:val="0"/>
        <w:spacing w:line="288" w:lineRule="auto"/>
        <w:ind w:firstLine="840" w:firstLineChars="300"/>
        <w:rPr>
          <w:sz w:val="28"/>
          <w:szCs w:val="28"/>
        </w:rPr>
      </w:pPr>
    </w:p>
    <w:p>
      <w:pPr>
        <w:snapToGrid w:val="0"/>
        <w:spacing w:line="288" w:lineRule="auto"/>
        <w:rPr>
          <w:sz w:val="28"/>
          <w:szCs w:val="28"/>
        </w:rPr>
      </w:pPr>
      <w:r>
        <w:rPr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1563370</wp:posOffset>
            </wp:positionH>
            <wp:positionV relativeFrom="paragraph">
              <wp:posOffset>262890</wp:posOffset>
            </wp:positionV>
            <wp:extent cx="792480" cy="597535"/>
            <wp:effectExtent l="0" t="0" r="0" b="0"/>
            <wp:wrapNone/>
            <wp:docPr id="86" name="图片 86" descr="卡通人物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图片 86" descr="卡通人物&#10;&#10;中度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</w:rPr>
        <w:t xml:space="preserve">撰写人：  </w:t>
      </w:r>
      <w:r>
        <w:drawing>
          <wp:inline distT="0" distB="0" distL="0" distR="0">
            <wp:extent cx="1029970" cy="387350"/>
            <wp:effectExtent l="0" t="0" r="0" b="0"/>
            <wp:docPr id="2" name="图片 2" descr="卡通人物&#10;&#10;低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卡通人物&#10;&#10;低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7503" cy="389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系主任审核签名： </w:t>
      </w:r>
      <w:r>
        <w:rPr>
          <w:sz w:val="28"/>
          <w:szCs w:val="28"/>
        </w:rPr>
        <w:t xml:space="preserve"> </w:t>
      </w:r>
      <w:bookmarkStart w:id="51" w:name="_GoBack"/>
      <w:bookmarkEnd w:id="51"/>
    </w:p>
    <w:p>
      <w:r>
        <w:rPr>
          <w:rFonts w:hint="eastAsia"/>
          <w:sz w:val="28"/>
          <w:szCs w:val="28"/>
        </w:rPr>
        <w:t xml:space="preserve">审核时间：  </w:t>
      </w:r>
      <w:r>
        <w:rPr>
          <w:sz w:val="28"/>
          <w:szCs w:val="28"/>
        </w:rPr>
        <w:t>2022年9</w:t>
      </w:r>
      <w:r>
        <w:rPr>
          <w:rFonts w:hint="eastAsia"/>
          <w:sz w:val="28"/>
          <w:szCs w:val="28"/>
        </w:rPr>
        <w:t>月1</w:t>
      </w:r>
      <w:r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 xml:space="preserve">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RmYTJjZTAxZWYzN2RlODRkZTdjOTgxYmEwZmVhMjQifQ=="/>
    <w:docVar w:name="KSO_WPS_MARK_KEY" w:val="17fd3f5f-139b-4e5f-bd9e-f1421afddaf2"/>
  </w:docVars>
  <w:rsids>
    <w:rsidRoot w:val="006B4DE2"/>
    <w:rsid w:val="001112B5"/>
    <w:rsid w:val="001373FF"/>
    <w:rsid w:val="001717AD"/>
    <w:rsid w:val="00184F2E"/>
    <w:rsid w:val="00291B23"/>
    <w:rsid w:val="00477E5C"/>
    <w:rsid w:val="0048747A"/>
    <w:rsid w:val="006B4DE2"/>
    <w:rsid w:val="008123A4"/>
    <w:rsid w:val="00B3404F"/>
    <w:rsid w:val="00BE477C"/>
    <w:rsid w:val="00BE7A0A"/>
    <w:rsid w:val="00EC1C04"/>
    <w:rsid w:val="00FA2E2A"/>
    <w:rsid w:val="05E63E52"/>
    <w:rsid w:val="71F9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100" w:after="90" w:line="360" w:lineRule="auto"/>
      <w:jc w:val="center"/>
      <w:outlineLvl w:val="0"/>
    </w:pPr>
    <w:rPr>
      <w:b/>
      <w:bCs/>
      <w:kern w:val="44"/>
      <w:sz w:val="28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:lang w:val="de-DE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:lang w:val="de-DE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  <w:lang w:val="de-DE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  <w:lang w:val="de-DE"/>
    </w:rPr>
  </w:style>
  <w:style w:type="character" w:customStyle="1" w:styleId="9">
    <w:name w:val="标题 1 字符"/>
    <w:basedOn w:val="6"/>
    <w:link w:val="2"/>
    <w:qFormat/>
    <w:uiPriority w:val="9"/>
    <w:rPr>
      <w:rFonts w:ascii="Times New Roman" w:hAnsi="Times New Roman" w:eastAsia="宋体" w:cs="Times New Roman"/>
      <w:b/>
      <w:bCs/>
      <w:kern w:val="44"/>
      <w:sz w:val="28"/>
      <w:szCs w:val="44"/>
    </w:rPr>
  </w:style>
  <w:style w:type="paragraph" w:customStyle="1" w:styleId="10">
    <w:name w:val="正文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2015</Words>
  <Characters>2302</Characters>
  <Lines>18</Lines>
  <Paragraphs>5</Paragraphs>
  <TotalTime>0</TotalTime>
  <ScaleCrop>false</ScaleCrop>
  <LinksUpToDate>false</LinksUpToDate>
  <CharactersWithSpaces>2323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2022-09-19T01:28:00Z</dcterms:created>
  <dc:creator>17153</dc:creator>
  <cp:lastModifiedBy>Administrator</cp:lastModifiedBy>
  <dcterms:modified xsi:type="dcterms:W3CDTF">2022-11-29T03:51:46Z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B5DF0D7628284ADCB42D8683866AFF88</vt:lpwstr>
  </property>
</Properties>
</file>