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3120" w:firstLineChars="1300"/>
        <w:rPr>
          <w:rFonts w:ascii="方正小标宋简体" w:hAnsi="宋体"/>
          <w:bCs/>
          <w:kern w:val="0"/>
          <w:szCs w:val="21"/>
        </w:rPr>
      </w:pPr>
      <w:r>
        <w:rPr>
          <w:rFonts w:ascii="宋体" w:hAnsi="宋体" w:cs="宋体"/>
          <w:kern w:val="0"/>
          <w:sz w:val="24"/>
          <w:szCs w:val="24"/>
        </w:rPr>
        <mc:AlternateContent>
          <mc:Choice Requires="wps">
            <w:drawing>
              <wp:anchor distT="0" distB="0" distL="114300" distR="114300" simplePos="0" relativeHeight="251659264" behindDoc="0" locked="0" layoutInCell="1" allowOverlap="1">
                <wp:simplePos x="0" y="0"/>
                <wp:positionH relativeFrom="page">
                  <wp:posOffset>683260</wp:posOffset>
                </wp:positionH>
                <wp:positionV relativeFrom="page">
                  <wp:posOffset>451485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SJQU-QR-JW-033（A0）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8pt;margin-top:35.55pt;height:22.1pt;width:207.5pt;mso-position-horizontal-relative:page;mso-position-vertical-relative:page;z-index:251659264;mso-width-relative:page;mso-height-relative:page;" fillcolor="#FFFFFF" filled="t" stroked="f" coordsize="21600,21600" o:gfxdata="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xHJMJ1AAAAAo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SJQU-QR-JW-033（A0）</w:t>
                      </w:r>
                    </w:p>
                  </w:txbxContent>
                </v:textbox>
              </v:shape>
            </w:pict>
          </mc:Fallback>
        </mc:AlternateContent>
      </w:r>
    </w:p>
    <w:p>
      <w:pPr>
        <w:pStyle w:val="2"/>
        <w:jc w:val="center"/>
      </w:pPr>
      <w:r>
        <w:rPr>
          <w:rFonts w:hint="eastAsia"/>
          <w:b/>
          <w:sz w:val="28"/>
          <w:szCs w:val="30"/>
        </w:rPr>
        <w:t>【</w:t>
      </w:r>
      <w:r>
        <w:rPr>
          <w:rFonts w:hint="eastAsia"/>
        </w:rPr>
        <w:t>德语报刊选读】</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A Selection of German Newspaper and Magazine Articles</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hint="eastAsia" w:ascii="黑体" w:hAnsi="宋体" w:eastAsia="黑体"/>
          <w:sz w:val="24"/>
        </w:rPr>
        <w:t>一、基本信息</w:t>
      </w:r>
    </w:p>
    <w:p>
      <w:pPr>
        <w:snapToGrid w:val="0"/>
        <w:spacing w:line="288" w:lineRule="auto"/>
        <w:ind w:firstLine="394" w:firstLineChars="196"/>
        <w:rPr>
          <w:color w:val="000000"/>
          <w:sz w:val="20"/>
          <w:szCs w:val="20"/>
        </w:rPr>
      </w:pPr>
      <w:r>
        <w:rPr>
          <w:rFonts w:hint="eastAsia"/>
          <w:b/>
          <w:bCs/>
          <w:color w:val="000000"/>
          <w:sz w:val="20"/>
          <w:szCs w:val="20"/>
        </w:rPr>
        <w:t>课程代码：</w:t>
      </w:r>
      <w:r>
        <w:rPr>
          <w:color w:val="000000"/>
          <w:sz w:val="20"/>
          <w:szCs w:val="20"/>
        </w:rPr>
        <w:t>【2020486】</w:t>
      </w:r>
    </w:p>
    <w:p>
      <w:pPr>
        <w:snapToGrid w:val="0"/>
        <w:spacing w:line="288" w:lineRule="auto"/>
        <w:ind w:firstLine="394" w:firstLineChars="196"/>
        <w:rPr>
          <w:color w:val="000000"/>
          <w:szCs w:val="21"/>
        </w:rPr>
      </w:pPr>
      <w:r>
        <w:rPr>
          <w:rFonts w:hint="eastAsia"/>
          <w:b/>
          <w:bCs/>
          <w:color w:val="000000"/>
          <w:sz w:val="20"/>
          <w:szCs w:val="20"/>
        </w:rPr>
        <w:t>课程学分：</w:t>
      </w:r>
      <w:r>
        <w:rPr>
          <w:color w:val="000000"/>
          <w:sz w:val="20"/>
          <w:szCs w:val="20"/>
        </w:rPr>
        <w:t>【1】</w:t>
      </w:r>
    </w:p>
    <w:p>
      <w:pPr>
        <w:snapToGrid w:val="0"/>
        <w:spacing w:line="288" w:lineRule="auto"/>
        <w:ind w:firstLine="394" w:firstLineChars="196"/>
        <w:rPr>
          <w:color w:val="000000"/>
          <w:szCs w:val="21"/>
        </w:rPr>
      </w:pPr>
      <w:r>
        <w:rPr>
          <w:rFonts w:hint="eastAsia"/>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b/>
          <w:bCs/>
          <w:color w:val="000000"/>
          <w:szCs w:val="21"/>
        </w:rPr>
      </w:pPr>
      <w:r>
        <w:rPr>
          <w:rFonts w:hint="eastAsia"/>
          <w:b/>
          <w:bCs/>
          <w:color w:val="000000"/>
          <w:sz w:val="20"/>
          <w:szCs w:val="20"/>
        </w:rPr>
        <w:t>开课院系：外国语学院</w:t>
      </w:r>
    </w:p>
    <w:p>
      <w:pPr>
        <w:snapToGrid w:val="0"/>
        <w:spacing w:line="288" w:lineRule="auto"/>
        <w:ind w:firstLine="394" w:firstLineChars="196"/>
        <w:rPr>
          <w:color w:val="000000"/>
          <w:sz w:val="20"/>
          <w:szCs w:val="20"/>
        </w:rPr>
      </w:pPr>
      <w:r>
        <w:rPr>
          <w:rFonts w:hint="eastAsia"/>
          <w:b/>
          <w:bCs/>
          <w:color w:val="000000"/>
          <w:sz w:val="20"/>
          <w:szCs w:val="20"/>
        </w:rPr>
        <w:t>使用教材</w:t>
      </w:r>
      <w:r>
        <w:rPr>
          <w:rFonts w:hint="eastAsia"/>
          <w:color w:val="000000"/>
          <w:sz w:val="20"/>
          <w:szCs w:val="20"/>
        </w:rPr>
        <w:t>：</w:t>
      </w:r>
      <w:r>
        <w:rPr>
          <w:color w:val="000000"/>
          <w:sz w:val="20"/>
          <w:szCs w:val="20"/>
        </w:rPr>
        <w:t>【</w:t>
      </w:r>
      <w:r>
        <w:rPr>
          <w:rFonts w:hint="eastAsia" w:cs="宋体"/>
          <w:color w:val="000000"/>
          <w:sz w:val="20"/>
          <w:szCs w:val="20"/>
        </w:rPr>
        <w:t>《德语报刊导读》，钱汝敏编，上海外语教育出版社，上海，</w:t>
      </w:r>
      <w:r>
        <w:rPr>
          <w:rFonts w:cs="宋体"/>
          <w:color w:val="000000"/>
          <w:sz w:val="20"/>
          <w:szCs w:val="20"/>
        </w:rPr>
        <w:t>2007</w:t>
      </w:r>
    </w:p>
    <w:p>
      <w:pPr>
        <w:snapToGrid w:val="0"/>
        <w:spacing w:line="288" w:lineRule="auto"/>
        <w:ind w:firstLine="400" w:firstLineChars="200"/>
        <w:rPr>
          <w:color w:val="000000"/>
          <w:sz w:val="20"/>
          <w:szCs w:val="20"/>
        </w:rPr>
      </w:pPr>
      <w:r>
        <w:rPr>
          <w:rFonts w:hint="eastAsia"/>
          <w:color w:val="000000"/>
          <w:sz w:val="20"/>
          <w:szCs w:val="20"/>
        </w:rPr>
        <w:t>参考书目：《新编德语报刊阅读》，</w:t>
      </w:r>
      <w:r>
        <w:fldChar w:fldCharType="begin"/>
      </w:r>
      <w:r>
        <w:instrText xml:space="preserve"> HYPERLINK "https://book.jd.com/writer/梁珊珊_1.html" \t "https://item.jd.com/_blank" </w:instrText>
      </w:r>
      <w:r>
        <w:fldChar w:fldCharType="separate"/>
      </w:r>
      <w:r>
        <w:rPr>
          <w:rStyle w:val="8"/>
          <w:rFonts w:hint="eastAsia"/>
          <w:color w:val="000000"/>
          <w:sz w:val="20"/>
          <w:szCs w:val="20"/>
        </w:rPr>
        <w:t>梁珊珊</w:t>
      </w:r>
      <w:r>
        <w:rPr>
          <w:rStyle w:val="8"/>
          <w:rFonts w:hint="eastAsia"/>
          <w:color w:val="000000"/>
          <w:sz w:val="20"/>
          <w:szCs w:val="20"/>
        </w:rPr>
        <w:fldChar w:fldCharType="end"/>
      </w:r>
      <w:r>
        <w:rPr>
          <w:rFonts w:hint="eastAsia"/>
          <w:color w:val="000000"/>
          <w:sz w:val="20"/>
          <w:szCs w:val="20"/>
        </w:rPr>
        <w:t>，上海外语教育出版社，上海，</w:t>
      </w:r>
      <w:r>
        <w:rPr>
          <w:color w:val="000000"/>
          <w:sz w:val="20"/>
          <w:szCs w:val="20"/>
        </w:rPr>
        <w:t>2017</w:t>
      </w:r>
    </w:p>
    <w:p>
      <w:pPr>
        <w:snapToGrid w:val="0"/>
        <w:spacing w:line="288" w:lineRule="auto"/>
        <w:ind w:firstLine="400" w:firstLineChars="200"/>
        <w:rPr>
          <w:rFonts w:cs="宋体"/>
          <w:color w:val="000000"/>
          <w:sz w:val="20"/>
          <w:szCs w:val="20"/>
        </w:rPr>
      </w:pPr>
      <w:r>
        <w:rPr>
          <w:rFonts w:hint="eastAsia" w:cs="宋体"/>
          <w:color w:val="000000"/>
          <w:sz w:val="20"/>
          <w:szCs w:val="20"/>
        </w:rPr>
        <w:t>《时事德语通》，姚晓舟，外语教学与研究出版社，北京，</w:t>
      </w:r>
      <w:r>
        <w:rPr>
          <w:rFonts w:cs="宋体"/>
          <w:color w:val="000000"/>
          <w:sz w:val="20"/>
          <w:szCs w:val="20"/>
        </w:rPr>
        <w:t>2007</w:t>
      </w:r>
    </w:p>
    <w:p>
      <w:pPr>
        <w:snapToGrid w:val="0"/>
        <w:spacing w:line="288" w:lineRule="auto"/>
        <w:ind w:firstLine="400" w:firstLineChars="200"/>
        <w:rPr>
          <w:color w:val="000000"/>
          <w:sz w:val="20"/>
          <w:szCs w:val="20"/>
        </w:rPr>
      </w:pPr>
      <w:r>
        <w:rPr>
          <w:rFonts w:hint="eastAsia" w:cs="宋体"/>
          <w:color w:val="000000"/>
          <w:sz w:val="20"/>
          <w:szCs w:val="20"/>
        </w:rPr>
        <w:t>《新编德语报刊教程》，桂乾元，外语教学与研究出版社，北京，</w:t>
      </w:r>
      <w:r>
        <w:rPr>
          <w:rFonts w:cs="宋体"/>
          <w:color w:val="000000"/>
          <w:sz w:val="20"/>
          <w:szCs w:val="20"/>
        </w:rPr>
        <w:t>2016</w:t>
      </w:r>
      <w:r>
        <w:rPr>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课程网站网址：</w:t>
      </w:r>
      <w:r>
        <w:rPr>
          <w:rFonts w:hint="eastAsia" w:asciiTheme="majorEastAsia" w:hAnsiTheme="majorEastAsia" w:eastAsiaTheme="majorEastAsia"/>
          <w:color w:val="000000"/>
          <w:sz w:val="20"/>
          <w:szCs w:val="20"/>
        </w:rPr>
        <w:t>https</w:t>
      </w:r>
      <w:r>
        <w:rPr>
          <w:b/>
          <w:bCs/>
          <w:color w:val="000000"/>
          <w:sz w:val="20"/>
          <w:szCs w:val="20"/>
        </w:rPr>
        <w:t>://elearning.gench.edu.cn</w:t>
      </w:r>
    </w:p>
    <w:p>
      <w:pPr>
        <w:adjustRightInd w:val="0"/>
        <w:snapToGrid w:val="0"/>
        <w:spacing w:line="288" w:lineRule="auto"/>
        <w:ind w:firstLine="394" w:firstLineChars="196"/>
        <w:rPr>
          <w:color w:val="000000"/>
          <w:sz w:val="20"/>
          <w:szCs w:val="20"/>
        </w:rPr>
      </w:pPr>
      <w:r>
        <w:rPr>
          <w:rFonts w:hint="eastAsia"/>
          <w:b/>
          <w:bCs/>
          <w:color w:val="000000"/>
          <w:sz w:val="20"/>
          <w:szCs w:val="20"/>
        </w:rPr>
        <w:t>先修课程：</w:t>
      </w:r>
      <w:r>
        <w:rPr>
          <w:color w:val="000000"/>
          <w:sz w:val="20"/>
          <w:szCs w:val="20"/>
        </w:rPr>
        <w:t>【</w:t>
      </w:r>
      <w:r>
        <w:rPr>
          <w:rFonts w:hint="eastAsia"/>
          <w:color w:val="000000"/>
          <w:sz w:val="20"/>
          <w:szCs w:val="20"/>
        </w:rPr>
        <w:t>德语阅读</w:t>
      </w:r>
      <w:r>
        <w:rPr>
          <w:color w:val="000000"/>
          <w:sz w:val="20"/>
          <w:szCs w:val="20"/>
        </w:rPr>
        <w:t>2</w:t>
      </w:r>
      <w:r>
        <w:rPr>
          <w:rFonts w:hint="eastAsia"/>
          <w:color w:val="000000"/>
          <w:sz w:val="20"/>
          <w:szCs w:val="20"/>
        </w:rPr>
        <w:t>，</w:t>
      </w:r>
      <w:r>
        <w:rPr>
          <w:color w:val="000000"/>
          <w:sz w:val="20"/>
          <w:szCs w:val="20"/>
        </w:rPr>
        <w:t>2020434</w:t>
      </w:r>
      <w:r>
        <w:rPr>
          <w:rFonts w:hint="eastAsia"/>
          <w:color w:val="000000"/>
          <w:sz w:val="20"/>
          <w:szCs w:val="20"/>
        </w:rPr>
        <w:t>，（</w:t>
      </w:r>
      <w:r>
        <w:rPr>
          <w:color w:val="000000"/>
          <w:sz w:val="20"/>
          <w:szCs w:val="20"/>
        </w:rPr>
        <w:t>2</w:t>
      </w:r>
      <w:r>
        <w:rPr>
          <w:rFonts w:hint="eastAsia"/>
          <w:color w:val="000000"/>
          <w:sz w:val="20"/>
          <w:szCs w:val="20"/>
        </w:rPr>
        <w:t>）</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hint="eastAsia" w:ascii="黑体" w:hAnsi="宋体" w:eastAsia="黑体"/>
          <w:sz w:val="24"/>
        </w:rPr>
        <w:t>二、课程简介</w:t>
      </w:r>
    </w:p>
    <w:p>
      <w:pPr>
        <w:snapToGrid w:val="0"/>
        <w:spacing w:line="288" w:lineRule="auto"/>
        <w:ind w:firstLine="400" w:firstLineChars="200"/>
        <w:rPr>
          <w:color w:val="000000"/>
          <w:sz w:val="20"/>
          <w:szCs w:val="20"/>
        </w:rPr>
      </w:pPr>
      <w:r>
        <w:rPr>
          <w:rFonts w:hint="eastAsia"/>
          <w:color w:val="000000"/>
          <w:sz w:val="20"/>
          <w:szCs w:val="20"/>
        </w:rPr>
        <w:t>本课程面向德语专业本科大四学生，旨在利用原版德语报刊、杂志文章提高阅读理解能力，使用本教材的语言基础至少应达到《欧洲语言共同参考框架》所规定的德语</w:t>
      </w:r>
      <w:r>
        <w:rPr>
          <w:color w:val="000000"/>
          <w:sz w:val="20"/>
          <w:szCs w:val="20"/>
        </w:rPr>
        <w:t>B1</w:t>
      </w:r>
      <w:r>
        <w:rPr>
          <w:rFonts w:hint="eastAsia"/>
          <w:color w:val="000000"/>
          <w:sz w:val="20"/>
          <w:szCs w:val="20"/>
        </w:rPr>
        <w:t>水平，即完成德语阅读</w:t>
      </w:r>
      <w:r>
        <w:rPr>
          <w:color w:val="000000"/>
          <w:sz w:val="20"/>
          <w:szCs w:val="20"/>
        </w:rPr>
        <w:t>1</w:t>
      </w:r>
      <w:r>
        <w:rPr>
          <w:rFonts w:hint="eastAsia"/>
          <w:color w:val="000000"/>
          <w:sz w:val="20"/>
          <w:szCs w:val="20"/>
        </w:rPr>
        <w:t>以及德语阅读</w:t>
      </w:r>
      <w:r>
        <w:rPr>
          <w:color w:val="000000"/>
          <w:sz w:val="20"/>
          <w:szCs w:val="20"/>
        </w:rPr>
        <w:t>2</w:t>
      </w:r>
      <w:r>
        <w:rPr>
          <w:rFonts w:hint="eastAsia"/>
          <w:color w:val="000000"/>
          <w:sz w:val="20"/>
          <w:szCs w:val="20"/>
        </w:rPr>
        <w:t>的先修课程要求。</w:t>
      </w:r>
    </w:p>
    <w:p>
      <w:pPr>
        <w:snapToGrid w:val="0"/>
        <w:spacing w:line="288" w:lineRule="auto"/>
        <w:ind w:firstLine="400"/>
        <w:rPr>
          <w:color w:val="000000"/>
          <w:sz w:val="20"/>
          <w:szCs w:val="20"/>
        </w:rPr>
      </w:pPr>
      <w:r>
        <w:rPr>
          <w:rFonts w:hint="eastAsia"/>
          <w:color w:val="000000"/>
          <w:sz w:val="20"/>
          <w:szCs w:val="20"/>
        </w:rPr>
        <w:t>在本课程中，学生们将会了解到最重要的新闻语篇类型，并且借助不同的语篇例文提高自身的阅读水平和训练不同的阅读策略；课程还介绍有关德国新闻业的知识，指导学生如何独立搜索文献及处理报纸、杂志的文章。</w:t>
      </w:r>
    </w:p>
    <w:p>
      <w:pPr>
        <w:snapToGrid w:val="0"/>
        <w:spacing w:line="288" w:lineRule="auto"/>
        <w:ind w:firstLine="400"/>
        <w:rPr>
          <w:rFonts w:ascii="宋体" w:hAnsi="宋体"/>
          <w:color w:val="000000"/>
          <w:sz w:val="20"/>
          <w:szCs w:val="20"/>
        </w:rPr>
      </w:pPr>
      <w:r>
        <w:rPr>
          <w:rFonts w:hint="eastAsia"/>
          <w:color w:val="000000"/>
          <w:sz w:val="20"/>
          <w:szCs w:val="20"/>
        </w:rPr>
        <w:t>课程目的在于，学生通过本课程提高对新闻语篇的兴趣并受到鼓舞，为自己找到合适的阅读文章，</w:t>
      </w:r>
      <w:r>
        <w:rPr>
          <w:rFonts w:hint="eastAsia" w:ascii="宋体" w:hAnsi="宋体"/>
          <w:color w:val="000000"/>
          <w:sz w:val="20"/>
          <w:szCs w:val="20"/>
        </w:rPr>
        <w:t>提高学生的阅读速度，逐步扩大学生的词汇量，吸收语言和文化背景知识，使学生能顺利阅读并正确理解新闻类题材的文章，并且学会自己检索以及收集信息，并且对于文章的信息有这自己的正确判断。</w:t>
      </w:r>
    </w:p>
    <w:p>
      <w:pPr>
        <w:snapToGrid w:val="0"/>
        <w:spacing w:line="288" w:lineRule="auto"/>
        <w:rPr>
          <w:color w:val="000000"/>
          <w:sz w:val="20"/>
          <w:szCs w:val="20"/>
        </w:rPr>
      </w:pPr>
    </w:p>
    <w:p>
      <w:pPr>
        <w:snapToGrid w:val="0"/>
        <w:spacing w:line="288" w:lineRule="auto"/>
        <w:ind w:firstLine="4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三、选课建议</w:t>
      </w:r>
    </w:p>
    <w:p>
      <w:pPr>
        <w:snapToGrid w:val="0"/>
        <w:spacing w:line="288" w:lineRule="auto"/>
        <w:ind w:firstLine="400" w:firstLineChars="200"/>
        <w:rPr>
          <w:color w:val="000000"/>
          <w:sz w:val="20"/>
          <w:szCs w:val="20"/>
        </w:rPr>
      </w:pPr>
      <w:r>
        <w:rPr>
          <w:rFonts w:hint="eastAsia"/>
          <w:color w:val="000000"/>
          <w:sz w:val="20"/>
          <w:szCs w:val="20"/>
        </w:rPr>
        <w:t>建议德语系大四学生选课，并且先修《德语阅读</w:t>
      </w:r>
      <w:r>
        <w:rPr>
          <w:color w:val="000000"/>
          <w:sz w:val="20"/>
          <w:szCs w:val="20"/>
        </w:rPr>
        <w:t>2</w:t>
      </w:r>
      <w:r>
        <w:rPr>
          <w:rFonts w:hint="eastAsia"/>
          <w:color w:val="000000"/>
          <w:sz w:val="20"/>
          <w:szCs w:val="20"/>
        </w:rPr>
        <w:t>》</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四、课程与专业毕业要求的关联性</w:t>
      </w:r>
    </w:p>
    <w:tbl>
      <w:tblPr>
        <w:tblStyle w:val="5"/>
        <w:tblW w:w="8475" w:type="dxa"/>
        <w:tblInd w:w="0" w:type="dxa"/>
        <w:tblLayout w:type="fixed"/>
        <w:tblCellMar>
          <w:top w:w="0" w:type="dxa"/>
          <w:left w:w="108" w:type="dxa"/>
          <w:bottom w:w="0" w:type="dxa"/>
          <w:right w:w="108" w:type="dxa"/>
        </w:tblCellMar>
      </w:tblPr>
      <w:tblGrid>
        <w:gridCol w:w="676"/>
        <w:gridCol w:w="851"/>
        <w:gridCol w:w="6268"/>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77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0" w:hRule="atLeast"/>
        </w:trPr>
        <w:tc>
          <w:tcPr>
            <w:tcW w:w="77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85" w:hRule="atLeast"/>
        </w:trPr>
        <w:tc>
          <w:tcPr>
            <w:tcW w:w="7792"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251" w:hRule="atLeast"/>
        </w:trPr>
        <w:tc>
          <w:tcPr>
            <w:tcW w:w="7792"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75" w:hRule="atLeast"/>
        </w:trPr>
        <w:tc>
          <w:tcPr>
            <w:tcW w:w="7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7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1" w:hRule="atLeast"/>
        </w:trPr>
        <w:tc>
          <w:tcPr>
            <w:tcW w:w="77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77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7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7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25" w:hRule="atLeast"/>
        </w:trPr>
        <w:tc>
          <w:tcPr>
            <w:tcW w:w="7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304" w:hRule="atLeast"/>
        </w:trPr>
        <w:tc>
          <w:tcPr>
            <w:tcW w:w="77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tr>
        <w:tblPrEx>
          <w:tblCellMar>
            <w:top w:w="0" w:type="dxa"/>
            <w:left w:w="108" w:type="dxa"/>
            <w:bottom w:w="0" w:type="dxa"/>
            <w:right w:w="108" w:type="dxa"/>
          </w:tblCellMar>
        </w:tblPrEx>
        <w:trPr>
          <w:trHeight w:val="267" w:hRule="atLeast"/>
        </w:trPr>
        <w:tc>
          <w:tcPr>
            <w:tcW w:w="77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五、课程目标/课程预期学习成果</w:t>
      </w:r>
    </w:p>
    <w:tbl>
      <w:tblPr>
        <w:tblStyle w:val="5"/>
        <w:tblW w:w="838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63"/>
        <w:gridCol w:w="3160"/>
        <w:gridCol w:w="185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33"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color w:val="000000"/>
                <w:sz w:val="20"/>
                <w:szCs w:val="20"/>
              </w:rPr>
            </w:pPr>
            <w:r>
              <w:rPr>
                <w:rFonts w:hint="eastAsia"/>
                <w:b/>
                <w:color w:val="000000"/>
                <w:sz w:val="20"/>
                <w:szCs w:val="20"/>
              </w:rPr>
              <w:t>序号</w:t>
            </w:r>
          </w:p>
        </w:tc>
        <w:tc>
          <w:tcPr>
            <w:tcW w:w="1264"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316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372"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33" w:type="dxa"/>
            <w:tcBorders>
              <w:top w:val="single" w:color="auto" w:sz="4" w:space="0"/>
              <w:left w:val="single" w:color="auto" w:sz="4" w:space="0"/>
              <w:bottom w:val="single" w:color="auto" w:sz="4" w:space="0"/>
              <w:right w:val="single" w:color="auto" w:sz="4" w:space="0"/>
            </w:tcBorders>
            <w:vAlign w:val="center"/>
          </w:tcPr>
          <w:p>
            <w:pPr>
              <w:rPr>
                <w:rFonts w:eastAsia="仿宋"/>
                <w:color w:val="000000"/>
                <w:kern w:val="0"/>
                <w:sz w:val="24"/>
              </w:rPr>
            </w:pPr>
            <w:r>
              <w:rPr>
                <w:rFonts w:eastAsia="仿宋"/>
                <w:color w:val="000000"/>
                <w:kern w:val="0"/>
                <w:sz w:val="24"/>
              </w:rPr>
              <w:t>1</w:t>
            </w:r>
          </w:p>
        </w:tc>
        <w:tc>
          <w:tcPr>
            <w:tcW w:w="1264" w:type="dxa"/>
            <w:tcBorders>
              <w:top w:val="single" w:color="auto" w:sz="4" w:space="0"/>
              <w:left w:val="single" w:color="auto" w:sz="4" w:space="0"/>
              <w:bottom w:val="single" w:color="auto" w:sz="4" w:space="0"/>
              <w:right w:val="single" w:color="auto" w:sz="4" w:space="0"/>
            </w:tcBorders>
            <w:vAlign w:val="center"/>
          </w:tcPr>
          <w:p>
            <w:pPr>
              <w:rPr>
                <w:color w:val="000000"/>
                <w:sz w:val="20"/>
                <w:szCs w:val="20"/>
              </w:rPr>
            </w:pPr>
            <w:r>
              <w:rPr>
                <w:color w:val="000000"/>
                <w:sz w:val="20"/>
                <w:szCs w:val="20"/>
              </w:rPr>
              <w:t>LO321</w:t>
            </w:r>
          </w:p>
        </w:tc>
        <w:tc>
          <w:tcPr>
            <w:tcW w:w="3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0"/>
                <w:szCs w:val="20"/>
              </w:rPr>
            </w:pPr>
            <w:r>
              <w:rPr>
                <w:rFonts w:hint="eastAsia" w:ascii="宋体" w:hAnsi="宋体"/>
                <w:color w:val="000000"/>
                <w:kern w:val="0"/>
                <w:sz w:val="20"/>
                <w:szCs w:val="20"/>
              </w:rPr>
              <w:t>掌握德语中级阶段以上的语言学知识，能够阅读日常常见的德语报刊文章</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kern w:val="0"/>
                <w:sz w:val="20"/>
                <w:szCs w:val="20"/>
              </w:rPr>
            </w:pPr>
            <w:r>
              <w:rPr>
                <w:rFonts w:hint="eastAsia" w:ascii="宋体" w:hAnsi="宋体"/>
                <w:kern w:val="0"/>
                <w:sz w:val="20"/>
                <w:szCs w:val="20"/>
              </w:rPr>
              <w:t>课堂讲授，课后练习</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kern w:val="0"/>
                <w:sz w:val="20"/>
                <w:szCs w:val="20"/>
              </w:rPr>
            </w:pPr>
            <w:r>
              <w:rPr>
                <w:rFonts w:hint="eastAsia" w:ascii="宋体" w:hAnsi="宋体"/>
                <w:kern w:val="0"/>
                <w:sz w:val="20"/>
                <w:szCs w:val="20"/>
              </w:rPr>
              <w:t>平时作业、读书报告，期末考试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733" w:type="dxa"/>
            <w:tcBorders>
              <w:top w:val="single" w:color="auto" w:sz="4" w:space="0"/>
              <w:left w:val="single" w:color="auto" w:sz="4" w:space="0"/>
              <w:bottom w:val="single" w:color="auto" w:sz="4" w:space="0"/>
              <w:right w:val="single" w:color="auto" w:sz="4" w:space="0"/>
            </w:tcBorders>
            <w:vAlign w:val="center"/>
          </w:tcPr>
          <w:p>
            <w:pPr>
              <w:rPr>
                <w:rFonts w:eastAsia="仿宋"/>
                <w:color w:val="000000"/>
                <w:kern w:val="0"/>
                <w:sz w:val="24"/>
              </w:rPr>
            </w:pPr>
            <w:r>
              <w:rPr>
                <w:rFonts w:eastAsia="仿宋"/>
                <w:color w:val="000000"/>
                <w:kern w:val="0"/>
                <w:sz w:val="24"/>
              </w:rPr>
              <w:t>2</w:t>
            </w:r>
          </w:p>
        </w:tc>
        <w:tc>
          <w:tcPr>
            <w:tcW w:w="1264" w:type="dxa"/>
            <w:tcBorders>
              <w:top w:val="single" w:color="auto" w:sz="4" w:space="0"/>
              <w:left w:val="single" w:color="auto" w:sz="4" w:space="0"/>
              <w:bottom w:val="single" w:color="auto" w:sz="4" w:space="0"/>
              <w:right w:val="single" w:color="auto" w:sz="4" w:space="0"/>
            </w:tcBorders>
            <w:vAlign w:val="center"/>
          </w:tcPr>
          <w:p>
            <w:pPr>
              <w:rPr>
                <w:rFonts w:eastAsia="仿宋"/>
                <w:color w:val="000000"/>
                <w:kern w:val="0"/>
                <w:sz w:val="24"/>
              </w:rPr>
            </w:pPr>
            <w:r>
              <w:rPr>
                <w:color w:val="000000"/>
                <w:sz w:val="20"/>
                <w:szCs w:val="20"/>
              </w:rPr>
              <w:t>L0331</w:t>
            </w:r>
          </w:p>
        </w:tc>
        <w:tc>
          <w:tcPr>
            <w:tcW w:w="3162" w:type="dxa"/>
            <w:tcBorders>
              <w:top w:val="single" w:color="auto" w:sz="4" w:space="0"/>
              <w:left w:val="single" w:color="auto" w:sz="4" w:space="0"/>
              <w:bottom w:val="single" w:color="auto" w:sz="4" w:space="0"/>
              <w:right w:val="single" w:color="auto" w:sz="4" w:space="0"/>
            </w:tcBorders>
            <w:vAlign w:val="center"/>
          </w:tcPr>
          <w:p>
            <w:pPr>
              <w:rPr>
                <w:rFonts w:ascii="宋体" w:hAnsi="宋体"/>
                <w:sz w:val="20"/>
                <w:szCs w:val="20"/>
                <w:shd w:val="clear" w:color="auto" w:fill="FFFFFF"/>
                <w:lang w:val="de-DE"/>
              </w:rPr>
            </w:pPr>
            <w:r>
              <w:rPr>
                <w:rFonts w:hint="eastAsia" w:ascii="宋体" w:hAnsi="宋体"/>
                <w:color w:val="000000"/>
                <w:kern w:val="0"/>
                <w:sz w:val="20"/>
                <w:szCs w:val="20"/>
              </w:rPr>
              <w:t>了解德国报刊的基本情况，能对文章中出现的德国常识有所了解和判断</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kern w:val="0"/>
                <w:sz w:val="20"/>
                <w:szCs w:val="20"/>
              </w:rPr>
            </w:pPr>
            <w:r>
              <w:rPr>
                <w:rFonts w:hint="eastAsia" w:ascii="宋体" w:hAnsi="宋体"/>
                <w:kern w:val="0"/>
                <w:sz w:val="20"/>
                <w:szCs w:val="20"/>
              </w:rPr>
              <w:t>课堂讲授，练习，课后辅导</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kern w:val="0"/>
                <w:sz w:val="20"/>
                <w:szCs w:val="20"/>
              </w:rPr>
            </w:pPr>
            <w:r>
              <w:rPr>
                <w:rFonts w:hint="eastAsia" w:ascii="宋体" w:hAnsi="宋体"/>
                <w:kern w:val="0"/>
                <w:sz w:val="20"/>
                <w:szCs w:val="20"/>
              </w:rPr>
              <w:t>平时作业、读书报告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733" w:type="dxa"/>
            <w:tcBorders>
              <w:top w:val="single" w:color="auto" w:sz="4" w:space="0"/>
              <w:left w:val="single" w:color="auto" w:sz="4" w:space="0"/>
              <w:bottom w:val="single" w:color="auto" w:sz="4" w:space="0"/>
              <w:right w:val="single" w:color="auto" w:sz="4" w:space="0"/>
            </w:tcBorders>
            <w:vAlign w:val="center"/>
          </w:tcPr>
          <w:p>
            <w:pPr>
              <w:rPr>
                <w:rFonts w:eastAsia="仿宋"/>
                <w:color w:val="000000"/>
                <w:kern w:val="0"/>
                <w:sz w:val="24"/>
              </w:rPr>
            </w:pPr>
            <w:r>
              <w:rPr>
                <w:rFonts w:eastAsia="仿宋"/>
                <w:color w:val="000000"/>
                <w:kern w:val="0"/>
                <w:sz w:val="24"/>
              </w:rPr>
              <w:t>3</w:t>
            </w:r>
          </w:p>
        </w:tc>
        <w:tc>
          <w:tcPr>
            <w:tcW w:w="1264" w:type="dxa"/>
            <w:tcBorders>
              <w:top w:val="single" w:color="auto" w:sz="4" w:space="0"/>
              <w:left w:val="single" w:color="auto" w:sz="4" w:space="0"/>
              <w:bottom w:val="single" w:color="auto" w:sz="4" w:space="0"/>
              <w:right w:val="single" w:color="auto" w:sz="4" w:space="0"/>
            </w:tcBorders>
            <w:vAlign w:val="center"/>
          </w:tcPr>
          <w:p>
            <w:pPr>
              <w:rPr>
                <w:color w:val="FF0000"/>
                <w:sz w:val="20"/>
                <w:szCs w:val="20"/>
              </w:rPr>
            </w:pPr>
            <w:r>
              <w:rPr>
                <w:sz w:val="20"/>
                <w:szCs w:val="20"/>
              </w:rPr>
              <w:t>L0332</w:t>
            </w:r>
          </w:p>
        </w:tc>
        <w:tc>
          <w:tcPr>
            <w:tcW w:w="3162" w:type="dxa"/>
            <w:tcBorders>
              <w:top w:val="single" w:color="auto" w:sz="4" w:space="0"/>
              <w:left w:val="single" w:color="auto" w:sz="4" w:space="0"/>
              <w:bottom w:val="single" w:color="auto" w:sz="4" w:space="0"/>
              <w:right w:val="single" w:color="auto" w:sz="4" w:space="0"/>
            </w:tcBorders>
            <w:vAlign w:val="center"/>
          </w:tcPr>
          <w:p>
            <w:pPr>
              <w:rPr>
                <w:rFonts w:ascii="宋体" w:hAnsi="宋体"/>
                <w:sz w:val="20"/>
                <w:szCs w:val="20"/>
                <w:shd w:val="clear" w:color="auto" w:fill="FFFFFF"/>
              </w:rPr>
            </w:pPr>
            <w:r>
              <w:rPr>
                <w:rFonts w:hint="eastAsia" w:ascii="宋体" w:hAnsi="宋体"/>
                <w:sz w:val="20"/>
                <w:szCs w:val="20"/>
                <w:shd w:val="clear" w:color="auto" w:fill="FFFFFF"/>
              </w:rPr>
              <w:t>理解中德新闻报告风格的差异，并且能够深入了解德国报刊文章的风格。</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kern w:val="0"/>
                <w:sz w:val="20"/>
                <w:szCs w:val="20"/>
              </w:rPr>
            </w:pPr>
            <w:r>
              <w:rPr>
                <w:rFonts w:hint="eastAsia" w:ascii="宋体" w:hAnsi="宋体"/>
                <w:kern w:val="0"/>
                <w:sz w:val="20"/>
                <w:szCs w:val="20"/>
              </w:rPr>
              <w:t>课后阅读</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kern w:val="0"/>
                <w:sz w:val="20"/>
                <w:szCs w:val="20"/>
              </w:rPr>
            </w:pPr>
            <w:r>
              <w:rPr>
                <w:rFonts w:hint="eastAsia" w:ascii="宋体" w:hAnsi="宋体"/>
                <w:kern w:val="0"/>
                <w:sz w:val="20"/>
                <w:szCs w:val="20"/>
              </w:rPr>
              <w:t>读书报告</w:t>
            </w:r>
          </w:p>
        </w:tc>
      </w:tr>
    </w:tbl>
    <w:p/>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六、课程内容</w:t>
      </w:r>
    </w:p>
    <w:p>
      <w:pPr>
        <w:snapToGrid w:val="0"/>
        <w:spacing w:line="288" w:lineRule="auto"/>
        <w:ind w:firstLine="400" w:firstLineChars="200"/>
        <w:rPr>
          <w:rFonts w:ascii="宋体" w:hAnsi="宋体"/>
          <w:sz w:val="20"/>
          <w:szCs w:val="20"/>
        </w:rPr>
      </w:pPr>
      <w:r>
        <w:rPr>
          <w:rFonts w:hint="eastAsia"/>
          <w:bCs/>
          <w:sz w:val="20"/>
          <w:szCs w:val="20"/>
        </w:rPr>
        <w:t>本课程总课时为</w:t>
      </w:r>
      <w:r>
        <w:rPr>
          <w:bCs/>
          <w:sz w:val="20"/>
          <w:szCs w:val="20"/>
        </w:rPr>
        <w:t>16</w:t>
      </w:r>
      <w:r>
        <w:rPr>
          <w:rFonts w:hint="eastAsia"/>
          <w:bCs/>
          <w:sz w:val="20"/>
          <w:szCs w:val="20"/>
        </w:rPr>
        <w:t>学时，理论课时为</w:t>
      </w:r>
      <w:r>
        <w:rPr>
          <w:bCs/>
          <w:sz w:val="20"/>
          <w:szCs w:val="20"/>
        </w:rPr>
        <w:t>16</w:t>
      </w:r>
      <w:r>
        <w:rPr>
          <w:rFonts w:hint="eastAsia"/>
          <w:bCs/>
          <w:sz w:val="20"/>
          <w:szCs w:val="20"/>
        </w:rPr>
        <w:t>学时，实践课时为</w:t>
      </w:r>
      <w:r>
        <w:rPr>
          <w:bCs/>
          <w:sz w:val="20"/>
          <w:szCs w:val="20"/>
        </w:rPr>
        <w:t>0</w:t>
      </w:r>
      <w:r>
        <w:rPr>
          <w:rFonts w:hint="eastAsia"/>
          <w:bCs/>
          <w:sz w:val="20"/>
          <w:szCs w:val="20"/>
        </w:rPr>
        <w:t>学时。</w:t>
      </w:r>
    </w:p>
    <w:p>
      <w:pPr>
        <w:snapToGrid w:val="0"/>
        <w:spacing w:line="288" w:lineRule="auto"/>
        <w:rPr>
          <w:rFonts w:ascii="宋体" w:hAnsi="宋体"/>
          <w:sz w:val="20"/>
          <w:szCs w:val="20"/>
        </w:rPr>
      </w:pPr>
    </w:p>
    <w:tbl>
      <w:tblPr>
        <w:tblStyle w:val="6"/>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3116"/>
        <w:gridCol w:w="255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序号</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知识点</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能力要求</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rFonts w:ascii="宋体" w:hAnsi="宋体"/>
                <w:sz w:val="18"/>
                <w:szCs w:val="20"/>
              </w:rPr>
            </w:pPr>
            <w:r>
              <w:rPr>
                <w:rFonts w:hint="eastAsia" w:ascii="宋体" w:cs="宋体"/>
                <w:sz w:val="18"/>
                <w:szCs w:val="18"/>
              </w:rPr>
              <w:t>理论课时/实践课时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1</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单元一</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德语新闻界基本情况，德语报刊文章类型的讲解。德语新闻类（</w:t>
            </w:r>
            <w:r>
              <w:rPr>
                <w:szCs w:val="20"/>
              </w:rPr>
              <w:t>Nachricht</w:t>
            </w:r>
            <w:r>
              <w:rPr>
                <w:rFonts w:hint="eastAsia"/>
                <w:szCs w:val="20"/>
              </w:rPr>
              <w:t>）文章选读。</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知道德语新闻业界基本情况，了解德语报刊文章基本类型。掌握德语新闻类文章的主要结构和常用搭配，运用阅读技巧，理解文章主要内容和信息。</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sz w:val="18"/>
                <w:szCs w:val="20"/>
              </w:rPr>
            </w:pPr>
            <w:r>
              <w:rPr>
                <w:rFonts w:hint="eastAsia" w:ascii="宋体" w:hAnsi="宋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2</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单元二</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消息类文章（</w:t>
            </w:r>
            <w:r>
              <w:rPr>
                <w:szCs w:val="20"/>
              </w:rPr>
              <w:t>Nachricht</w:t>
            </w:r>
            <w:r>
              <w:rPr>
                <w:rFonts w:hint="eastAsia"/>
                <w:szCs w:val="20"/>
              </w:rPr>
              <w:t>）（</w:t>
            </w:r>
            <w:r>
              <w:rPr>
                <w:szCs w:val="20"/>
              </w:rPr>
              <w:t>Meldung</w:t>
            </w:r>
            <w:r>
              <w:rPr>
                <w:rFonts w:hint="eastAsia"/>
                <w:szCs w:val="20"/>
              </w:rPr>
              <w:t>）的特点，文章选读</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了解德语消息类文章的特点，掌握德语消息类文章的主要结构和常用搭配，运用阅读技巧，理解文章主要内容和信息。</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sz w:val="18"/>
                <w:szCs w:val="20"/>
              </w:rPr>
            </w:pPr>
            <w:r>
              <w:rPr>
                <w:rFonts w:hint="eastAsia" w:ascii="宋体" w:hAnsi="宋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3</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单元三</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报道类文章（</w:t>
            </w:r>
            <w:r>
              <w:rPr>
                <w:szCs w:val="20"/>
              </w:rPr>
              <w:t>Bericht</w:t>
            </w:r>
            <w:r>
              <w:rPr>
                <w:rFonts w:hint="eastAsia"/>
                <w:szCs w:val="20"/>
              </w:rPr>
              <w:t>）通讯类文章（</w:t>
            </w:r>
            <w:r>
              <w:rPr>
                <w:szCs w:val="20"/>
              </w:rPr>
              <w:t>Reportage</w:t>
            </w:r>
            <w:r>
              <w:rPr>
                <w:rFonts w:hint="eastAsia"/>
                <w:szCs w:val="20"/>
              </w:rPr>
              <w:t>）的特点，文章选读</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了解德语报道类文章的特点，掌握德语报道类文章的主要结构和常用搭配，运用阅读技巧，快速理解报道类文章的中心思想和主要信息</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sz w:val="18"/>
                <w:szCs w:val="20"/>
              </w:rPr>
            </w:pPr>
            <w:r>
              <w:rPr>
                <w:rFonts w:hint="eastAsia" w:ascii="宋体" w:hAnsi="宋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4</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单元四</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评论类（</w:t>
            </w:r>
            <w:r>
              <w:rPr>
                <w:szCs w:val="20"/>
              </w:rPr>
              <w:t>Kommentar</w:t>
            </w:r>
            <w:r>
              <w:rPr>
                <w:rFonts w:hint="eastAsia"/>
                <w:szCs w:val="20"/>
              </w:rPr>
              <w:t>）社论类（</w:t>
            </w:r>
            <w:r>
              <w:rPr>
                <w:szCs w:val="20"/>
              </w:rPr>
              <w:t>Leitartikel</w:t>
            </w:r>
            <w:r>
              <w:rPr>
                <w:rFonts w:hint="eastAsia"/>
                <w:szCs w:val="20"/>
              </w:rPr>
              <w:t>）的文章特点及文章选读</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了解德语评论社论类文章的特点，运用阅读技巧，快速理解该类文章的主要信息</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sz w:val="18"/>
                <w:szCs w:val="20"/>
              </w:rPr>
            </w:pPr>
            <w:r>
              <w:rPr>
                <w:rFonts w:hint="eastAsia" w:ascii="宋体" w:hAnsi="宋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5</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单元五</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cs="宋体" w:asciiTheme="minorEastAsia" w:hAnsiTheme="minorEastAsia" w:eastAsiaTheme="minorEastAsia"/>
                <w:szCs w:val="20"/>
              </w:rPr>
              <w:t>专栏评论类</w:t>
            </w:r>
            <w:r>
              <w:rPr>
                <w:rFonts w:hint="eastAsia"/>
                <w:szCs w:val="20"/>
              </w:rPr>
              <w:t>文章（</w:t>
            </w:r>
            <w:r>
              <w:rPr>
                <w:szCs w:val="20"/>
              </w:rPr>
              <w:t>Kolumne</w:t>
            </w:r>
            <w:r>
              <w:rPr>
                <w:rFonts w:hint="eastAsia"/>
                <w:szCs w:val="20"/>
              </w:rPr>
              <w:t>）的文章特点及文章选读</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b/>
                <w:szCs w:val="20"/>
              </w:rPr>
            </w:pPr>
            <w:r>
              <w:rPr>
                <w:rFonts w:hint="eastAsia"/>
                <w:szCs w:val="20"/>
              </w:rPr>
              <w:t>了解专栏评论类文章特点，正确理解问题以及回答。运用阅读技巧，快速理解该类文章的主要信息</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sz w:val="18"/>
                <w:szCs w:val="20"/>
              </w:rPr>
            </w:pPr>
            <w:r>
              <w:rPr>
                <w:rFonts w:hint="eastAsia" w:ascii="宋体" w:hAnsi="宋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6</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单元六</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rPr>
              <w:t>随笔类</w:t>
            </w:r>
            <w:r>
              <w:rPr>
                <w:rFonts w:hint="eastAsia"/>
                <w:szCs w:val="20"/>
              </w:rPr>
              <w:t>的文章</w:t>
            </w:r>
            <w:r>
              <w:rPr>
                <w:szCs w:val="20"/>
              </w:rPr>
              <w:t>(Essay)</w:t>
            </w:r>
            <w:r>
              <w:rPr>
                <w:rFonts w:hint="eastAsia"/>
                <w:szCs w:val="20"/>
              </w:rPr>
              <w:t>特点及文章选读</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了解该类文章特点，正确理解随笔类文章的主要信息以及作者的出发点及立场</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宋体" w:hAnsi="宋体"/>
                <w:sz w:val="18"/>
                <w:szCs w:val="20"/>
              </w:rPr>
            </w:pPr>
            <w:r>
              <w:rPr>
                <w:rFonts w:hint="eastAsia" w:ascii="宋体" w:hAnsi="宋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7</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单元七</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pPr>
            <w:r>
              <w:rPr>
                <w:rFonts w:hint="eastAsia" w:cs="宋体" w:asciiTheme="minorEastAsia" w:hAnsiTheme="minorEastAsia" w:eastAsiaTheme="minorEastAsia"/>
                <w:szCs w:val="20"/>
              </w:rPr>
              <w:t>德语采访类(Interview)谈话类(Gespr</w:t>
            </w:r>
            <w:r>
              <w:rPr>
                <w:rFonts w:hint="eastAsia" w:cs="宋体" w:asciiTheme="minorEastAsia" w:hAnsiTheme="minorEastAsia" w:eastAsiaTheme="minorEastAsia"/>
                <w:szCs w:val="20"/>
                <w:lang w:val="de-DE"/>
              </w:rPr>
              <w:t>äch)</w:t>
            </w:r>
            <w:r>
              <w:rPr>
                <w:rFonts w:hint="eastAsia" w:cs="宋体" w:asciiTheme="minorEastAsia" w:hAnsiTheme="minorEastAsia" w:eastAsiaTheme="minorEastAsia"/>
                <w:szCs w:val="20"/>
              </w:rPr>
              <w:t>文章</w:t>
            </w:r>
            <w:r>
              <w:rPr>
                <w:rFonts w:hint="eastAsia"/>
                <w:szCs w:val="20"/>
              </w:rPr>
              <w:t>特点及文章选读</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szCs w:val="20"/>
              </w:rPr>
            </w:pPr>
            <w:r>
              <w:rPr>
                <w:rFonts w:hint="eastAsia" w:cs="宋体" w:asciiTheme="minorEastAsia" w:hAnsiTheme="minorEastAsia" w:eastAsiaTheme="minorEastAsia"/>
                <w:szCs w:val="20"/>
              </w:rPr>
              <w:t>德语采访类(Interview)谈话类(Gespr</w:t>
            </w:r>
            <w:r>
              <w:rPr>
                <w:rFonts w:hint="eastAsia" w:cs="宋体" w:asciiTheme="minorEastAsia" w:hAnsiTheme="minorEastAsia" w:eastAsiaTheme="minorEastAsia"/>
                <w:szCs w:val="20"/>
                <w:lang w:val="de-DE"/>
              </w:rPr>
              <w:t>äch)</w:t>
            </w:r>
            <w:r>
              <w:rPr>
                <w:rFonts w:hint="eastAsia" w:cs="宋体" w:asciiTheme="minorEastAsia" w:hAnsiTheme="minorEastAsia" w:eastAsiaTheme="minorEastAsia"/>
                <w:szCs w:val="20"/>
              </w:rPr>
              <w:t>文章选读，评论文章大意概括以及阅读技巧</w:t>
            </w:r>
            <w:r>
              <w:rPr>
                <w:rFonts w:hint="eastAsia" w:asciiTheme="minorEastAsia" w:hAnsiTheme="minorEastAsia" w:eastAsiaTheme="minorEastAsia"/>
                <w:szCs w:val="20"/>
              </w:rPr>
              <w:t xml:space="preserve"> </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ascii="宋体" w:hAnsi="宋体"/>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szCs w:val="20"/>
              </w:rPr>
              <w:t>8</w:t>
            </w:r>
          </w:p>
        </w:tc>
        <w:tc>
          <w:tcPr>
            <w:tcW w:w="851"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szCs w:val="20"/>
              </w:rPr>
              <w:t>单元八</w:t>
            </w:r>
          </w:p>
        </w:tc>
        <w:tc>
          <w:tcPr>
            <w:tcW w:w="3118" w:type="dxa"/>
            <w:tcBorders>
              <w:top w:val="single" w:color="auto" w:sz="4" w:space="0"/>
              <w:left w:val="single" w:color="auto" w:sz="4" w:space="0"/>
              <w:bottom w:val="single" w:color="auto" w:sz="4" w:space="0"/>
              <w:right w:val="single" w:color="auto" w:sz="4" w:space="0"/>
            </w:tcBorders>
          </w:tcPr>
          <w:p>
            <w:pPr>
              <w:snapToGrid w:val="0"/>
              <w:spacing w:line="288" w:lineRule="auto"/>
              <w:ind w:right="26"/>
            </w:pPr>
            <w:r>
              <w:rPr>
                <w:rFonts w:hint="eastAsia" w:cs="宋体" w:asciiTheme="minorEastAsia" w:hAnsiTheme="minorEastAsia" w:eastAsiaTheme="minorEastAsia"/>
                <w:szCs w:val="20"/>
              </w:rPr>
              <w:t>德语人物特写类(Porträt)文章</w:t>
            </w:r>
            <w:r>
              <w:rPr>
                <w:rFonts w:hint="eastAsia"/>
                <w:szCs w:val="20"/>
              </w:rPr>
              <w:t>特点及文章选读</w:t>
            </w:r>
          </w:p>
        </w:tc>
        <w:tc>
          <w:tcPr>
            <w:tcW w:w="2552"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cs="宋体" w:asciiTheme="minorEastAsia" w:hAnsiTheme="minorEastAsia" w:eastAsiaTheme="minorEastAsia"/>
                <w:szCs w:val="20"/>
              </w:rPr>
              <w:t>德语人物特写类(Porträt)文章选读，评论文章大意概括以及阅读技巧</w:t>
            </w:r>
          </w:p>
        </w:tc>
        <w:tc>
          <w:tcPr>
            <w:tcW w:w="1134" w:type="dxa"/>
            <w:tcBorders>
              <w:top w:val="single" w:color="auto" w:sz="4" w:space="0"/>
              <w:left w:val="single" w:color="auto" w:sz="4" w:space="0"/>
              <w:bottom w:val="single" w:color="auto" w:sz="4" w:space="0"/>
              <w:right w:val="single" w:color="auto" w:sz="4" w:space="0"/>
            </w:tcBorders>
          </w:tcPr>
          <w:p>
            <w:pPr>
              <w:snapToGrid w:val="0"/>
              <w:spacing w:line="288" w:lineRule="auto"/>
              <w:ind w:right="26"/>
              <w:rPr>
                <w:szCs w:val="20"/>
              </w:rPr>
            </w:pPr>
            <w:r>
              <w:rPr>
                <w:rFonts w:hint="eastAsia" w:ascii="宋体" w:hAnsi="宋体"/>
                <w:sz w:val="18"/>
                <w:szCs w:val="20"/>
              </w:rPr>
              <w:t>2/</w:t>
            </w:r>
          </w:p>
        </w:tc>
      </w:tr>
    </w:tbl>
    <w:p>
      <w:pPr>
        <w:snapToGrid w:val="0"/>
        <w:spacing w:line="288" w:lineRule="auto"/>
        <w:ind w:right="26"/>
        <w:rPr>
          <w:sz w:val="20"/>
          <w:szCs w:val="20"/>
        </w:rPr>
      </w:pPr>
    </w:p>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5106"/>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总评构成（1+X）</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平时作业</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rPr>
              <w:drawing>
                <wp:anchor distT="0" distB="0" distL="114300" distR="114300" simplePos="0" relativeHeight="251660288" behindDoc="1" locked="0" layoutInCell="1" allowOverlap="1">
                  <wp:simplePos x="0" y="0"/>
                  <wp:positionH relativeFrom="column">
                    <wp:posOffset>1560830</wp:posOffset>
                  </wp:positionH>
                  <wp:positionV relativeFrom="paragraph">
                    <wp:posOffset>377825</wp:posOffset>
                  </wp:positionV>
                  <wp:extent cx="789940" cy="592455"/>
                  <wp:effectExtent l="0" t="0" r="0" b="0"/>
                  <wp:wrapNone/>
                  <wp:docPr id="36" name="图片 36"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签名.jpg"/>
                          <pic:cNvPicPr>
                            <a:picLocks noChangeAspect="1" noChangeArrowheads="1"/>
                          </pic:cNvPicPr>
                        </pic:nvPicPr>
                        <pic:blipFill>
                          <a:blip r:embed="rId4">
                            <a:biLevel thresh="50000"/>
                            <a:grayscl/>
                            <a:extLst>
                              <a:ext uri="{28A0092B-C50C-407E-A947-70E740481C1C}">
                                <a14:useLocalDpi xmlns:a14="http://schemas.microsoft.com/office/drawing/2010/main" val="0"/>
                              </a:ext>
                            </a:extLst>
                          </a:blip>
                          <a:srcRect/>
                          <a:stretch>
                            <a:fillRect/>
                          </a:stretch>
                        </pic:blipFill>
                        <pic:spPr>
                          <a:xfrm>
                            <a:off x="0" y="0"/>
                            <a:ext cx="789940" cy="592455"/>
                          </a:xfrm>
                          <a:prstGeom prst="rect">
                            <a:avLst/>
                          </a:prstGeom>
                          <a:noFill/>
                        </pic:spPr>
                      </pic:pic>
                    </a:graphicData>
                  </a:graphic>
                </wp:anchor>
              </w:drawing>
            </w:r>
            <w:r>
              <w:rPr>
                <w:rFonts w:hint="eastAsia" w:ascii="宋体" w:hAnsi="宋体"/>
                <w:bCs/>
                <w:color w:val="000000"/>
                <w:szCs w:val="20"/>
              </w:rPr>
              <w:t>读书报告</w:t>
            </w:r>
          </w:p>
        </w:tc>
        <w:tc>
          <w:tcPr>
            <w:tcW w:w="1843"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rFonts w:ascii="黑体" w:hAnsi="宋体" w:eastAsia="黑体"/>
          <w:sz w:val="24"/>
        </w:rPr>
      </w:pPr>
      <w:r>
        <w:rPr>
          <w:rFonts w:hint="eastAsia" w:ascii="黑体" w:hAnsi="宋体" w:eastAsia="黑体"/>
          <w:sz w:val="24"/>
        </w:rPr>
        <w:t>七、评价方式与成绩</w:t>
      </w:r>
    </w:p>
    <w:p>
      <w:pPr>
        <w:snapToGrid w:val="0"/>
        <w:spacing w:line="288" w:lineRule="auto"/>
        <w:rPr>
          <w:sz w:val="28"/>
          <w:szCs w:val="28"/>
        </w:rPr>
      </w:pPr>
      <w:r>
        <w:rPr>
          <w:rFonts w:hint="eastAsia"/>
          <w:sz w:val="28"/>
          <w:szCs w:val="28"/>
        </w:rPr>
        <w:t>撰写人：</w:t>
      </w:r>
      <w:r>
        <w:rPr>
          <w:sz w:val="28"/>
          <w:szCs w:val="28"/>
        </w:rPr>
        <w:t xml:space="preserve"> </w:t>
      </w:r>
      <w:r>
        <w:drawing>
          <wp:inline distT="0" distB="0" distL="0" distR="0">
            <wp:extent cx="590550" cy="355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90550" cy="355600"/>
                    </a:xfrm>
                    <a:prstGeom prst="rect">
                      <a:avLst/>
                    </a:prstGeom>
                    <a:noFill/>
                    <a:ln>
                      <a:noFill/>
                    </a:ln>
                  </pic:spPr>
                </pic:pic>
              </a:graphicData>
            </a:graphic>
          </wp:inline>
        </w:drawing>
      </w:r>
      <w:r>
        <w:rPr>
          <w:rFonts w:hint="eastAsia"/>
          <w:sz w:val="28"/>
          <w:szCs w:val="28"/>
        </w:rPr>
        <w:t>系主任审核签名：</w:t>
      </w:r>
      <w:r>
        <w:rPr>
          <w:rFonts w:hint="eastAsia"/>
          <w:sz w:val="28"/>
          <w:szCs w:val="28"/>
          <w:lang w:val="en-US" w:eastAsia="zh-CN"/>
        </w:rPr>
        <w:t xml:space="preserve">         </w:t>
      </w:r>
      <w:r>
        <w:rPr>
          <w:rFonts w:hint="eastAsia"/>
          <w:sz w:val="28"/>
          <w:szCs w:val="28"/>
        </w:rPr>
        <w:t>审核时间：</w:t>
      </w:r>
      <w:r>
        <w:rPr>
          <w:sz w:val="28"/>
          <w:szCs w:val="28"/>
        </w:rPr>
        <w:t>2022.09</w:t>
      </w:r>
      <w:r>
        <w:rPr>
          <w:sz w:val="28"/>
          <w:szCs w:val="28"/>
          <w:lang w:val="de-DE"/>
        </w:rPr>
        <w:t>.</w:t>
      </w:r>
      <w:r>
        <w:rPr>
          <w:sz w:val="28"/>
          <w:szCs w:val="28"/>
        </w:rPr>
        <w:t xml:space="preserve">10        </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 w:name="KSO_WPS_MARK_KEY" w:val="477651e0-ea9e-4c13-845e-c4e600181330"/>
  </w:docVars>
  <w:rsids>
    <w:rsidRoot w:val="00245D4D"/>
    <w:rsid w:val="00005F25"/>
    <w:rsid w:val="001D3BF3"/>
    <w:rsid w:val="00211ADE"/>
    <w:rsid w:val="00245D4D"/>
    <w:rsid w:val="002820C2"/>
    <w:rsid w:val="00302C1C"/>
    <w:rsid w:val="003D2D7C"/>
    <w:rsid w:val="003F4399"/>
    <w:rsid w:val="0043003E"/>
    <w:rsid w:val="00431F37"/>
    <w:rsid w:val="00467380"/>
    <w:rsid w:val="00723079"/>
    <w:rsid w:val="007531AA"/>
    <w:rsid w:val="008158F6"/>
    <w:rsid w:val="008B3640"/>
    <w:rsid w:val="00917D94"/>
    <w:rsid w:val="0098487A"/>
    <w:rsid w:val="009E23FC"/>
    <w:rsid w:val="00A301A5"/>
    <w:rsid w:val="00A467AF"/>
    <w:rsid w:val="00A9248F"/>
    <w:rsid w:val="00B305F8"/>
    <w:rsid w:val="00BD3807"/>
    <w:rsid w:val="00BF0825"/>
    <w:rsid w:val="00CB4245"/>
    <w:rsid w:val="00DF2276"/>
    <w:rsid w:val="00E8558A"/>
    <w:rsid w:val="0D3A7E64"/>
    <w:rsid w:val="17016EED"/>
    <w:rsid w:val="1A3C2FAA"/>
    <w:rsid w:val="1D541707"/>
    <w:rsid w:val="3339452E"/>
    <w:rsid w:val="42C40A6B"/>
    <w:rsid w:val="438E7A8D"/>
    <w:rsid w:val="4B016D87"/>
    <w:rsid w:val="567C7468"/>
    <w:rsid w:val="5DB8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spacing w:before="100" w:after="90" w:line="360" w:lineRule="auto"/>
      <w:jc w:val="center"/>
      <w:outlineLvl w:val="0"/>
    </w:pPr>
    <w:rPr>
      <w:rFonts w:ascii="Times New Roman" w:hAnsi="Times New Roman"/>
      <w:b/>
      <w:bCs/>
      <w:kern w:val="44"/>
      <w:sz w:val="28"/>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color w:val="0000FF"/>
      <w:u w:val="single"/>
    </w:rPr>
  </w:style>
  <w:style w:type="character" w:customStyle="1" w:styleId="9">
    <w:name w:val="页眉 字符"/>
    <w:basedOn w:val="7"/>
    <w:link w:val="4"/>
    <w:qFormat/>
    <w:uiPriority w:val="99"/>
    <w:rPr>
      <w:rFonts w:ascii="Calibri" w:hAnsi="Calibri" w:eastAsia="宋体" w:cs="Times New Roman"/>
      <w:kern w:val="2"/>
      <w:sz w:val="18"/>
      <w:szCs w:val="18"/>
    </w:rPr>
  </w:style>
  <w:style w:type="character" w:customStyle="1" w:styleId="10">
    <w:name w:val="页脚 字符"/>
    <w:basedOn w:val="7"/>
    <w:link w:val="3"/>
    <w:qFormat/>
    <w:uiPriority w:val="99"/>
    <w:rPr>
      <w:rFonts w:ascii="Calibri" w:hAnsi="Calibri" w:eastAsia="宋体" w:cs="Times New Roman"/>
      <w:kern w:val="2"/>
      <w:sz w:val="18"/>
      <w:szCs w:val="18"/>
    </w:rPr>
  </w:style>
  <w:style w:type="character" w:customStyle="1" w:styleId="11">
    <w:name w:val="标题 1 字符"/>
    <w:basedOn w:val="7"/>
    <w:link w:val="2"/>
    <w:qFormat/>
    <w:uiPriority w:val="9"/>
    <w:rPr>
      <w:rFonts w:ascii="Times New Roman" w:hAnsi="Times New Roman" w:eastAsia="宋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2294</Words>
  <Characters>2714</Characters>
  <Lines>22</Lines>
  <Paragraphs>6</Paragraphs>
  <TotalTime>0</TotalTime>
  <ScaleCrop>false</ScaleCrop>
  <LinksUpToDate>false</LinksUpToDate>
  <CharactersWithSpaces>2732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shuang</dc:creator>
  <cp:lastModifiedBy>Administrator</cp:lastModifiedBy>
  <dcterms:modified xsi:type="dcterms:W3CDTF">2022-11-29T03:37:40Z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DC8916AF58E041B4A77D2BB9DF6EF0C7</vt:lpwstr>
  </property>
</Properties>
</file>