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3120" w:firstLineChars="1300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8pt;margin-top:35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HJMJ1AAAAAo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【德语跨文化交际】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【German</w:t>
      </w:r>
      <w:r>
        <w:rPr>
          <w:b/>
          <w:sz w:val="28"/>
          <w:szCs w:val="30"/>
        </w:rPr>
        <w:t xml:space="preserve"> i</w:t>
      </w:r>
      <w:r>
        <w:rPr>
          <w:rFonts w:hint="eastAsia"/>
          <w:b/>
          <w:sz w:val="28"/>
          <w:szCs w:val="30"/>
        </w:rPr>
        <w:t>ntercultural comm</w:t>
      </w:r>
      <w:r>
        <w:rPr>
          <w:b/>
          <w:sz w:val="28"/>
          <w:szCs w:val="30"/>
        </w:rPr>
        <w:t>u</w:t>
      </w:r>
      <w:r>
        <w:rPr>
          <w:rFonts w:hint="eastAsia"/>
          <w:b/>
          <w:sz w:val="28"/>
          <w:szCs w:val="30"/>
        </w:rPr>
        <w:t>nication】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rFonts w:hint="eastAsia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【1020005】</w:t>
      </w:r>
    </w:p>
    <w:p>
      <w:pPr>
        <w:snapToGrid w:val="0"/>
        <w:spacing w:line="288" w:lineRule="auto"/>
        <w:ind w:firstLine="394" w:firstLineChars="196"/>
        <w:rPr>
          <w:rFonts w:hint="eastAsia"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【2】</w:t>
      </w:r>
    </w:p>
    <w:p>
      <w:pPr>
        <w:snapToGrid w:val="0"/>
        <w:spacing w:line="288" w:lineRule="auto"/>
        <w:ind w:firstLine="394" w:firstLineChars="196"/>
        <w:rPr>
          <w:rFonts w:hint="eastAsia"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eastAsia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>
      <w:pPr>
        <w:snapToGrid w:val="0"/>
        <w:spacing w:line="288" w:lineRule="auto"/>
        <w:ind w:firstLine="800" w:firstLineChars="400"/>
        <w:rPr>
          <w:rFonts w:hint="eastAsia" w:asciiTheme="minorEastAsia" w:hAnsiTheme="minorEastAsia" w:eastAsiaTheme="minorEastAsia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【</w:t>
      </w:r>
      <w:r>
        <w:rPr>
          <w:rFonts w:hint="eastAsia" w:asciiTheme="minorEastAsia" w:hAnsiTheme="minorEastAsia" w:eastAsiaTheme="minorEastAsia"/>
          <w:color w:val="000000"/>
          <w:sz w:val="18"/>
          <w:szCs w:val="18"/>
        </w:rPr>
        <w:t>《跨文化研究入门》，巫莉丽 编著，上海外语教育出版社，2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>021</w:t>
      </w:r>
    </w:p>
    <w:p>
      <w:pPr>
        <w:snapToGrid w:val="0"/>
        <w:spacing w:line="288" w:lineRule="auto"/>
        <w:ind w:left="718" w:leftChars="342" w:firstLine="90" w:firstLineChars="5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asciiTheme="minorEastAsia" w:hAnsiTheme="minorEastAsia" w:eastAsiaTheme="minorEastAsia"/>
          <w:color w:val="000000"/>
          <w:sz w:val="18"/>
          <w:szCs w:val="18"/>
        </w:rPr>
        <w:t>参考</w:t>
      </w:r>
      <w:r>
        <w:rPr>
          <w:rFonts w:hint="eastAsia" w:asciiTheme="minorEastAsia" w:hAnsiTheme="minorEastAsia" w:eastAsiaTheme="minorEastAsia"/>
          <w:color w:val="000000"/>
          <w:sz w:val="18"/>
          <w:szCs w:val="18"/>
        </w:rPr>
        <w:t>书目</w:t>
      </w:r>
    </w:p>
    <w:p>
      <w:pPr>
        <w:snapToGrid w:val="0"/>
        <w:spacing w:line="288" w:lineRule="auto"/>
        <w:ind w:left="718" w:leftChars="342" w:firstLine="90" w:firstLineChars="5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000000"/>
          <w:sz w:val="18"/>
          <w:szCs w:val="18"/>
        </w:rPr>
        <w:t>《中德跨文化交际与管理》，</w:t>
      </w:r>
      <w:r>
        <w:rPr>
          <w:rFonts w:hint="eastAsia" w:asciiTheme="minorEastAsia" w:hAnsiTheme="minorEastAsia" w:eastAsiaTheme="minorEastAsia"/>
          <w:sz w:val="18"/>
          <w:szCs w:val="18"/>
        </w:rPr>
        <w:t>Kai Bartel等编</w:t>
      </w:r>
      <w:r>
        <w:rPr>
          <w:rFonts w:hint="eastAsia" w:asciiTheme="minorEastAsia" w:hAnsiTheme="minorEastAsia" w:eastAsiaTheme="minorEastAsia"/>
          <w:color w:val="000000"/>
          <w:sz w:val="18"/>
          <w:szCs w:val="18"/>
        </w:rPr>
        <w:t>，商务印书馆，2011</w:t>
      </w:r>
    </w:p>
    <w:p>
      <w:pPr>
        <w:snapToGrid w:val="0"/>
        <w:spacing w:line="288" w:lineRule="auto"/>
        <w:ind w:left="718" w:leftChars="342" w:firstLine="90" w:firstLineChars="50"/>
        <w:rPr>
          <w:rFonts w:asciiTheme="minorEastAsia" w:hAnsiTheme="minorEastAsia" w:eastAsiaTheme="minorEastAsia"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000000"/>
          <w:sz w:val="18"/>
          <w:szCs w:val="18"/>
        </w:rPr>
        <w:t>《跨文化交际学概论》，胡文仲主编，外语教学与研究出版社，2</w:t>
      </w:r>
      <w:r>
        <w:rPr>
          <w:rFonts w:asciiTheme="minorEastAsia" w:hAnsiTheme="minorEastAsia" w:eastAsiaTheme="minorEastAsia"/>
          <w:color w:val="000000"/>
          <w:sz w:val="18"/>
          <w:szCs w:val="18"/>
        </w:rPr>
        <w:t>016.</w:t>
      </w:r>
    </w:p>
    <w:p>
      <w:pPr>
        <w:snapToGrid w:val="0"/>
        <w:spacing w:line="288" w:lineRule="auto"/>
        <w:ind w:left="718" w:leftChars="342" w:firstLine="90" w:firstLineChars="50"/>
        <w:rPr>
          <w:rFonts w:cs="宋体" w:asciiTheme="minorEastAsia" w:hAnsiTheme="minorEastAsia" w:eastAsiaTheme="minorEastAsia"/>
          <w:color w:val="000000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color w:val="000000"/>
          <w:sz w:val="18"/>
          <w:szCs w:val="18"/>
        </w:rPr>
        <w:t>《中德跨文化交际理论与实践》，</w:t>
      </w:r>
      <w:r>
        <w:rPr>
          <w:rFonts w:cs="Arial" w:asciiTheme="minorEastAsia" w:hAnsiTheme="minorEastAsia" w:eastAsiaTheme="minorEastAsia"/>
          <w:color w:val="333333"/>
          <w:sz w:val="18"/>
          <w:szCs w:val="18"/>
        </w:rPr>
        <w:t>黎东良</w:t>
      </w:r>
      <w:r>
        <w:rPr>
          <w:rFonts w:hint="eastAsia" w:cs="宋体" w:asciiTheme="minorEastAsia" w:hAnsiTheme="minorEastAsia" w:eastAsiaTheme="minorEastAsia"/>
          <w:color w:val="000000"/>
          <w:sz w:val="18"/>
          <w:szCs w:val="18"/>
        </w:rPr>
        <w:t>，同济大学出版社，2012</w:t>
      </w:r>
    </w:p>
    <w:p>
      <w:pPr>
        <w:snapToGrid w:val="0"/>
        <w:spacing w:line="288" w:lineRule="auto"/>
        <w:ind w:left="718" w:leftChars="342" w:firstLine="90" w:firstLineChars="50"/>
        <w:rPr>
          <w:rFonts w:cs="Arial" w:asciiTheme="minorEastAsia" w:hAnsiTheme="minorEastAsia" w:eastAsiaTheme="minorEastAsia"/>
          <w:color w:val="333333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color w:val="000000"/>
          <w:sz w:val="18"/>
          <w:szCs w:val="18"/>
        </w:rPr>
        <w:t>《</w:t>
      </w:r>
      <w:r>
        <w:rPr>
          <w:rFonts w:cs="宋体" w:asciiTheme="minorEastAsia" w:hAnsiTheme="minorEastAsia" w:eastAsiaTheme="minorEastAsia"/>
          <w:color w:val="000000"/>
          <w:sz w:val="18"/>
          <w:szCs w:val="18"/>
        </w:rPr>
        <w:t>跨文化能力内涵与培养—</w:t>
      </w:r>
      <w:r>
        <w:rPr>
          <w:rFonts w:cs="Arial" w:asciiTheme="minorEastAsia" w:hAnsiTheme="minorEastAsia" w:eastAsiaTheme="minorEastAsia"/>
          <w:color w:val="333333"/>
          <w:sz w:val="18"/>
          <w:szCs w:val="18"/>
        </w:rPr>
        <w:t>以高校外语专业大学生为例</w:t>
      </w:r>
      <w:r>
        <w:rPr>
          <w:rFonts w:hint="eastAsia" w:cs="宋体" w:asciiTheme="minorEastAsia" w:hAnsiTheme="minorEastAsia" w:eastAsiaTheme="minorEastAsia"/>
          <w:color w:val="000000"/>
          <w:sz w:val="18"/>
          <w:szCs w:val="18"/>
        </w:rPr>
        <w:t>》，潘亚玲，对外经贸大学出版社， 2015</w:t>
      </w:r>
    </w:p>
    <w:p>
      <w:pPr>
        <w:snapToGrid w:val="0"/>
        <w:spacing w:line="288" w:lineRule="auto"/>
        <w:ind w:left="718" w:leftChars="342" w:firstLine="90" w:firstLineChars="50"/>
        <w:rPr>
          <w:rFonts w:hint="eastAsia" w:cs="Arial" w:asciiTheme="minorEastAsia" w:hAnsiTheme="minorEastAsia" w:eastAsiaTheme="minorEastAsia"/>
          <w:color w:val="333333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color w:val="333333"/>
          <w:sz w:val="18"/>
          <w:szCs w:val="18"/>
        </w:rPr>
        <w:t>《跨文化交流不同文化的人与人之间的交往》，(德)马勒茨克(Gerhard</w:t>
      </w:r>
      <w:r>
        <w:rPr>
          <w:rFonts w:cs="Arial" w:asciiTheme="minorEastAsia" w:hAnsiTheme="minorEastAsia" w:eastAsiaTheme="minorEastAsia"/>
          <w:color w:val="333333"/>
          <w:sz w:val="18"/>
          <w:szCs w:val="18"/>
        </w:rPr>
        <w:t xml:space="preserve"> </w:t>
      </w:r>
      <w:r>
        <w:rPr>
          <w:rFonts w:hint="eastAsia" w:cs="Arial" w:asciiTheme="minorEastAsia" w:hAnsiTheme="minorEastAsia" w:eastAsiaTheme="minorEastAsia"/>
          <w:color w:val="333333"/>
          <w:sz w:val="18"/>
          <w:szCs w:val="18"/>
        </w:rPr>
        <w:t>Maletzke)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402" w:firstLineChars="200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rFonts w:hint="eastAsia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当代大学德语</w:t>
      </w:r>
      <w:r>
        <w:rPr>
          <w:color w:val="000000"/>
          <w:sz w:val="20"/>
          <w:szCs w:val="20"/>
        </w:rPr>
        <w:t>4】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本课程面向德语专业本科大三学生，向德语专业的学生介绍跨文化交际的基本知识，比较中德文化的异同和东西方价值观念体系的区别，着重介绍中国的价值观念体系，为学生正确认识本国与德国文化，提高学生的文化自信，对比文化间的差异，提高文化敏感度，提高跨文化交际的能力打下基础。同时通过具体案例分析，提高学生对外交流的能力，能够帮助德国人了解中国文化，加深他们对中国文化的理解与尊重。 </w:t>
      </w:r>
    </w:p>
    <w:p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通过本课程的教学，学生应该掌握跨文化交际学的各个主要方面，如语言与文化、跨文化语言交际、跨文化非语言交际、文化模式、东西方文化差异、商务及管理中的跨文化交际等重要内容，学生不仅能够了解和认识德国文化，同时能够对中国的文化多样性和价值观念体系等各个方面有更深入、全面的了解。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建议德语系大三学生选课，并且先修《当代大学德语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4"/>
        <w:tblW w:w="8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51"/>
        <w:gridCol w:w="6268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/>
    <w:p/>
    <w:tbl>
      <w:tblPr>
        <w:tblStyle w:val="4"/>
        <w:tblpPr w:leftFromText="180" w:rightFromText="180" w:vertAnchor="text" w:horzAnchor="margin" w:tblpY="789"/>
        <w:tblOverlap w:val="never"/>
        <w:tblW w:w="7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6"/>
        <w:gridCol w:w="2653"/>
        <w:gridCol w:w="202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L0112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课堂参与，期末测试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LO332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课堂展示，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L0811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L0812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平时作业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五、课程目标/课程预期学习成果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本课程共3</w:t>
      </w:r>
      <w:r>
        <w:rPr>
          <w:rFonts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</w:rPr>
        <w:t>课时，均为理论课时。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551"/>
        <w:gridCol w:w="2410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理论/实践课时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理解跨文化交际的基本概念以及其定义，理解跨文化交际，文化休克，刻板印象及偏见。了解文化深层层次理论，掌握价值的四个维度。</w:t>
            </w:r>
          </w:p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文化的定义，文化的层面，交际的定义以及渠道。文化层次理论</w:t>
            </w:r>
          </w:p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异国文化的融合和差异探究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探讨外来影响的认知，德国人的陌生感，融合，外来移民等问题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remdheit</w:t>
            </w:r>
            <w:r>
              <w:rPr>
                <w:rFonts w:hint="eastAsia"/>
                <w:sz w:val="20"/>
                <w:szCs w:val="20"/>
              </w:rPr>
              <w:t>，I</w:t>
            </w:r>
            <w:r>
              <w:rPr>
                <w:sz w:val="20"/>
                <w:szCs w:val="20"/>
              </w:rPr>
              <w:t>ntegration, Gesellschaft</w:t>
            </w:r>
            <w:r>
              <w:rPr>
                <w:rFonts w:hint="eastAsia"/>
                <w:sz w:val="20"/>
                <w:szCs w:val="20"/>
              </w:rPr>
              <w:t>等概念定义。东西方文化差异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中德跨文化交际实例介绍，跨文化交际中面临的问题以及解决方案，如礼貌性，直接性，禁忌文化、关系等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运用所学跨文化交际能力，根据具体情况具体分析中德文化看待关系的差异和礼貌问题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礼貌，直接性，关系，禁忌问题研究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跨学科和跨文化日耳曼学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了解跨文化文学作品，语言学，外语教学法，商务活动中的需要注意的重点差异、充分考虑不同文化的差异性，因地制宜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drawing>
          <wp:inline distT="0" distB="0" distL="0" distR="0">
            <wp:extent cx="590550" cy="355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bookmarkStart w:id="1" w:name="_GoBack"/>
      <w:bookmarkEnd w:id="1"/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>
        <w:rPr>
          <w:rFonts w:ascii="宋体" w:hAnsi="宋体"/>
          <w:color w:val="000000"/>
          <w:szCs w:val="21"/>
        </w:rPr>
        <w:drawing>
          <wp:inline distT="0" distB="0" distL="0" distR="0">
            <wp:extent cx="679450" cy="311150"/>
            <wp:effectExtent l="0" t="0" r="0" b="13335"/>
            <wp:docPr id="2" name="图片 2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 w:after="156" w:afterLines="50" w:line="288" w:lineRule="auto"/>
        <w:jc w:val="left"/>
        <w:rPr>
          <w:sz w:val="28"/>
          <w:szCs w:val="28"/>
          <w:lang w:val="de-DE"/>
        </w:rPr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  <w:docVar w:name="KSO_WPS_MARK_KEY" w:val="0d69c519-5d23-418c-8d90-217576b4b149"/>
  </w:docVars>
  <w:rsids>
    <w:rsidRoot w:val="00245D4D"/>
    <w:rsid w:val="001B72CD"/>
    <w:rsid w:val="002249EB"/>
    <w:rsid w:val="00245D4D"/>
    <w:rsid w:val="0026595D"/>
    <w:rsid w:val="002C3EB8"/>
    <w:rsid w:val="002D2599"/>
    <w:rsid w:val="002D4648"/>
    <w:rsid w:val="003B31B0"/>
    <w:rsid w:val="004C6860"/>
    <w:rsid w:val="004D6359"/>
    <w:rsid w:val="00513C2F"/>
    <w:rsid w:val="00544E87"/>
    <w:rsid w:val="00562EFB"/>
    <w:rsid w:val="005F6997"/>
    <w:rsid w:val="00610A1F"/>
    <w:rsid w:val="006658A3"/>
    <w:rsid w:val="00725ADC"/>
    <w:rsid w:val="00732161"/>
    <w:rsid w:val="00742595"/>
    <w:rsid w:val="00762469"/>
    <w:rsid w:val="00814A2E"/>
    <w:rsid w:val="00826E98"/>
    <w:rsid w:val="008559B3"/>
    <w:rsid w:val="008676F5"/>
    <w:rsid w:val="008D256A"/>
    <w:rsid w:val="008D618A"/>
    <w:rsid w:val="0091166D"/>
    <w:rsid w:val="00944B9A"/>
    <w:rsid w:val="009771C0"/>
    <w:rsid w:val="00A04EFC"/>
    <w:rsid w:val="00A218F5"/>
    <w:rsid w:val="00A70686"/>
    <w:rsid w:val="00B954AE"/>
    <w:rsid w:val="00BC1A44"/>
    <w:rsid w:val="00BF0825"/>
    <w:rsid w:val="00C33909"/>
    <w:rsid w:val="00D1138D"/>
    <w:rsid w:val="00D46891"/>
    <w:rsid w:val="00DC2C6B"/>
    <w:rsid w:val="00F509EA"/>
    <w:rsid w:val="00F56457"/>
    <w:rsid w:val="00FC600C"/>
    <w:rsid w:val="00FE5D66"/>
    <w:rsid w:val="0D3A7E64"/>
    <w:rsid w:val="1A3C2FAA"/>
    <w:rsid w:val="3339452E"/>
    <w:rsid w:val="42C40A6B"/>
    <w:rsid w:val="438E7A8D"/>
    <w:rsid w:val="4B016D87"/>
    <w:rsid w:val="567C7468"/>
    <w:rsid w:val="7728307F"/>
    <w:rsid w:val="7E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2158</Words>
  <Characters>2467</Characters>
  <Lines>19</Lines>
  <Paragraphs>5</Paragraphs>
  <TotalTime>0</TotalTime>
  <ScaleCrop>false</ScaleCrop>
  <LinksUpToDate>false</LinksUpToDate>
  <CharactersWithSpaces>2486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shuang</dc:creator>
  <cp:lastModifiedBy>Administrator</cp:lastModifiedBy>
  <dcterms:modified xsi:type="dcterms:W3CDTF">2022-11-29T03:53:27Z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8C66E6A8A6CF463B95E7E444CBE13E23</vt:lpwstr>
  </property>
</Properties>
</file>