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SimHei" w:hAnsi="SimHei" w:eastAsia="SimHei"/>
          <w:sz w:val="32"/>
          <w:szCs w:val="32"/>
          <w:lang w:eastAsia="zh-CN"/>
        </w:rPr>
      </w:pPr>
      <w:r>
        <w:rPr>
          <w:rFonts w:hint="eastAsia" w:ascii="SimHei" w:hAnsi="SimHei" w:eastAsia="SimHei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FangSong" w:hAnsi="FangSong" w:eastAsia="FangSong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rPr>
          <w:rFonts w:ascii="FangSong" w:hAnsi="FangSong" w:eastAsia="FangSong"/>
          <w:b/>
          <w:color w:val="000000"/>
          <w:sz w:val="28"/>
          <w:szCs w:val="28"/>
        </w:rPr>
      </w:pPr>
      <w:r>
        <w:rPr>
          <w:rFonts w:ascii="FangSong" w:hAnsi="FangSong" w:eastAsia="FangSong"/>
          <w:b/>
          <w:color w:val="000000"/>
          <w:sz w:val="28"/>
          <w:szCs w:val="28"/>
        </w:rPr>
        <w:t>一</w:t>
      </w:r>
      <w:r>
        <w:rPr>
          <w:rFonts w:hint="eastAsia" w:ascii="FangSong" w:hAnsi="FangSong" w:eastAsia="FangSong"/>
          <w:b/>
          <w:color w:val="000000"/>
          <w:sz w:val="28"/>
          <w:szCs w:val="28"/>
        </w:rPr>
        <w:t>、</w:t>
      </w:r>
      <w:r>
        <w:rPr>
          <w:rFonts w:ascii="FangSong" w:hAnsi="FangSong" w:eastAsia="FangSong"/>
          <w:b/>
          <w:color w:val="000000"/>
          <w:sz w:val="28"/>
          <w:szCs w:val="28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Cs w:val="21"/>
              </w:rPr>
            </w:pPr>
            <w:r>
              <w:rPr>
                <w:rFonts w:ascii="SimHei" w:hAnsi="SimHei" w:eastAsia="SimHei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SimSun"/>
                <w:szCs w:val="21"/>
                <w:lang w:val="en-US" w:eastAsia="zh-CN"/>
              </w:rPr>
            </w:pPr>
            <w:r>
              <w:rPr>
                <w:rFonts w:eastAsia="SimSun"/>
                <w:szCs w:val="21"/>
              </w:rPr>
              <w:t>20203</w:t>
            </w:r>
            <w:r>
              <w:rPr>
                <w:rFonts w:hint="eastAsia" w:eastAsia="SimSun"/>
                <w:szCs w:val="21"/>
                <w:lang w:val="en-US" w:eastAsia="zh-CN"/>
              </w:rPr>
              <w:t>77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Cs w:val="21"/>
              </w:rPr>
            </w:pPr>
            <w:r>
              <w:rPr>
                <w:rFonts w:ascii="SimHei" w:hAnsi="SimHei" w:eastAsia="SimHei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SimSun"/>
                <w:szCs w:val="21"/>
                <w:lang w:val="en-US" w:eastAsia="zh-CN"/>
              </w:rPr>
            </w:pPr>
            <w:r>
              <w:rPr>
                <w:rFonts w:hint="eastAsia" w:eastAsia="SimSun"/>
                <w:szCs w:val="21"/>
                <w:lang w:val="en-US" w:eastAsia="zh-CN"/>
              </w:rPr>
              <w:t>德语高级阅读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SimSun"/>
                <w:szCs w:val="21"/>
                <w:lang w:val="en-US" w:eastAsia="zh-CN"/>
              </w:rPr>
            </w:pPr>
            <w:r>
              <w:rPr>
                <w:rFonts w:hint="eastAsia" w:eastAsia="SimSun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SimSun"/>
                <w:szCs w:val="21"/>
                <w:lang w:val="en-US" w:eastAsia="zh-CN"/>
              </w:rPr>
            </w:pPr>
            <w:r>
              <w:rPr>
                <w:rFonts w:hint="eastAsia" w:eastAsia="SimSun"/>
                <w:szCs w:val="21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ascii="SimHei" w:hAnsi="SimHei" w:eastAsia="SimHei"/>
                <w:kern w:val="0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Cs w:val="21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SimSun"/>
                <w:szCs w:val="21"/>
              </w:rPr>
            </w:pPr>
            <w:r>
              <w:rPr>
                <w:rFonts w:eastAsia="SimSun"/>
                <w:szCs w:val="21"/>
                <w:lang w:eastAsia="zh-CN"/>
              </w:rPr>
              <w:t>姚佳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ascii="SimHei" w:hAnsi="SimHei" w:eastAsia="SimHei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SimSun"/>
                <w:szCs w:val="21"/>
                <w:lang w:eastAsia="zh-CN"/>
              </w:rPr>
            </w:pPr>
            <w:r>
              <w:rPr>
                <w:rFonts w:eastAsia="SimSun"/>
                <w:szCs w:val="21"/>
                <w:lang w:eastAsia="zh-CN"/>
              </w:rPr>
              <w:t>23047</w:t>
            </w:r>
            <w:r>
              <w:rPr>
                <w:rFonts w:eastAsia="SimSun"/>
                <w:szCs w:val="21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szCs w:val="21"/>
              </w:rPr>
              <w:t>上课</w:t>
            </w:r>
            <w:r>
              <w:rPr>
                <w:rFonts w:hint="eastAsia" w:ascii="SimHei" w:hAnsi="SimHei" w:eastAsia="SimHei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Cs w:val="21"/>
                <w:lang w:eastAsia="zh-CN"/>
              </w:rPr>
            </w:pPr>
            <w:r>
              <w:rPr>
                <w:rFonts w:eastAsia="SimSun"/>
                <w:szCs w:val="21"/>
              </w:rPr>
              <w:t>德语</w:t>
            </w:r>
            <w:r>
              <w:rPr>
                <w:rFonts w:eastAsia="SimSun"/>
                <w:szCs w:val="21"/>
                <w:lang w:eastAsia="zh-CN"/>
              </w:rPr>
              <w:t>B2</w:t>
            </w:r>
            <w:r>
              <w:rPr>
                <w:rFonts w:hint="eastAsia" w:eastAsia="SimSun"/>
                <w:szCs w:val="21"/>
                <w:lang w:val="en-US" w:eastAsia="zh-CN"/>
              </w:rPr>
              <w:t>2</w:t>
            </w:r>
            <w:r>
              <w:rPr>
                <w:rFonts w:eastAsia="SimSun"/>
                <w:szCs w:val="21"/>
                <w:lang w:eastAsia="zh-CN"/>
              </w:rPr>
              <w:t>-1，德语B2</w:t>
            </w:r>
            <w:r>
              <w:rPr>
                <w:rFonts w:hint="eastAsia" w:eastAsia="SimSun"/>
                <w:szCs w:val="21"/>
                <w:lang w:val="en-US" w:eastAsia="zh-CN"/>
              </w:rPr>
              <w:t>2</w:t>
            </w:r>
            <w:r>
              <w:rPr>
                <w:rFonts w:eastAsia="SimSun"/>
                <w:szCs w:val="21"/>
                <w:lang w:eastAsia="zh-CN"/>
              </w:rPr>
              <w:t>-2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Cs w:val="21"/>
                <w:lang w:val="en-US" w:eastAsia="zh-CN"/>
              </w:rPr>
              <w:t>外国语学院329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/>
                <w:kern w:val="0"/>
                <w:szCs w:val="21"/>
              </w:rPr>
              <w:t xml:space="preserve">时间 : 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周一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14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30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-1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:</w:t>
            </w: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0</w:t>
            </w:r>
            <w:r>
              <w:rPr>
                <w:rFonts w:eastAsiaTheme="minorEastAsia"/>
                <w:kern w:val="0"/>
                <w:szCs w:val="21"/>
                <w:lang w:val="de-DE" w:eastAsia="zh-CN"/>
              </w:rPr>
              <w:t>0</w:t>
            </w:r>
            <w:r>
              <w:rPr>
                <w:rFonts w:eastAsiaTheme="minorEastAsia"/>
                <w:kern w:val="0"/>
                <w:szCs w:val="21"/>
              </w:rPr>
              <w:t xml:space="preserve"> 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kern w:val="0"/>
                <w:szCs w:val="21"/>
              </w:rPr>
              <w:t xml:space="preserve">地点: </w:t>
            </w:r>
            <w:r>
              <w:rPr>
                <w:rFonts w:eastAsiaTheme="minorEastAsia"/>
                <w:kern w:val="0"/>
                <w:szCs w:val="21"/>
                <w:lang w:eastAsia="zh-CN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《全国高等学校德语专业四级考试真题集（新题型）》，主编：孔德明，外语教学与研究出版社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《全国高等学校德语专业四级考试真题集（新题型）》，主编：孔德明，外语教学与研究出版社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《全国高等学校德语专业四级考试样题集（上）（下）》，全国高等学校德语专业四级考试中心编，外语教学与研究出版社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《德语专业四级应试全攻略》，彭彧，方宜盛编著，同济大学出版社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《全国德语专业四级考试真题与解析 </w:t>
            </w:r>
            <w:r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  <w:t>2009-2012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》，全国高等学校德语专业四级考试中心编，外语教学与研究出版社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 xml:space="preserve">《全国德语专业四级考试真题与解析 </w:t>
            </w:r>
            <w:r>
              <w:rPr>
                <w:rFonts w:hint="default" w:asciiTheme="minorEastAsia" w:hAnsiTheme="minorEastAsia" w:eastAsiaTheme="minorEastAsia"/>
                <w:kern w:val="0"/>
                <w:szCs w:val="21"/>
                <w:lang w:val="en-US" w:eastAsia="zh-CN"/>
              </w:rPr>
              <w:t>2016-2018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  <w:lang w:val="en-US" w:eastAsia="zh-CN"/>
              </w:rPr>
              <w:t>》主编：孔德明，外语教学与研究出版社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</w:rPr>
      </w:pPr>
    </w:p>
    <w:p>
      <w:pPr>
        <w:snapToGrid w:val="0"/>
        <w:spacing w:before="180" w:beforeLines="50" w:after="180" w:afterLines="50"/>
        <w:rPr>
          <w:rFonts w:ascii="FangSong" w:hAnsi="FangSong" w:eastAsia="FangSong"/>
          <w:b/>
          <w:color w:val="000000"/>
          <w:sz w:val="28"/>
          <w:szCs w:val="28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德语专四中常见的话题类型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SimSun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常见德语阅读方法讲解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生词的处理方法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 xml:space="preserve">篇章结构与衔接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  <w:bCs/>
                <w:color w:val="000000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>难长句子的处理</w:t>
            </w:r>
            <w:r>
              <w:rPr>
                <w:rFonts w:hint="eastAsia" w:ascii="SimSun" w:hAnsi="SimSun" w:eastAsia="SimSun" w:cs="SimSu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eastAsia="SimSun"/>
                <w:lang w:val="en-US" w:eastAsia="zh-CN"/>
              </w:rPr>
              <w:t xml:space="preserve">德语阅读中的说明文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说明文在专四考试中的题型特点及解题思路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故事类文章在专四考试中的题型特点及解题思路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color w:val="000000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科普类文章在专四考试中的题型特点及解题思路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kern w:val="0"/>
              </w:rPr>
            </w:pPr>
            <w:r>
              <w:rPr>
                <w:rFonts w:eastAsia="SimSun"/>
                <w:kern w:val="0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社会问题类文章在专四考试中的题型特点及解题思路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社会问题类文章在专四考试中的题型特点及解题思路（2）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widowControl w:val="0"/>
              <w:spacing w:line="240" w:lineRule="auto"/>
              <w:jc w:val="left"/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环境保护类文章在专四考试中的题型特点及解题思路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心理学类文章在专四考试中的题型特点及解题思路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新科技类文章在专四考试中的题型特点及解题思路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2"/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新科技类文章在专四考试中的题型特点及解题思路(2)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SimSun"/>
                <w:lang w:eastAsia="zh-C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SimSu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不良的阅读习惯及其改善方法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eastAsia="SimSun"/>
                <w:lang w:val="en-US" w:eastAsia="zh-CN"/>
              </w:rPr>
            </w:pPr>
            <w:r>
              <w:rPr>
                <w:rFonts w:hint="eastAsia" w:eastAsia="SimSun"/>
                <w:lang w:val="en-US" w:eastAsia="zh-CN"/>
              </w:rPr>
              <w:t>讲课、练习、讨论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SimSun"/>
              </w:rPr>
            </w:pPr>
            <w:r>
              <w:rPr>
                <w:rFonts w:hint="eastAsia" w:ascii="SimSun" w:hAnsi="SimSun" w:eastAsia="SimSun" w:cs="SimSun"/>
                <w:color w:val="000000"/>
                <w:kern w:val="0"/>
                <w:sz w:val="24"/>
                <w:szCs w:val="24"/>
                <w:lang w:val="en-US" w:eastAsia="zh-CN" w:bidi="ar"/>
              </w:rPr>
              <w:t>复习所讲内容，完成真题训练</w:t>
            </w:r>
          </w:p>
        </w:tc>
      </w:tr>
    </w:tbl>
    <w:p>
      <w:pPr>
        <w:snapToGrid w:val="0"/>
        <w:rPr>
          <w:rFonts w:ascii="FangSong" w:hAnsi="FangSong" w:eastAsia="FangSong"/>
          <w:b/>
          <w:color w:val="000000"/>
          <w:sz w:val="28"/>
          <w:szCs w:val="28"/>
        </w:rPr>
      </w:pPr>
    </w:p>
    <w:p>
      <w:pPr>
        <w:snapToGrid w:val="0"/>
        <w:spacing w:before="360" w:beforeLines="100" w:after="180" w:afterLines="50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W w:w="88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783"/>
        <w:gridCol w:w="1827"/>
        <w:gridCol w:w="182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项目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（1）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（X1）</w:t>
            </w:r>
          </w:p>
        </w:tc>
        <w:tc>
          <w:tcPr>
            <w:tcW w:w="1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（X2）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5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考核形式</w:t>
            </w:r>
          </w:p>
        </w:tc>
        <w:tc>
          <w:tcPr>
            <w:tcW w:w="178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  <w:lang w:eastAsia="zh-CN"/>
              </w:rPr>
              <w:t>期末闭卷考</w:t>
            </w:r>
          </w:p>
        </w:tc>
        <w:tc>
          <w:tcPr>
            <w:tcW w:w="182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  <w:lang w:eastAsia="zh-CN"/>
              </w:rPr>
              <w:t>纸笔测验</w:t>
            </w:r>
          </w:p>
        </w:tc>
        <w:tc>
          <w:tcPr>
            <w:tcW w:w="182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Cs w:val="21"/>
                <w:lang w:eastAsia="zh-CN"/>
              </w:rPr>
              <w:t>期中考试</w:t>
            </w:r>
          </w:p>
        </w:tc>
        <w:tc>
          <w:tcPr>
            <w:tcW w:w="182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  <w:lang w:eastAsia="zh-CN"/>
              </w:rPr>
              <w:t>平时作业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5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占总评成绩的比例</w:t>
            </w:r>
          </w:p>
        </w:tc>
        <w:tc>
          <w:tcPr>
            <w:tcW w:w="17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55%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15%</w:t>
            </w:r>
          </w:p>
        </w:tc>
        <w:tc>
          <w:tcPr>
            <w:tcW w:w="182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15%</w:t>
            </w:r>
          </w:p>
        </w:tc>
        <w:tc>
          <w:tcPr>
            <w:tcW w:w="182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SimHei" w:hAnsi="SimHei" w:eastAsia="SimHei"/>
                <w:kern w:val="0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Cs w:val="21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drawing>
          <wp:inline distT="0" distB="0" distL="114300" distR="114300">
            <wp:extent cx="836930" cy="419735"/>
            <wp:effectExtent l="0" t="0" r="1270" b="184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624205" cy="564515"/>
            <wp:effectExtent l="0" t="0" r="4445" b="6985"/>
            <wp:docPr id="9171935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3576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137" cy="59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FangSong" w:hAnsi="FangSong" w:eastAsia="FangSong"/>
          <w:sz w:val="28"/>
          <w:szCs w:val="28"/>
          <w:lang w:eastAsia="zh-CN"/>
        </w:rPr>
      </w:pP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日期：202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4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.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3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Sim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  <w:lang w:eastAsia="zh-CN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SimSun" w:hAnsi="SimSun" w:eastAsia="SimSun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NGMwNzZhYWFlZjdlZDdmMDkwZjAxYzg0ZmFiNTcifQ=="/>
  </w:docVars>
  <w:rsids>
    <w:rsidRoot w:val="00475657"/>
    <w:rsid w:val="00001A9A"/>
    <w:rsid w:val="00006E31"/>
    <w:rsid w:val="000138B2"/>
    <w:rsid w:val="000369D9"/>
    <w:rsid w:val="00040BAC"/>
    <w:rsid w:val="000439B6"/>
    <w:rsid w:val="000457BB"/>
    <w:rsid w:val="00045AE0"/>
    <w:rsid w:val="00046519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1B5C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2C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6CB3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6B1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3F3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9A0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4CD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3A0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27FA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3ED"/>
    <w:rsid w:val="00DC78C9"/>
    <w:rsid w:val="00DC7AA0"/>
    <w:rsid w:val="00DD0E64"/>
    <w:rsid w:val="00DD3088"/>
    <w:rsid w:val="00DD78B1"/>
    <w:rsid w:val="00DE7A45"/>
    <w:rsid w:val="00DF1D4C"/>
    <w:rsid w:val="00DF7EBD"/>
    <w:rsid w:val="00E01921"/>
    <w:rsid w:val="00E020D5"/>
    <w:rsid w:val="00E02A66"/>
    <w:rsid w:val="00E0455C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42F"/>
    <w:rsid w:val="00FD313C"/>
    <w:rsid w:val="00FE319F"/>
    <w:rsid w:val="00FE6709"/>
    <w:rsid w:val="00FF2D60"/>
    <w:rsid w:val="0250298D"/>
    <w:rsid w:val="0B02141F"/>
    <w:rsid w:val="0C833994"/>
    <w:rsid w:val="0DB76A4A"/>
    <w:rsid w:val="199D2E85"/>
    <w:rsid w:val="1B9B294B"/>
    <w:rsid w:val="2E59298A"/>
    <w:rsid w:val="30D072F4"/>
    <w:rsid w:val="372B09DB"/>
    <w:rsid w:val="37E50B00"/>
    <w:rsid w:val="49DF08B3"/>
    <w:rsid w:val="4F66234F"/>
    <w:rsid w:val="53C438F2"/>
    <w:rsid w:val="59594ADC"/>
    <w:rsid w:val="64C45724"/>
    <w:rsid w:val="65310993"/>
    <w:rsid w:val="663C37BC"/>
    <w:rsid w:val="6E256335"/>
    <w:rsid w:val="6EB82414"/>
    <w:rsid w:val="6F47783B"/>
    <w:rsid w:val="700912C5"/>
    <w:rsid w:val="74F62C86"/>
    <w:rsid w:val="78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字符"/>
    <w:basedOn w:val="7"/>
    <w:link w:val="2"/>
    <w:autoRedefine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1909B-4009-411D-A265-8D3F12B11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</Pages>
  <Words>304</Words>
  <Characters>1737</Characters>
  <Lines>14</Lines>
  <Paragraphs>4</Paragraphs>
  <TotalTime>1</TotalTime>
  <ScaleCrop>false</ScaleCrop>
  <LinksUpToDate>false</LinksUpToDate>
  <CharactersWithSpaces>2037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2021-09-17T06:19:00Z</dcterms:created>
  <dc:creator>*****</dc:creator>
  <cp:lastModifiedBy>WPS_1646906446</cp:lastModifiedBy>
  <cp:lastPrinted>2022-10-24T00:04:00Z</cp:lastPrinted>
  <dcterms:modified xsi:type="dcterms:W3CDTF">2024-03-03T14:58:47Z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FC185AD3674B43548F3B7DE7900B86FD_12</vt:lpwstr>
  </property>
</Properties>
</file>