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《外贸单证制作》本科课程教学大纲</w:t>
      </w:r>
    </w:p>
    <w:p w14:paraId="6ECD5700">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（中文）外贸单证制作</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（英文）P</w:t>
            </w:r>
            <w:r>
              <w:rPr>
                <w:rFonts w:ascii="黑体" w:hAnsi="黑体" w:eastAsia="黑体"/>
                <w:color w:val="000000" w:themeColor="text1"/>
                <w:sz w:val="21"/>
                <w:szCs w:val="21"/>
                <w14:textFill>
                  <w14:solidFill>
                    <w14:schemeClr w14:val="tx1"/>
                  </w14:solidFill>
                </w14:textFill>
              </w:rPr>
              <w:t>roduction of foreign trade documents</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2060200</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英语专业本科三年级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专业课程</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6"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国际贸易单证实务（第三版）</w:t>
            </w:r>
            <w:r>
              <w:rPr>
                <w:rFonts w:hint="eastAsia" w:ascii="Times New Roman" w:hAnsi="Times New Roman"/>
                <w:color w:val="000000" w:themeColor="text1"/>
                <w:sz w:val="21"/>
                <w:szCs w:val="21"/>
                <w14:textFill>
                  <w14:solidFill>
                    <w14:schemeClr w14:val="tx1"/>
                  </w14:solidFill>
                </w14:textFill>
              </w:rPr>
              <w:t>》成丽著</w:t>
            </w:r>
            <w:r>
              <w:rPr>
                <w:rFonts w:ascii="Times New Roman" w:hAnsi="Times New Roman"/>
                <w:color w:val="000000" w:themeColor="text1"/>
                <w:sz w:val="21"/>
                <w:szCs w:val="21"/>
                <w14:textFill>
                  <w14:solidFill>
                    <w14:schemeClr w14:val="tx1"/>
                  </w14:solidFill>
                </w14:textFill>
              </w:rPr>
              <w:t>9787300325415中国人民大学出版社</w:t>
            </w:r>
            <w:r>
              <w:rPr>
                <w:rFonts w:hint="eastAsia" w:ascii="Times New Roman" w:hAnsi="Times New Roman"/>
                <w:color w:val="000000" w:themeColor="text1"/>
                <w:sz w:val="21"/>
                <w:szCs w:val="21"/>
                <w14:textFill>
                  <w14:solidFill>
                    <w14:schemeClr w14:val="tx1"/>
                  </w14:solidFill>
                </w14:textFill>
              </w:rPr>
              <w:t>第三版</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4"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5"/>
              <w:widowControl w:val="0"/>
              <w:jc w:val="both"/>
            </w:pPr>
            <w:r>
              <w:rPr>
                <w:rFonts w:hint="eastAsia"/>
                <w:color w:val="000000" w:themeColor="text1"/>
                <w14:textFill>
                  <w14:solidFill>
                    <w14:schemeClr w14:val="tx1"/>
                  </w14:solidFill>
                </w14:textFill>
              </w:rPr>
              <w:t>《国际贸易实务》1020054，2</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95"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pStyle w:val="15"/>
              <w:widowControl w:val="0"/>
              <w:ind w:firstLine="420" w:firstLineChars="200"/>
              <w:jc w:val="both"/>
            </w:pPr>
            <w:r>
              <w:t>单证工作是进出口业务的核心环节，既是国际贸易的基本工具，也是履行合同的重要凭证。单证制作的质量直接影响企业的结汇安全与业务顺利进行。《外贸单证制作》课程作为英语专业课</w:t>
            </w:r>
            <w:r>
              <w:rPr>
                <w:rFonts w:hint="eastAsia"/>
              </w:rPr>
              <w:t>程</w:t>
            </w:r>
            <w:r>
              <w:t>，旨在帮助学生掌握外贸单证制作的核心技能。课程将国际贸易理论与实务相结合，围绕单证的种类、用途、缮制及流转程序展开，系统讲解单证的制作、管理与传递等实务操作，并深入分析单证工作的意义、基本要求及制作规范。通过学习，学生不仅能掌握国际惯例和相关理论，独立处理单证工作，还能为未来在进出口企业、货代公司及国际市场开发等领域的职业发展奠定坚实基础。</w:t>
            </w: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63"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pStyle w:val="15"/>
              <w:widowControl w:val="0"/>
              <w:ind w:firstLine="420" w:firstLineChars="200"/>
              <w:jc w:val="both"/>
            </w:pPr>
            <w:r>
              <w:rPr>
                <w:rFonts w:hint="eastAsia"/>
              </w:rPr>
              <w:t>本课程要求学生具备一定国际贸易理论及实务知识储备；同时，课程中多为英文单证，要求学生有一定的专业英文基础，适合大三年级学生学习。</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0" distR="0">
                  <wp:extent cx="865505" cy="333375"/>
                  <wp:effectExtent l="0" t="0" r="0" b="0"/>
                  <wp:docPr id="16692138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3813" name="图片 1"/>
                          <pic:cNvPicPr>
                            <a:picLocks noChangeAspect="1"/>
                          </pic:cNvPicPr>
                        </pic:nvPicPr>
                        <pic:blipFill>
                          <a:blip r:embed="rId5"/>
                          <a:stretch>
                            <a:fillRect/>
                          </a:stretch>
                        </pic:blipFill>
                        <pic:spPr>
                          <a:xfrm>
                            <a:off x="0" y="0"/>
                            <a:ext cx="946678" cy="365207"/>
                          </a:xfrm>
                          <a:prstGeom prst="rect">
                            <a:avLst/>
                          </a:prstGeom>
                        </pic:spPr>
                      </pic:pic>
                    </a:graphicData>
                  </a:graphic>
                </wp:inline>
              </w:drawing>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2025.2</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center"/>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713105" cy="29083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2025.2</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center"/>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1122922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22072"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2025.2</w:t>
            </w:r>
          </w:p>
        </w:tc>
      </w:tr>
    </w:tbl>
    <w:p w14:paraId="0E671D4E">
      <w:pPr>
        <w:spacing w:line="100" w:lineRule="exact"/>
        <w:rPr>
          <w:rFonts w:ascii="Arial" w:hAnsi="Arial" w:eastAsia="黑体"/>
        </w:rPr>
      </w:pPr>
      <w:r>
        <w:br w:type="page"/>
      </w:r>
    </w:p>
    <w:p w14:paraId="33F2E72F">
      <w:pPr>
        <w:pStyle w:val="17"/>
        <w:spacing w:before="326" w:beforeLines="100" w:line="360" w:lineRule="auto"/>
        <w:rPr>
          <w:rFonts w:ascii="黑体" w:hAnsi="宋体"/>
        </w:rPr>
      </w:pPr>
      <w:r>
        <w:rPr>
          <w:rFonts w:hint="eastAsia" w:ascii="黑体" w:hAnsi="宋体"/>
        </w:rPr>
        <w:t>二、课程目标与毕业要求</w:t>
      </w:r>
    </w:p>
    <w:p w14:paraId="4FA1CB46">
      <w:pPr>
        <w:pStyle w:val="18"/>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2D42B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0DA4DE0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8E64C8C">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6134B7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4243B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73259CC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04FB9253">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42293785">
            <w:pPr>
              <w:pStyle w:val="15"/>
              <w:jc w:val="left"/>
              <w:rPr>
                <w:rFonts w:ascii="宋体" w:hAnsi="宋体"/>
                <w:bCs/>
              </w:rPr>
            </w:pPr>
            <w:r>
              <w:rPr>
                <w:rFonts w:hint="eastAsia" w:ascii="宋体" w:hAnsi="宋体"/>
                <w:bCs/>
              </w:rPr>
              <w:t>理解外贸单证的基本概念、种类、用途及其在国际贸易中的作用，深入理解外贸单证的流转过程和制单要求，知道国际贸易单证制作与流转中常涉及的惯例和法规</w:t>
            </w:r>
            <w:r>
              <w:rPr>
                <w:rFonts w:ascii="宋体" w:hAnsi="宋体"/>
                <w:bCs/>
              </w:rPr>
              <w:t>，以及相关的国际贸易法律法规。</w:t>
            </w:r>
          </w:p>
        </w:tc>
      </w:tr>
      <w:tr w14:paraId="1425E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B46D6DA">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7AD428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CDD62D9">
            <w:pPr>
              <w:pStyle w:val="15"/>
              <w:jc w:val="left"/>
              <w:rPr>
                <w:rFonts w:ascii="宋体" w:hAnsi="宋体"/>
                <w:bCs/>
              </w:rPr>
            </w:pPr>
            <w:r>
              <w:rPr>
                <w:rFonts w:hint="eastAsia" w:ascii="宋体" w:hAnsi="宋体"/>
                <w:bCs/>
              </w:rPr>
              <w:t>能够根据国际贸易业务背景和要求，独立、准确地完成信用证的审核及各类外贸单证的缮制，熟练制作电子单证、操作单证系统。</w:t>
            </w:r>
          </w:p>
        </w:tc>
      </w:tr>
      <w:tr w14:paraId="7451A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E43615C">
            <w:pPr>
              <w:pStyle w:val="15"/>
              <w:rPr>
                <w:rFonts w:ascii="宋体" w:hAnsi="宋体"/>
              </w:rPr>
            </w:pPr>
          </w:p>
        </w:tc>
        <w:tc>
          <w:tcPr>
            <w:tcW w:w="764" w:type="dxa"/>
            <w:shd w:val="clear" w:color="auto" w:fill="auto"/>
            <w:vAlign w:val="center"/>
          </w:tcPr>
          <w:p w14:paraId="49FAC476">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44FCBFE">
            <w:pPr>
              <w:pStyle w:val="15"/>
              <w:jc w:val="left"/>
              <w:rPr>
                <w:rFonts w:ascii="宋体" w:hAnsi="宋体"/>
                <w:bCs/>
              </w:rPr>
            </w:pPr>
            <w:r>
              <w:rPr>
                <w:rFonts w:hint="eastAsia" w:ascii="宋体" w:hAnsi="宋体"/>
                <w:bCs/>
              </w:rPr>
              <w:t>能够熟练掌握单证审核的技巧，有效识别单证中的错误与风险，并能根据国际贸易环境及时修改单证，提高单证的风险防控能力。</w:t>
            </w:r>
          </w:p>
        </w:tc>
      </w:tr>
      <w:tr w14:paraId="5D145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324" w:hRule="atLeast"/>
          <w:jc w:val="center"/>
        </w:trPr>
        <w:tc>
          <w:tcPr>
            <w:tcW w:w="1206" w:type="dxa"/>
            <w:vAlign w:val="center"/>
          </w:tcPr>
          <w:p w14:paraId="7AE8B9A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D283C9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BA8B0B1">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318F2F3F">
            <w:pPr>
              <w:pStyle w:val="15"/>
              <w:jc w:val="left"/>
              <w:rPr>
                <w:rFonts w:ascii="宋体" w:hAnsi="宋体"/>
                <w:bCs/>
              </w:rPr>
            </w:pPr>
            <w:r>
              <w:rPr>
                <w:rFonts w:hint="eastAsia" w:cs="Times New Roman"/>
              </w:rPr>
              <w:t>专业知识与德育元素自然和谐，明确爱国、诚信、敬业、友爱的精神，建立符合社会主义道德要求的价值观。</w:t>
            </w:r>
            <w:r>
              <w:rPr>
                <w:rFonts w:hint="eastAsia" w:ascii="宋体" w:hAnsi="宋体"/>
                <w:bCs/>
              </w:rPr>
              <w:t>在单证制作过程中，树立高度的诚信意识，严格遵守职业道德规范，保证单证的真实性和准确性。</w:t>
            </w:r>
          </w:p>
        </w:tc>
      </w:tr>
    </w:tbl>
    <w:p w14:paraId="089BD5FC">
      <w:pPr>
        <w:pStyle w:val="18"/>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9DB8E2">
            <w:pPr>
              <w:pStyle w:val="15"/>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pPr>
              <w:pStyle w:val="15"/>
              <w:widowControl w:val="0"/>
              <w:jc w:val="left"/>
              <w:rPr>
                <w:rFonts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1DBB568">
            <w:pPr>
              <w:pStyle w:val="15"/>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14:paraId="04CB09E3">
            <w:pPr>
              <w:pStyle w:val="15"/>
              <w:widowControl w:val="0"/>
              <w:jc w:val="left"/>
              <w:rPr>
                <w:rFonts w:ascii="宋体" w:hAnsi="宋体"/>
                <w:bCs/>
              </w:rPr>
            </w:pPr>
            <w:r>
              <w:rPr>
                <w:rFonts w:hint="eastAsia" w:ascii="宋体" w:hAnsi="宋体"/>
                <w:bCs/>
              </w:rPr>
              <w:t>①具有专业所需的人文科学素养。</w:t>
            </w:r>
          </w:p>
          <w:p w14:paraId="3E6C85A2">
            <w:pPr>
              <w:pStyle w:val="15"/>
              <w:widowControl w:val="0"/>
              <w:jc w:val="left"/>
              <w:rPr>
                <w:rFonts w:ascii="宋体" w:hAnsi="宋体"/>
                <w:bCs/>
              </w:rPr>
            </w:pPr>
            <w:r>
              <w:rPr>
                <w:rFonts w:hint="eastAsia" w:ascii="宋体" w:hAnsi="宋体"/>
                <w:bCs/>
              </w:rPr>
              <w:t>⑤掌握商务实践知识，具有较强的外贸实务操作能力</w:t>
            </w:r>
            <w:r>
              <w:rPr>
                <w:rFonts w:ascii="宋体" w:hAnsi="宋体"/>
                <w:bCs/>
              </w:rPr>
              <w:t>。</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F3E7FCC">
            <w:pPr>
              <w:pStyle w:val="15"/>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14:paraId="34E2F022">
            <w:pPr>
              <w:pStyle w:val="15"/>
              <w:widowControl w:val="0"/>
              <w:jc w:val="left"/>
              <w:rPr>
                <w:rFonts w:ascii="宋体" w:hAnsi="宋体"/>
                <w:bCs/>
              </w:rPr>
            </w:pPr>
            <w:r>
              <w:rPr>
                <w:rFonts w:hint="eastAsia" w:ascii="宋体" w:hAnsi="宋体"/>
                <w:bCs/>
              </w:rPr>
              <w:t>②有质疑精神，能有逻辑的分析与批判。</w:t>
            </w:r>
          </w:p>
        </w:tc>
      </w:tr>
      <w:tr w14:paraId="16CDA86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39AF18">
            <w:pPr>
              <w:pStyle w:val="15"/>
              <w:widowControl w:val="0"/>
              <w:jc w:val="left"/>
              <w:rPr>
                <w:rFonts w:ascii="宋体" w:hAnsi="宋体"/>
                <w:bCs/>
              </w:rPr>
            </w:pPr>
            <w:r>
              <w:rPr>
                <w:rFonts w:cs="Times New Roman"/>
              </w:rPr>
              <w:t>LO7</w:t>
            </w:r>
            <w:r>
              <w:rPr>
                <w:rFonts w:ascii="宋体" w:hAnsi="宋体"/>
                <w:bCs/>
              </w:rPr>
              <w:t>信息应用：具备一定的信息素养，并能在工作中应用信息技术和工具解决问题。</w:t>
            </w:r>
          </w:p>
          <w:p w14:paraId="706CBE4E">
            <w:pPr>
              <w:pStyle w:val="15"/>
              <w:widowControl w:val="0"/>
              <w:jc w:val="left"/>
              <w:rPr>
                <w:rFonts w:ascii="宋体" w:hAnsi="宋体"/>
                <w:bCs/>
              </w:rPr>
            </w:pPr>
            <w:r>
              <w:rPr>
                <w:rFonts w:hint="eastAsia" w:ascii="宋体" w:hAnsi="宋体"/>
                <w:bCs/>
              </w:rPr>
              <w:t>①能够根据需要进行专业文献检索。</w:t>
            </w:r>
          </w:p>
        </w:tc>
      </w:tr>
    </w:tbl>
    <w:p w14:paraId="6A27BE0A">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484B0D79">
            <w:pPr>
              <w:pStyle w:val="14"/>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0250B94C">
            <w:pPr>
              <w:pStyle w:val="14"/>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DE14005">
            <w:pPr>
              <w:pStyle w:val="14"/>
              <w:rPr>
                <w:szCs w:val="16"/>
              </w:rPr>
            </w:pPr>
            <w:r>
              <w:rPr>
                <w:rFonts w:hint="eastAsia"/>
                <w:szCs w:val="16"/>
              </w:rPr>
              <w:t>支撑度</w:t>
            </w:r>
          </w:p>
        </w:tc>
        <w:tc>
          <w:tcPr>
            <w:tcW w:w="4651" w:type="dxa"/>
            <w:tcBorders>
              <w:top w:val="single" w:color="auto" w:sz="12" w:space="0"/>
            </w:tcBorders>
            <w:vAlign w:val="center"/>
          </w:tcPr>
          <w:p w14:paraId="2D9AEFC2">
            <w:pPr>
              <w:pStyle w:val="14"/>
              <w:rPr>
                <w:szCs w:val="16"/>
              </w:rPr>
            </w:pPr>
            <w:r>
              <w:rPr>
                <w:rFonts w:hint="eastAsia"/>
                <w:szCs w:val="16"/>
              </w:rPr>
              <w:t>课程目标</w:t>
            </w:r>
          </w:p>
        </w:tc>
        <w:tc>
          <w:tcPr>
            <w:tcW w:w="1316" w:type="dxa"/>
            <w:tcBorders>
              <w:top w:val="single" w:color="auto" w:sz="12" w:space="0"/>
              <w:right w:val="single" w:color="auto" w:sz="12" w:space="0"/>
            </w:tcBorders>
            <w:vAlign w:val="center"/>
          </w:tcPr>
          <w:p w14:paraId="2BECB08E">
            <w:pPr>
              <w:pStyle w:val="14"/>
              <w:rPr>
                <w:szCs w:val="16"/>
              </w:rPr>
            </w:pPr>
            <w:r>
              <w:rPr>
                <w:rFonts w:hint="eastAsia"/>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194D883D">
            <w:pPr>
              <w:pStyle w:val="15"/>
            </w:pPr>
            <w:r>
              <w:rPr>
                <w:rFonts w:hint="eastAsia"/>
              </w:rPr>
              <w:t>LO</w:t>
            </w:r>
            <w:r>
              <w:t>1</w:t>
            </w:r>
          </w:p>
        </w:tc>
        <w:tc>
          <w:tcPr>
            <w:tcW w:w="775" w:type="dxa"/>
            <w:tcBorders>
              <w:left w:val="single" w:color="auto" w:sz="4" w:space="0"/>
            </w:tcBorders>
            <w:vAlign w:val="center"/>
          </w:tcPr>
          <w:p w14:paraId="4E705B22">
            <w:pPr>
              <w:pStyle w:val="15"/>
              <w:rPr>
                <w:rFonts w:cs="Times New Roman"/>
                <w:bCs/>
              </w:rPr>
            </w:pPr>
            <w:r>
              <w:rPr>
                <w:rFonts w:hint="eastAsia" w:ascii="宋体" w:hAnsi="宋体"/>
                <w:bCs/>
              </w:rPr>
              <w:t>⑤</w:t>
            </w:r>
          </w:p>
        </w:tc>
        <w:tc>
          <w:tcPr>
            <w:tcW w:w="775" w:type="dxa"/>
            <w:tcBorders>
              <w:right w:val="double" w:color="auto" w:sz="4" w:space="0"/>
            </w:tcBorders>
            <w:shd w:val="clear" w:color="auto" w:fill="auto"/>
            <w:vAlign w:val="center"/>
          </w:tcPr>
          <w:p w14:paraId="4765126D">
            <w:pPr>
              <w:pStyle w:val="15"/>
              <w:rPr>
                <w:rFonts w:ascii="宋体" w:hAnsi="宋体"/>
              </w:rPr>
            </w:pPr>
            <w:r>
              <w:rPr>
                <w:rFonts w:hint="eastAsia" w:ascii="宋体" w:hAnsi="宋体"/>
              </w:rPr>
              <w:t>M</w:t>
            </w:r>
          </w:p>
        </w:tc>
        <w:tc>
          <w:tcPr>
            <w:tcW w:w="4651" w:type="dxa"/>
            <w:vAlign w:val="center"/>
          </w:tcPr>
          <w:p w14:paraId="61D5CC33">
            <w:pPr>
              <w:pStyle w:val="15"/>
              <w:jc w:val="left"/>
              <w:rPr>
                <w:rFonts w:ascii="宋体" w:hAnsi="宋体"/>
                <w:bCs/>
              </w:rPr>
            </w:pPr>
            <w:r>
              <w:rPr>
                <w:rFonts w:ascii="宋体" w:hAnsi="宋体"/>
                <w:bCs/>
              </w:rPr>
              <w:t>4.</w:t>
            </w:r>
            <w:r>
              <w:rPr>
                <w:rFonts w:hint="eastAsia" w:cs="Times New Roman"/>
              </w:rPr>
              <w:t xml:space="preserve"> 专业知识与德育元素自然和谐，明确爱国、诚信、敬业、友爱的精神，建立符合社会主义道德要求的价值观。</w:t>
            </w:r>
            <w:r>
              <w:rPr>
                <w:rFonts w:hint="eastAsia" w:ascii="宋体" w:hAnsi="宋体"/>
                <w:bCs/>
              </w:rPr>
              <w:t>在单证制作过程中，树立高度的诚信意识，严格遵守职业道德规范，保证单证的真实性和准确性。</w:t>
            </w:r>
          </w:p>
        </w:tc>
        <w:tc>
          <w:tcPr>
            <w:tcW w:w="1316" w:type="dxa"/>
            <w:tcBorders>
              <w:right w:val="single" w:color="auto" w:sz="12" w:space="0"/>
            </w:tcBorders>
            <w:vAlign w:val="center"/>
          </w:tcPr>
          <w:p w14:paraId="62079831">
            <w:pPr>
              <w:pStyle w:val="15"/>
              <w:rPr>
                <w:rFonts w:ascii="宋体" w:hAnsi="宋体"/>
                <w:bCs/>
              </w:rPr>
            </w:pPr>
            <w:r>
              <w:rPr>
                <w:rFonts w:ascii="宋体" w:hAnsi="宋体"/>
                <w:bCs/>
              </w:rPr>
              <w:t>100</w:t>
            </w:r>
            <w:r>
              <w:rPr>
                <w:rFonts w:hint="eastAsia" w:ascii="宋体" w:hAnsi="宋体"/>
                <w:bCs/>
              </w:rPr>
              <w:t>%</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75C2C345">
            <w:pPr>
              <w:pStyle w:val="15"/>
            </w:pPr>
            <w:r>
              <w:rPr>
                <w:rFonts w:hint="eastAsia"/>
              </w:rPr>
              <w:t>LO</w:t>
            </w:r>
            <w:r>
              <w:t>2</w:t>
            </w:r>
          </w:p>
        </w:tc>
        <w:tc>
          <w:tcPr>
            <w:tcW w:w="775" w:type="dxa"/>
            <w:vMerge w:val="restart"/>
            <w:tcBorders>
              <w:left w:val="single" w:color="auto" w:sz="4" w:space="0"/>
            </w:tcBorders>
            <w:vAlign w:val="center"/>
          </w:tcPr>
          <w:p w14:paraId="4BCA33D0">
            <w:pPr>
              <w:pStyle w:val="15"/>
              <w:rPr>
                <w:rFonts w:cs="Times New Roman"/>
                <w:bCs/>
              </w:rPr>
            </w:pPr>
            <w:r>
              <w:rPr>
                <w:rFonts w:hint="eastAsia" w:cs="Times New Roman"/>
                <w:bCs/>
              </w:rPr>
              <w:t>①⑤</w:t>
            </w:r>
          </w:p>
        </w:tc>
        <w:tc>
          <w:tcPr>
            <w:tcW w:w="775" w:type="dxa"/>
            <w:vMerge w:val="restart"/>
            <w:tcBorders>
              <w:right w:val="double" w:color="auto" w:sz="4" w:space="0"/>
            </w:tcBorders>
            <w:shd w:val="clear" w:color="auto" w:fill="auto"/>
            <w:vAlign w:val="center"/>
          </w:tcPr>
          <w:p w14:paraId="2732953F">
            <w:pPr>
              <w:pStyle w:val="15"/>
              <w:rPr>
                <w:rFonts w:ascii="宋体" w:hAnsi="宋体"/>
              </w:rPr>
            </w:pPr>
            <w:r>
              <w:rPr>
                <w:rFonts w:hint="eastAsia" w:ascii="宋体" w:hAnsi="宋体"/>
              </w:rPr>
              <w:t>H</w:t>
            </w:r>
          </w:p>
        </w:tc>
        <w:tc>
          <w:tcPr>
            <w:tcW w:w="4651" w:type="dxa"/>
            <w:vAlign w:val="center"/>
          </w:tcPr>
          <w:p w14:paraId="067AA3D9">
            <w:pPr>
              <w:pStyle w:val="15"/>
              <w:jc w:val="left"/>
              <w:rPr>
                <w:rFonts w:ascii="宋体" w:hAnsi="宋体"/>
                <w:bCs/>
              </w:rPr>
            </w:pPr>
            <w:r>
              <w:rPr>
                <w:rFonts w:hint="eastAsia" w:ascii="宋体" w:hAnsi="宋体"/>
                <w:bCs/>
              </w:rPr>
              <w:t>2</w:t>
            </w:r>
            <w:r>
              <w:rPr>
                <w:rFonts w:ascii="宋体" w:hAnsi="宋体"/>
                <w:bCs/>
              </w:rPr>
              <w:t xml:space="preserve">. </w:t>
            </w:r>
            <w:r>
              <w:rPr>
                <w:rFonts w:hint="eastAsia" w:ascii="宋体" w:hAnsi="宋体"/>
                <w:bCs/>
              </w:rPr>
              <w:t>能够根据国际贸易业务背景和要求，独立、准确地完成信用证的审核及各类外贸单证的缮制，熟练制作电子单证、操作单证系统。</w:t>
            </w:r>
          </w:p>
        </w:tc>
        <w:tc>
          <w:tcPr>
            <w:tcW w:w="1316" w:type="dxa"/>
            <w:tcBorders>
              <w:right w:val="single" w:color="auto" w:sz="12" w:space="0"/>
            </w:tcBorders>
            <w:vAlign w:val="center"/>
          </w:tcPr>
          <w:p w14:paraId="29EC698A">
            <w:pPr>
              <w:pStyle w:val="15"/>
              <w:rPr>
                <w:rFonts w:ascii="宋体" w:hAnsi="宋体"/>
                <w:bCs/>
              </w:rPr>
            </w:pPr>
            <w:r>
              <w:rPr>
                <w:rFonts w:hint="eastAsia" w:ascii="宋体" w:hAnsi="宋体"/>
                <w:bCs/>
              </w:rPr>
              <w:t>5</w:t>
            </w:r>
            <w:r>
              <w:rPr>
                <w:rFonts w:ascii="宋体" w:hAnsi="宋体"/>
                <w:bCs/>
              </w:rPr>
              <w:t>0</w:t>
            </w:r>
            <w:r>
              <w:rPr>
                <w:rFonts w:hint="eastAsia" w:ascii="宋体" w:hAnsi="宋体"/>
                <w:bCs/>
              </w:rPr>
              <w:t>%</w:t>
            </w:r>
          </w:p>
        </w:tc>
      </w:tr>
      <w:tr w14:paraId="2773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A686B52">
            <w:pPr>
              <w:pStyle w:val="15"/>
            </w:pPr>
          </w:p>
        </w:tc>
        <w:tc>
          <w:tcPr>
            <w:tcW w:w="775" w:type="dxa"/>
            <w:vMerge w:val="continue"/>
            <w:tcBorders>
              <w:left w:val="single" w:color="auto" w:sz="4" w:space="0"/>
            </w:tcBorders>
            <w:vAlign w:val="center"/>
          </w:tcPr>
          <w:p w14:paraId="52EA0087">
            <w:pPr>
              <w:pStyle w:val="15"/>
              <w:rPr>
                <w:rFonts w:cs="Times New Roman"/>
                <w:bCs/>
              </w:rPr>
            </w:pPr>
          </w:p>
        </w:tc>
        <w:tc>
          <w:tcPr>
            <w:tcW w:w="775" w:type="dxa"/>
            <w:vMerge w:val="continue"/>
            <w:tcBorders>
              <w:right w:val="double" w:color="auto" w:sz="4" w:space="0"/>
            </w:tcBorders>
            <w:shd w:val="clear" w:color="auto" w:fill="auto"/>
            <w:vAlign w:val="center"/>
          </w:tcPr>
          <w:p w14:paraId="76232FC7">
            <w:pPr>
              <w:pStyle w:val="15"/>
              <w:rPr>
                <w:rFonts w:ascii="宋体" w:hAnsi="宋体"/>
              </w:rPr>
            </w:pPr>
          </w:p>
        </w:tc>
        <w:tc>
          <w:tcPr>
            <w:tcW w:w="4651" w:type="dxa"/>
            <w:vAlign w:val="center"/>
          </w:tcPr>
          <w:p w14:paraId="21274B25">
            <w:pPr>
              <w:pStyle w:val="15"/>
              <w:jc w:val="left"/>
              <w:rPr>
                <w:rFonts w:ascii="宋体" w:hAnsi="宋体"/>
                <w:bCs/>
              </w:rPr>
            </w:pPr>
            <w:r>
              <w:rPr>
                <w:rFonts w:hint="eastAsia" w:ascii="宋体" w:hAnsi="宋体"/>
                <w:bCs/>
              </w:rPr>
              <w:t>3</w:t>
            </w:r>
            <w:r>
              <w:rPr>
                <w:rFonts w:ascii="宋体" w:hAnsi="宋体"/>
                <w:bCs/>
              </w:rPr>
              <w:t xml:space="preserve">. </w:t>
            </w:r>
            <w:r>
              <w:rPr>
                <w:rFonts w:hint="eastAsia" w:ascii="宋体" w:hAnsi="宋体"/>
                <w:bCs/>
              </w:rPr>
              <w:t>能够熟练掌握单证审核的技巧，有效识别单证中的错误与风险，并能根据国际贸易环境及时修改单证，提高单证的风险防控能力。</w:t>
            </w:r>
          </w:p>
        </w:tc>
        <w:tc>
          <w:tcPr>
            <w:tcW w:w="1316" w:type="dxa"/>
            <w:tcBorders>
              <w:right w:val="single" w:color="auto" w:sz="12" w:space="0"/>
            </w:tcBorders>
            <w:vAlign w:val="center"/>
          </w:tcPr>
          <w:p w14:paraId="7B7A8CAD">
            <w:pPr>
              <w:pStyle w:val="15"/>
              <w:rPr>
                <w:rFonts w:ascii="宋体" w:hAnsi="宋体"/>
                <w:bCs/>
              </w:rPr>
            </w:pPr>
            <w:r>
              <w:rPr>
                <w:rFonts w:hint="eastAsia" w:ascii="宋体" w:hAnsi="宋体"/>
                <w:bCs/>
              </w:rPr>
              <w:t>5</w:t>
            </w:r>
            <w:r>
              <w:rPr>
                <w:rFonts w:ascii="宋体" w:hAnsi="宋体"/>
                <w:bCs/>
              </w:rPr>
              <w:t>0</w:t>
            </w:r>
            <w:r>
              <w:rPr>
                <w:rFonts w:hint="eastAsia" w:ascii="宋体" w:hAnsi="宋体"/>
                <w:bCs/>
              </w:rPr>
              <w:t>%</w:t>
            </w:r>
          </w:p>
        </w:tc>
      </w:tr>
      <w:tr w14:paraId="51D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tcPr>
          <w:p w14:paraId="44549119">
            <w:pPr>
              <w:pStyle w:val="15"/>
            </w:pPr>
            <w:r>
              <w:rPr>
                <w:rFonts w:hint="eastAsia"/>
              </w:rPr>
              <w:t>LO</w:t>
            </w:r>
            <w:r>
              <w:t>6</w:t>
            </w:r>
          </w:p>
        </w:tc>
        <w:tc>
          <w:tcPr>
            <w:tcW w:w="775" w:type="dxa"/>
            <w:tcBorders>
              <w:left w:val="single" w:color="auto" w:sz="4" w:space="0"/>
            </w:tcBorders>
            <w:vAlign w:val="center"/>
          </w:tcPr>
          <w:p w14:paraId="7B4F4F5C">
            <w:pPr>
              <w:pStyle w:val="15"/>
              <w:rPr>
                <w:rFonts w:cs="Times New Roman"/>
                <w:bCs/>
              </w:rPr>
            </w:pPr>
            <w:r>
              <w:rPr>
                <w:rFonts w:hint="eastAsia" w:cs="Times New Roman"/>
                <w:bCs/>
              </w:rPr>
              <w:t>②</w:t>
            </w:r>
          </w:p>
        </w:tc>
        <w:tc>
          <w:tcPr>
            <w:tcW w:w="775" w:type="dxa"/>
            <w:tcBorders>
              <w:right w:val="double" w:color="auto" w:sz="4" w:space="0"/>
            </w:tcBorders>
            <w:shd w:val="clear" w:color="auto" w:fill="auto"/>
            <w:vAlign w:val="center"/>
          </w:tcPr>
          <w:p w14:paraId="2CA4701D">
            <w:pPr>
              <w:pStyle w:val="15"/>
              <w:rPr>
                <w:rFonts w:ascii="宋体" w:hAnsi="宋体"/>
              </w:rPr>
            </w:pPr>
            <w:r>
              <w:rPr>
                <w:rFonts w:hint="eastAsia" w:ascii="宋体" w:hAnsi="宋体"/>
              </w:rPr>
              <w:t>M</w:t>
            </w:r>
          </w:p>
        </w:tc>
        <w:tc>
          <w:tcPr>
            <w:tcW w:w="4651" w:type="dxa"/>
            <w:vAlign w:val="center"/>
          </w:tcPr>
          <w:p w14:paraId="7E6D72C1">
            <w:pPr>
              <w:pStyle w:val="15"/>
              <w:jc w:val="left"/>
              <w:rPr>
                <w:rFonts w:ascii="宋体" w:hAnsi="宋体"/>
                <w:bCs/>
              </w:rPr>
            </w:pPr>
            <w:r>
              <w:rPr>
                <w:rFonts w:hint="eastAsia" w:ascii="宋体" w:hAnsi="宋体"/>
                <w:bCs/>
              </w:rPr>
              <w:t>3</w:t>
            </w:r>
            <w:r>
              <w:rPr>
                <w:rFonts w:ascii="宋体" w:hAnsi="宋体"/>
                <w:bCs/>
              </w:rPr>
              <w:t xml:space="preserve">. </w:t>
            </w:r>
            <w:r>
              <w:rPr>
                <w:rFonts w:hint="eastAsia" w:ascii="宋体" w:hAnsi="宋体"/>
                <w:bCs/>
              </w:rPr>
              <w:t>能够熟练掌握单证审核的技巧，有效识别单证中的错误与风险，并能根据国际贸易环境及时修改单证，提高单证的风险防控能力。</w:t>
            </w:r>
          </w:p>
        </w:tc>
        <w:tc>
          <w:tcPr>
            <w:tcW w:w="1316" w:type="dxa"/>
            <w:tcBorders>
              <w:right w:val="single" w:color="auto" w:sz="12" w:space="0"/>
            </w:tcBorders>
            <w:vAlign w:val="center"/>
          </w:tcPr>
          <w:p w14:paraId="47D858DD">
            <w:pPr>
              <w:pStyle w:val="15"/>
              <w:rPr>
                <w:rFonts w:ascii="宋体" w:hAnsi="宋体"/>
                <w:bCs/>
              </w:rPr>
            </w:pPr>
            <w:r>
              <w:rPr>
                <w:rFonts w:ascii="宋体" w:hAnsi="宋体"/>
                <w:bCs/>
              </w:rPr>
              <w:t>100</w:t>
            </w:r>
            <w:r>
              <w:rPr>
                <w:rFonts w:hint="eastAsia" w:ascii="宋体" w:hAnsi="宋体"/>
                <w:bCs/>
              </w:rPr>
              <w:t>%</w:t>
            </w:r>
          </w:p>
        </w:tc>
      </w:tr>
      <w:tr w14:paraId="51D2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6CDF6BDD">
            <w:pPr>
              <w:pStyle w:val="15"/>
            </w:pPr>
            <w:r>
              <w:rPr>
                <w:rFonts w:hint="eastAsia"/>
              </w:rPr>
              <w:t>LO</w:t>
            </w:r>
            <w:r>
              <w:t>7</w:t>
            </w:r>
          </w:p>
        </w:tc>
        <w:tc>
          <w:tcPr>
            <w:tcW w:w="775" w:type="dxa"/>
            <w:tcBorders>
              <w:left w:val="single" w:color="auto" w:sz="4" w:space="0"/>
              <w:bottom w:val="single" w:color="auto" w:sz="12" w:space="0"/>
            </w:tcBorders>
            <w:vAlign w:val="center"/>
          </w:tcPr>
          <w:p w14:paraId="5239F385">
            <w:pPr>
              <w:pStyle w:val="15"/>
              <w:rPr>
                <w:rFonts w:cs="Times New Roman"/>
                <w:bCs/>
              </w:rPr>
            </w:pPr>
            <w:r>
              <w:rPr>
                <w:rFonts w:hint="eastAsia" w:cs="Times New Roman"/>
                <w:bCs/>
              </w:rPr>
              <w:t>①</w:t>
            </w:r>
          </w:p>
        </w:tc>
        <w:tc>
          <w:tcPr>
            <w:tcW w:w="775" w:type="dxa"/>
            <w:tcBorders>
              <w:bottom w:val="single" w:color="auto" w:sz="12" w:space="0"/>
              <w:right w:val="double" w:color="auto" w:sz="4" w:space="0"/>
            </w:tcBorders>
            <w:shd w:val="clear" w:color="auto" w:fill="auto"/>
            <w:vAlign w:val="center"/>
          </w:tcPr>
          <w:p w14:paraId="1440276F">
            <w:pPr>
              <w:pStyle w:val="15"/>
              <w:rPr>
                <w:rFonts w:ascii="宋体" w:hAnsi="宋体"/>
              </w:rPr>
            </w:pPr>
            <w:r>
              <w:rPr>
                <w:rFonts w:hint="eastAsia" w:ascii="宋体" w:hAnsi="宋体"/>
              </w:rPr>
              <w:t>H</w:t>
            </w:r>
          </w:p>
        </w:tc>
        <w:tc>
          <w:tcPr>
            <w:tcW w:w="4651" w:type="dxa"/>
            <w:tcBorders>
              <w:bottom w:val="single" w:color="auto" w:sz="12" w:space="0"/>
            </w:tcBorders>
            <w:vAlign w:val="center"/>
          </w:tcPr>
          <w:p w14:paraId="7C35994C">
            <w:pPr>
              <w:pStyle w:val="15"/>
              <w:jc w:val="left"/>
              <w:rPr>
                <w:rFonts w:ascii="宋体" w:hAnsi="宋体"/>
                <w:bCs/>
              </w:rPr>
            </w:pPr>
            <w:r>
              <w:rPr>
                <w:rFonts w:hint="eastAsia" w:ascii="宋体" w:hAnsi="宋体"/>
                <w:bCs/>
              </w:rPr>
              <w:t>1</w:t>
            </w:r>
            <w:r>
              <w:rPr>
                <w:rFonts w:ascii="宋体" w:hAnsi="宋体"/>
                <w:bCs/>
              </w:rPr>
              <w:t xml:space="preserve">. </w:t>
            </w:r>
            <w:r>
              <w:rPr>
                <w:rFonts w:hint="eastAsia" w:ascii="宋体" w:hAnsi="宋体"/>
                <w:bCs/>
              </w:rPr>
              <w:t>理解外贸单证的基本概念、种类、用途及其在国际贸易中的作用，深入理解外贸单证的流转过程和制单要求，知道国际贸易单证制作与流转中常涉及的惯例和法规</w:t>
            </w:r>
            <w:r>
              <w:rPr>
                <w:rFonts w:ascii="宋体" w:hAnsi="宋体"/>
                <w:bCs/>
              </w:rPr>
              <w:t>，以及相关的国际贸易法律法规。</w:t>
            </w:r>
          </w:p>
        </w:tc>
        <w:tc>
          <w:tcPr>
            <w:tcW w:w="1316" w:type="dxa"/>
            <w:tcBorders>
              <w:bottom w:val="single" w:color="auto" w:sz="12" w:space="0"/>
              <w:right w:val="single" w:color="auto" w:sz="12" w:space="0"/>
            </w:tcBorders>
            <w:vAlign w:val="center"/>
          </w:tcPr>
          <w:p w14:paraId="2F46FFDB">
            <w:pPr>
              <w:pStyle w:val="15"/>
              <w:rPr>
                <w:rFonts w:ascii="宋体" w:hAnsi="宋体"/>
                <w:bCs/>
              </w:rPr>
            </w:pPr>
            <w:r>
              <w:rPr>
                <w:rFonts w:ascii="宋体" w:hAnsi="宋体"/>
                <w:bCs/>
              </w:rPr>
              <w:t>100</w:t>
            </w:r>
            <w:r>
              <w:rPr>
                <w:rFonts w:hint="eastAsia" w:ascii="宋体" w:hAnsi="宋体"/>
                <w:bCs/>
              </w:rPr>
              <w:t>%</w:t>
            </w:r>
          </w:p>
        </w:tc>
      </w:tr>
    </w:tbl>
    <w:p w14:paraId="26C79895">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8"/>
        <w:spacing w:before="81" w:after="163"/>
      </w:pPr>
      <w:r>
        <w:rPr>
          <w:rFonts w:hint="eastAsia"/>
        </w:rPr>
        <w:t>（一）各教学单元预期学习成果与教学内容</w:t>
      </w:r>
    </w:p>
    <w:tbl>
      <w:tblPr>
        <w:tblStyle w:val="7"/>
        <w:tblW w:w="8642" w:type="dxa"/>
        <w:tblInd w:w="0" w:type="dxa"/>
        <w:tblLayout w:type="autofit"/>
        <w:tblCellMar>
          <w:top w:w="0" w:type="dxa"/>
          <w:left w:w="108" w:type="dxa"/>
          <w:bottom w:w="0" w:type="dxa"/>
          <w:right w:w="108" w:type="dxa"/>
        </w:tblCellMar>
      </w:tblPr>
      <w:tblGrid>
        <w:gridCol w:w="2830"/>
        <w:gridCol w:w="2835"/>
        <w:gridCol w:w="2977"/>
      </w:tblGrid>
      <w:tr w14:paraId="21C1D92E">
        <w:tblPrEx>
          <w:tblCellMar>
            <w:top w:w="0" w:type="dxa"/>
            <w:left w:w="108" w:type="dxa"/>
            <w:bottom w:w="0" w:type="dxa"/>
            <w:right w:w="108" w:type="dxa"/>
          </w:tblCellMar>
        </w:tblPrEx>
        <w:trPr>
          <w:trHeight w:val="340" w:hRule="atLeast"/>
        </w:trPr>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413059B0">
            <w:pPr>
              <w:widowControl w:val="0"/>
              <w:snapToGrid w:val="0"/>
              <w:jc w:val="center"/>
              <w:rPr>
                <w:rFonts w:ascii="黑体" w:hAnsi="黑体" w:eastAsia="黑体"/>
                <w:bCs/>
                <w:sz w:val="21"/>
                <w:szCs w:val="21"/>
              </w:rPr>
            </w:pPr>
            <w:r>
              <w:rPr>
                <w:rFonts w:hint="eastAsia" w:ascii="黑体" w:hAnsi="黑体" w:eastAsia="黑体"/>
                <w:bCs/>
                <w:sz w:val="21"/>
                <w:szCs w:val="21"/>
              </w:rPr>
              <w:t xml:space="preserve">章节 </w:t>
            </w:r>
          </w:p>
        </w:tc>
        <w:tc>
          <w:tcPr>
            <w:tcW w:w="2835" w:type="dxa"/>
            <w:tcBorders>
              <w:top w:val="single" w:color="auto" w:sz="4" w:space="0"/>
              <w:left w:val="nil"/>
              <w:bottom w:val="single" w:color="auto" w:sz="4" w:space="0"/>
              <w:right w:val="single" w:color="auto" w:sz="4" w:space="0"/>
            </w:tcBorders>
            <w:shd w:val="clear" w:color="auto" w:fill="auto"/>
            <w:vAlign w:val="center"/>
          </w:tcPr>
          <w:p w14:paraId="76ED8E19">
            <w:pPr>
              <w:widowControl w:val="0"/>
              <w:snapToGrid w:val="0"/>
              <w:jc w:val="center"/>
              <w:rPr>
                <w:rFonts w:ascii="黑体" w:hAnsi="黑体" w:eastAsia="黑体"/>
                <w:bCs/>
                <w:sz w:val="21"/>
                <w:szCs w:val="21"/>
              </w:rPr>
            </w:pPr>
            <w:r>
              <w:rPr>
                <w:rFonts w:hint="eastAsia" w:ascii="黑体" w:hAnsi="黑体" w:eastAsia="黑体"/>
                <w:bCs/>
                <w:sz w:val="21"/>
                <w:szCs w:val="21"/>
              </w:rPr>
              <w:t xml:space="preserve"> 预期学习成果 </w:t>
            </w:r>
          </w:p>
        </w:tc>
        <w:tc>
          <w:tcPr>
            <w:tcW w:w="2977" w:type="dxa"/>
            <w:tcBorders>
              <w:top w:val="single" w:color="auto" w:sz="4" w:space="0"/>
              <w:left w:val="nil"/>
              <w:bottom w:val="single" w:color="auto" w:sz="4" w:space="0"/>
              <w:right w:val="single" w:color="auto" w:sz="4" w:space="0"/>
            </w:tcBorders>
            <w:shd w:val="clear" w:color="auto" w:fill="auto"/>
            <w:vAlign w:val="center"/>
          </w:tcPr>
          <w:p w14:paraId="12715B22">
            <w:pPr>
              <w:widowControl w:val="0"/>
              <w:snapToGrid w:val="0"/>
              <w:jc w:val="center"/>
              <w:rPr>
                <w:rFonts w:ascii="黑体" w:hAnsi="黑体" w:eastAsia="黑体"/>
                <w:bCs/>
                <w:sz w:val="21"/>
                <w:szCs w:val="21"/>
              </w:rPr>
            </w:pPr>
            <w:r>
              <w:rPr>
                <w:rFonts w:hint="eastAsia" w:ascii="黑体" w:hAnsi="黑体" w:eastAsia="黑体"/>
                <w:bCs/>
                <w:sz w:val="21"/>
                <w:szCs w:val="21"/>
              </w:rPr>
              <w:t xml:space="preserve"> 教学内容 </w:t>
            </w:r>
          </w:p>
        </w:tc>
      </w:tr>
      <w:tr w14:paraId="4150BFA9">
        <w:tblPrEx>
          <w:tblCellMar>
            <w:top w:w="0" w:type="dxa"/>
            <w:left w:w="108" w:type="dxa"/>
            <w:bottom w:w="0" w:type="dxa"/>
            <w:right w:w="108" w:type="dxa"/>
          </w:tblCellMar>
        </w:tblPrEx>
        <w:trPr>
          <w:trHeight w:val="685"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24B58B89">
            <w:pPr>
              <w:rPr>
                <w:sz w:val="21"/>
                <w:szCs w:val="21"/>
              </w:rPr>
            </w:pPr>
            <w:r>
              <w:rPr>
                <w:rFonts w:hint="eastAsia"/>
                <w:sz w:val="21"/>
                <w:szCs w:val="21"/>
              </w:rPr>
              <w:t xml:space="preserve"> 第一章 国际贸易单证概述 </w:t>
            </w:r>
          </w:p>
        </w:tc>
        <w:tc>
          <w:tcPr>
            <w:tcW w:w="2835" w:type="dxa"/>
            <w:tcBorders>
              <w:top w:val="nil"/>
              <w:left w:val="nil"/>
              <w:bottom w:val="single" w:color="auto" w:sz="4" w:space="0"/>
              <w:right w:val="single" w:color="auto" w:sz="4" w:space="0"/>
            </w:tcBorders>
            <w:shd w:val="clear" w:color="auto" w:fill="auto"/>
            <w:vAlign w:val="center"/>
          </w:tcPr>
          <w:p w14:paraId="63B6C7BB">
            <w:pPr>
              <w:rPr>
                <w:sz w:val="21"/>
                <w:szCs w:val="21"/>
              </w:rPr>
            </w:pPr>
            <w:r>
              <w:rPr>
                <w:rFonts w:hint="eastAsia"/>
                <w:sz w:val="21"/>
                <w:szCs w:val="21"/>
              </w:rPr>
              <w:t xml:space="preserve"> 了解国际贸易流程和单证的基本概念、要求及发展趋势 </w:t>
            </w:r>
          </w:p>
        </w:tc>
        <w:tc>
          <w:tcPr>
            <w:tcW w:w="2977" w:type="dxa"/>
            <w:tcBorders>
              <w:top w:val="nil"/>
              <w:left w:val="nil"/>
              <w:bottom w:val="single" w:color="auto" w:sz="4" w:space="0"/>
              <w:right w:val="single" w:color="auto" w:sz="4" w:space="0"/>
            </w:tcBorders>
            <w:shd w:val="clear" w:color="auto" w:fill="auto"/>
            <w:vAlign w:val="center"/>
          </w:tcPr>
          <w:p w14:paraId="76193D47">
            <w:pPr>
              <w:rPr>
                <w:sz w:val="21"/>
                <w:szCs w:val="21"/>
              </w:rPr>
            </w:pPr>
            <w:r>
              <w:rPr>
                <w:rFonts w:hint="eastAsia"/>
                <w:sz w:val="21"/>
                <w:szCs w:val="21"/>
              </w:rPr>
              <w:t xml:space="preserve"> 国际贸易流程、国际贸易单证简介、要求及发展趋势 </w:t>
            </w:r>
          </w:p>
        </w:tc>
      </w:tr>
      <w:tr w14:paraId="649CD467">
        <w:tblPrEx>
          <w:tblCellMar>
            <w:top w:w="0" w:type="dxa"/>
            <w:left w:w="108" w:type="dxa"/>
            <w:bottom w:w="0" w:type="dxa"/>
            <w:right w:w="108" w:type="dxa"/>
          </w:tblCellMar>
        </w:tblPrEx>
        <w:trPr>
          <w:trHeight w:val="401"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51D57B67">
            <w:pPr>
              <w:rPr>
                <w:sz w:val="21"/>
                <w:szCs w:val="21"/>
              </w:rPr>
            </w:pPr>
            <w:r>
              <w:rPr>
                <w:rFonts w:hint="eastAsia"/>
                <w:sz w:val="21"/>
                <w:szCs w:val="21"/>
              </w:rPr>
              <w:t xml:space="preserve"> 第二章 国际货物贸易合同 </w:t>
            </w:r>
          </w:p>
        </w:tc>
        <w:tc>
          <w:tcPr>
            <w:tcW w:w="2835" w:type="dxa"/>
            <w:tcBorders>
              <w:top w:val="nil"/>
              <w:left w:val="nil"/>
              <w:bottom w:val="single" w:color="auto" w:sz="4" w:space="0"/>
              <w:right w:val="single" w:color="auto" w:sz="4" w:space="0"/>
            </w:tcBorders>
            <w:shd w:val="clear" w:color="auto" w:fill="auto"/>
            <w:vAlign w:val="center"/>
          </w:tcPr>
          <w:p w14:paraId="05EC036D">
            <w:pPr>
              <w:rPr>
                <w:sz w:val="21"/>
                <w:szCs w:val="21"/>
              </w:rPr>
            </w:pPr>
            <w:r>
              <w:rPr>
                <w:rFonts w:hint="eastAsia"/>
                <w:sz w:val="21"/>
                <w:szCs w:val="21"/>
              </w:rPr>
              <w:t xml:space="preserve"> 掌握国际货物贸易合同的基本内容和实例 </w:t>
            </w:r>
          </w:p>
        </w:tc>
        <w:tc>
          <w:tcPr>
            <w:tcW w:w="2977" w:type="dxa"/>
            <w:tcBorders>
              <w:top w:val="nil"/>
              <w:left w:val="nil"/>
              <w:bottom w:val="single" w:color="auto" w:sz="4" w:space="0"/>
              <w:right w:val="single" w:color="auto" w:sz="4" w:space="0"/>
            </w:tcBorders>
            <w:shd w:val="clear" w:color="auto" w:fill="auto"/>
            <w:vAlign w:val="center"/>
          </w:tcPr>
          <w:p w14:paraId="4A4C1A61">
            <w:pPr>
              <w:rPr>
                <w:sz w:val="21"/>
                <w:szCs w:val="21"/>
              </w:rPr>
            </w:pPr>
            <w:r>
              <w:rPr>
                <w:rFonts w:hint="eastAsia"/>
                <w:sz w:val="21"/>
                <w:szCs w:val="21"/>
              </w:rPr>
              <w:t xml:space="preserve"> 国际货物贸易合同概述、内容及实例 </w:t>
            </w:r>
          </w:p>
        </w:tc>
      </w:tr>
      <w:tr w14:paraId="2EF1BDB5">
        <w:tblPrEx>
          <w:tblCellMar>
            <w:top w:w="0" w:type="dxa"/>
            <w:left w:w="108" w:type="dxa"/>
            <w:bottom w:w="0" w:type="dxa"/>
            <w:right w:w="108" w:type="dxa"/>
          </w:tblCellMar>
        </w:tblPrEx>
        <w:trPr>
          <w:trHeight w:val="680"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6F8D5319">
            <w:pPr>
              <w:rPr>
                <w:sz w:val="21"/>
                <w:szCs w:val="21"/>
              </w:rPr>
            </w:pPr>
            <w:r>
              <w:rPr>
                <w:rFonts w:hint="eastAsia"/>
                <w:sz w:val="21"/>
                <w:szCs w:val="21"/>
              </w:rPr>
              <w:t xml:space="preserve"> 第三章 国际贸易结算 </w:t>
            </w:r>
          </w:p>
        </w:tc>
        <w:tc>
          <w:tcPr>
            <w:tcW w:w="2835" w:type="dxa"/>
            <w:tcBorders>
              <w:top w:val="nil"/>
              <w:left w:val="nil"/>
              <w:bottom w:val="single" w:color="auto" w:sz="4" w:space="0"/>
              <w:right w:val="single" w:color="auto" w:sz="4" w:space="0"/>
            </w:tcBorders>
            <w:shd w:val="clear" w:color="auto" w:fill="auto"/>
            <w:vAlign w:val="center"/>
          </w:tcPr>
          <w:p w14:paraId="1BB9E490">
            <w:pPr>
              <w:rPr>
                <w:sz w:val="21"/>
                <w:szCs w:val="21"/>
              </w:rPr>
            </w:pPr>
            <w:r>
              <w:rPr>
                <w:rFonts w:hint="eastAsia"/>
                <w:sz w:val="21"/>
                <w:szCs w:val="21"/>
              </w:rPr>
              <w:t xml:space="preserve"> 理解国际贸易结算方式和结算票据 </w:t>
            </w:r>
          </w:p>
        </w:tc>
        <w:tc>
          <w:tcPr>
            <w:tcW w:w="2977" w:type="dxa"/>
            <w:tcBorders>
              <w:top w:val="nil"/>
              <w:left w:val="nil"/>
              <w:bottom w:val="single" w:color="auto" w:sz="4" w:space="0"/>
              <w:right w:val="single" w:color="auto" w:sz="4" w:space="0"/>
            </w:tcBorders>
            <w:shd w:val="clear" w:color="auto" w:fill="auto"/>
            <w:vAlign w:val="center"/>
          </w:tcPr>
          <w:p w14:paraId="4582332A">
            <w:pPr>
              <w:rPr>
                <w:sz w:val="21"/>
                <w:szCs w:val="21"/>
              </w:rPr>
            </w:pPr>
            <w:r>
              <w:rPr>
                <w:rFonts w:hint="eastAsia"/>
                <w:sz w:val="21"/>
                <w:szCs w:val="21"/>
              </w:rPr>
              <w:t xml:space="preserve"> 国际贸易结算方式、结算票据 </w:t>
            </w:r>
          </w:p>
        </w:tc>
      </w:tr>
      <w:tr w14:paraId="2D2591D3">
        <w:tblPrEx>
          <w:tblCellMar>
            <w:top w:w="0" w:type="dxa"/>
            <w:left w:w="108" w:type="dxa"/>
            <w:bottom w:w="0" w:type="dxa"/>
            <w:right w:w="108" w:type="dxa"/>
          </w:tblCellMar>
        </w:tblPrEx>
        <w:trPr>
          <w:trHeight w:val="605"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0B078E5E">
            <w:pPr>
              <w:rPr>
                <w:sz w:val="21"/>
                <w:szCs w:val="21"/>
              </w:rPr>
            </w:pPr>
            <w:r>
              <w:rPr>
                <w:rFonts w:hint="eastAsia"/>
                <w:sz w:val="21"/>
                <w:szCs w:val="21"/>
              </w:rPr>
              <w:t xml:space="preserve"> 第四章 信用证 </w:t>
            </w:r>
          </w:p>
        </w:tc>
        <w:tc>
          <w:tcPr>
            <w:tcW w:w="2835" w:type="dxa"/>
            <w:tcBorders>
              <w:top w:val="nil"/>
              <w:left w:val="nil"/>
              <w:bottom w:val="single" w:color="auto" w:sz="4" w:space="0"/>
              <w:right w:val="single" w:color="auto" w:sz="4" w:space="0"/>
            </w:tcBorders>
            <w:shd w:val="clear" w:color="auto" w:fill="auto"/>
            <w:vAlign w:val="center"/>
          </w:tcPr>
          <w:p w14:paraId="3BED55CF">
            <w:pPr>
              <w:rPr>
                <w:sz w:val="21"/>
                <w:szCs w:val="21"/>
              </w:rPr>
            </w:pPr>
            <w:r>
              <w:rPr>
                <w:rFonts w:hint="eastAsia"/>
                <w:sz w:val="21"/>
                <w:szCs w:val="21"/>
              </w:rPr>
              <w:t xml:space="preserve"> 熟悉信用证的开立、审核和修改流程 </w:t>
            </w:r>
          </w:p>
        </w:tc>
        <w:tc>
          <w:tcPr>
            <w:tcW w:w="2977" w:type="dxa"/>
            <w:tcBorders>
              <w:top w:val="nil"/>
              <w:left w:val="nil"/>
              <w:bottom w:val="single" w:color="auto" w:sz="4" w:space="0"/>
              <w:right w:val="single" w:color="auto" w:sz="4" w:space="0"/>
            </w:tcBorders>
            <w:shd w:val="clear" w:color="auto" w:fill="auto"/>
            <w:vAlign w:val="center"/>
          </w:tcPr>
          <w:p w14:paraId="1B01BFBE">
            <w:pPr>
              <w:rPr>
                <w:sz w:val="21"/>
                <w:szCs w:val="21"/>
              </w:rPr>
            </w:pPr>
            <w:r>
              <w:rPr>
                <w:rFonts w:hint="eastAsia"/>
                <w:sz w:val="21"/>
                <w:szCs w:val="21"/>
              </w:rPr>
              <w:t xml:space="preserve"> 信用证概述、开证申请书、开立信用证、审核和修改信用证 </w:t>
            </w:r>
          </w:p>
        </w:tc>
      </w:tr>
      <w:tr w14:paraId="16350AB7">
        <w:tblPrEx>
          <w:tblCellMar>
            <w:top w:w="0" w:type="dxa"/>
            <w:left w:w="108" w:type="dxa"/>
            <w:bottom w:w="0" w:type="dxa"/>
            <w:right w:w="108" w:type="dxa"/>
          </w:tblCellMar>
        </w:tblPrEx>
        <w:trPr>
          <w:trHeight w:val="397"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15580F2A">
            <w:pPr>
              <w:rPr>
                <w:sz w:val="21"/>
                <w:szCs w:val="21"/>
              </w:rPr>
            </w:pPr>
            <w:r>
              <w:rPr>
                <w:rFonts w:hint="eastAsia"/>
                <w:sz w:val="21"/>
                <w:szCs w:val="21"/>
              </w:rPr>
              <w:t xml:space="preserve"> 第五章 发票和包装单据 </w:t>
            </w:r>
          </w:p>
        </w:tc>
        <w:tc>
          <w:tcPr>
            <w:tcW w:w="2835" w:type="dxa"/>
            <w:tcBorders>
              <w:top w:val="nil"/>
              <w:left w:val="nil"/>
              <w:bottom w:val="single" w:color="auto" w:sz="4" w:space="0"/>
              <w:right w:val="single" w:color="auto" w:sz="4" w:space="0"/>
            </w:tcBorders>
            <w:shd w:val="clear" w:color="auto" w:fill="auto"/>
            <w:vAlign w:val="center"/>
          </w:tcPr>
          <w:p w14:paraId="6E4A8AFB">
            <w:pPr>
              <w:rPr>
                <w:sz w:val="21"/>
                <w:szCs w:val="21"/>
              </w:rPr>
            </w:pPr>
            <w:r>
              <w:rPr>
                <w:rFonts w:hint="eastAsia"/>
                <w:sz w:val="21"/>
                <w:szCs w:val="21"/>
              </w:rPr>
              <w:t xml:space="preserve"> 掌握商业发票、海关发票及其他发票的使用，了解包装单据 </w:t>
            </w:r>
          </w:p>
        </w:tc>
        <w:tc>
          <w:tcPr>
            <w:tcW w:w="2977" w:type="dxa"/>
            <w:tcBorders>
              <w:top w:val="nil"/>
              <w:left w:val="nil"/>
              <w:bottom w:val="single" w:color="auto" w:sz="4" w:space="0"/>
              <w:right w:val="single" w:color="auto" w:sz="4" w:space="0"/>
            </w:tcBorders>
            <w:shd w:val="clear" w:color="auto" w:fill="auto"/>
            <w:vAlign w:val="center"/>
          </w:tcPr>
          <w:p w14:paraId="3CC2BF63">
            <w:pPr>
              <w:rPr>
                <w:sz w:val="21"/>
                <w:szCs w:val="21"/>
              </w:rPr>
            </w:pPr>
            <w:r>
              <w:rPr>
                <w:rFonts w:hint="eastAsia"/>
                <w:sz w:val="21"/>
                <w:szCs w:val="21"/>
              </w:rPr>
              <w:t xml:space="preserve"> 商业发票、海关发票、其他发票、包装单据 </w:t>
            </w:r>
          </w:p>
        </w:tc>
      </w:tr>
      <w:tr w14:paraId="611EAF06">
        <w:tblPrEx>
          <w:tblCellMar>
            <w:top w:w="0" w:type="dxa"/>
            <w:left w:w="108" w:type="dxa"/>
            <w:bottom w:w="0" w:type="dxa"/>
            <w:right w:w="108" w:type="dxa"/>
          </w:tblCellMar>
        </w:tblPrEx>
        <w:trPr>
          <w:trHeight w:val="913"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0BE8C87A">
            <w:pPr>
              <w:rPr>
                <w:sz w:val="21"/>
                <w:szCs w:val="21"/>
              </w:rPr>
            </w:pPr>
            <w:r>
              <w:rPr>
                <w:rFonts w:hint="eastAsia"/>
                <w:sz w:val="21"/>
                <w:szCs w:val="21"/>
              </w:rPr>
              <w:t xml:space="preserve"> 第六章 保险单位 </w:t>
            </w:r>
          </w:p>
        </w:tc>
        <w:tc>
          <w:tcPr>
            <w:tcW w:w="2835" w:type="dxa"/>
            <w:tcBorders>
              <w:top w:val="nil"/>
              <w:left w:val="nil"/>
              <w:bottom w:val="single" w:color="auto" w:sz="4" w:space="0"/>
              <w:right w:val="single" w:color="auto" w:sz="4" w:space="0"/>
            </w:tcBorders>
            <w:shd w:val="clear" w:color="auto" w:fill="auto"/>
            <w:vAlign w:val="center"/>
          </w:tcPr>
          <w:p w14:paraId="7C5FBA6C">
            <w:pPr>
              <w:rPr>
                <w:sz w:val="21"/>
                <w:szCs w:val="21"/>
              </w:rPr>
            </w:pPr>
            <w:r>
              <w:rPr>
                <w:rFonts w:hint="eastAsia"/>
                <w:sz w:val="21"/>
                <w:szCs w:val="21"/>
              </w:rPr>
              <w:t xml:space="preserve"> 理解海上风险和损失，掌握海洋运输保险条款及投保流程 </w:t>
            </w:r>
          </w:p>
        </w:tc>
        <w:tc>
          <w:tcPr>
            <w:tcW w:w="2977" w:type="dxa"/>
            <w:tcBorders>
              <w:top w:val="nil"/>
              <w:left w:val="nil"/>
              <w:bottom w:val="single" w:color="auto" w:sz="4" w:space="0"/>
              <w:right w:val="single" w:color="auto" w:sz="4" w:space="0"/>
            </w:tcBorders>
            <w:shd w:val="clear" w:color="auto" w:fill="auto"/>
            <w:vAlign w:val="center"/>
          </w:tcPr>
          <w:p w14:paraId="7F7FB3B9">
            <w:pPr>
              <w:rPr>
                <w:sz w:val="21"/>
                <w:szCs w:val="21"/>
              </w:rPr>
            </w:pPr>
            <w:r>
              <w:rPr>
                <w:rFonts w:hint="eastAsia"/>
                <w:sz w:val="21"/>
                <w:szCs w:val="21"/>
              </w:rPr>
              <w:t xml:space="preserve"> 海上风险和损失、海洋运输保险条款、办理货物运输投保和投保单、保险单 </w:t>
            </w:r>
          </w:p>
        </w:tc>
      </w:tr>
      <w:tr w14:paraId="6502C617">
        <w:tblPrEx>
          <w:tblCellMar>
            <w:top w:w="0" w:type="dxa"/>
            <w:left w:w="108" w:type="dxa"/>
            <w:bottom w:w="0" w:type="dxa"/>
            <w:right w:w="108" w:type="dxa"/>
          </w:tblCellMar>
        </w:tblPrEx>
        <w:trPr>
          <w:trHeight w:val="784"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712D6BE4">
            <w:pPr>
              <w:rPr>
                <w:sz w:val="21"/>
                <w:szCs w:val="21"/>
              </w:rPr>
            </w:pPr>
            <w:r>
              <w:rPr>
                <w:rFonts w:hint="eastAsia"/>
                <w:sz w:val="21"/>
                <w:szCs w:val="21"/>
              </w:rPr>
              <w:t xml:space="preserve"> 第七章 运输单位 </w:t>
            </w:r>
          </w:p>
        </w:tc>
        <w:tc>
          <w:tcPr>
            <w:tcW w:w="2835" w:type="dxa"/>
            <w:tcBorders>
              <w:top w:val="nil"/>
              <w:left w:val="nil"/>
              <w:bottom w:val="single" w:color="auto" w:sz="4" w:space="0"/>
              <w:right w:val="single" w:color="auto" w:sz="4" w:space="0"/>
            </w:tcBorders>
            <w:shd w:val="clear" w:color="auto" w:fill="auto"/>
            <w:vAlign w:val="center"/>
          </w:tcPr>
          <w:p w14:paraId="76910D8D">
            <w:pPr>
              <w:rPr>
                <w:sz w:val="21"/>
                <w:szCs w:val="21"/>
              </w:rPr>
            </w:pPr>
            <w:r>
              <w:rPr>
                <w:rFonts w:hint="eastAsia"/>
                <w:sz w:val="21"/>
                <w:szCs w:val="21"/>
              </w:rPr>
              <w:t xml:space="preserve"> 了解国际货物运输的基本知识，掌握海运提单和航空运单的使用 </w:t>
            </w:r>
          </w:p>
        </w:tc>
        <w:tc>
          <w:tcPr>
            <w:tcW w:w="2977" w:type="dxa"/>
            <w:tcBorders>
              <w:top w:val="nil"/>
              <w:left w:val="nil"/>
              <w:bottom w:val="single" w:color="auto" w:sz="4" w:space="0"/>
              <w:right w:val="single" w:color="auto" w:sz="4" w:space="0"/>
            </w:tcBorders>
            <w:shd w:val="clear" w:color="auto" w:fill="auto"/>
            <w:vAlign w:val="center"/>
          </w:tcPr>
          <w:p w14:paraId="35C1C080">
            <w:pPr>
              <w:rPr>
                <w:sz w:val="21"/>
                <w:szCs w:val="21"/>
              </w:rPr>
            </w:pPr>
            <w:r>
              <w:rPr>
                <w:rFonts w:hint="eastAsia"/>
                <w:sz w:val="21"/>
                <w:szCs w:val="21"/>
              </w:rPr>
              <w:t xml:space="preserve"> 国际货物运输简述、海运提单、航空运单 </w:t>
            </w:r>
          </w:p>
        </w:tc>
      </w:tr>
      <w:tr w14:paraId="4DBBA1A8">
        <w:tblPrEx>
          <w:tblCellMar>
            <w:top w:w="0" w:type="dxa"/>
            <w:left w:w="108" w:type="dxa"/>
            <w:bottom w:w="0" w:type="dxa"/>
            <w:right w:w="108" w:type="dxa"/>
          </w:tblCellMar>
        </w:tblPrEx>
        <w:trPr>
          <w:trHeight w:val="643"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36764728">
            <w:pPr>
              <w:rPr>
                <w:sz w:val="21"/>
                <w:szCs w:val="21"/>
              </w:rPr>
            </w:pPr>
            <w:r>
              <w:rPr>
                <w:rFonts w:hint="eastAsia"/>
                <w:sz w:val="21"/>
                <w:szCs w:val="21"/>
              </w:rPr>
              <w:t xml:space="preserve"> 第八章 报关报检单位 </w:t>
            </w:r>
          </w:p>
        </w:tc>
        <w:tc>
          <w:tcPr>
            <w:tcW w:w="2835" w:type="dxa"/>
            <w:tcBorders>
              <w:top w:val="nil"/>
              <w:left w:val="nil"/>
              <w:bottom w:val="single" w:color="auto" w:sz="4" w:space="0"/>
              <w:right w:val="single" w:color="auto" w:sz="4" w:space="0"/>
            </w:tcBorders>
            <w:shd w:val="clear" w:color="auto" w:fill="auto"/>
            <w:vAlign w:val="center"/>
          </w:tcPr>
          <w:p w14:paraId="7294AB76">
            <w:pPr>
              <w:rPr>
                <w:sz w:val="21"/>
                <w:szCs w:val="21"/>
              </w:rPr>
            </w:pPr>
            <w:r>
              <w:rPr>
                <w:rFonts w:hint="eastAsia"/>
                <w:sz w:val="21"/>
                <w:szCs w:val="21"/>
              </w:rPr>
              <w:t xml:space="preserve"> 掌握进出口货物报关报检流程及相关单据 </w:t>
            </w:r>
          </w:p>
        </w:tc>
        <w:tc>
          <w:tcPr>
            <w:tcW w:w="2977" w:type="dxa"/>
            <w:tcBorders>
              <w:top w:val="nil"/>
              <w:left w:val="nil"/>
              <w:bottom w:val="single" w:color="auto" w:sz="4" w:space="0"/>
              <w:right w:val="single" w:color="auto" w:sz="4" w:space="0"/>
            </w:tcBorders>
            <w:shd w:val="clear" w:color="auto" w:fill="auto"/>
            <w:vAlign w:val="center"/>
          </w:tcPr>
          <w:p w14:paraId="4C82B737">
            <w:pPr>
              <w:rPr>
                <w:sz w:val="21"/>
                <w:szCs w:val="21"/>
              </w:rPr>
            </w:pPr>
            <w:r>
              <w:rPr>
                <w:rFonts w:hint="eastAsia"/>
                <w:sz w:val="21"/>
                <w:szCs w:val="21"/>
              </w:rPr>
              <w:t xml:space="preserve"> 办理进出口货物报关报检、进出口货物报关单、检验证书 </w:t>
            </w:r>
          </w:p>
        </w:tc>
      </w:tr>
      <w:tr w14:paraId="22303D35">
        <w:tblPrEx>
          <w:tblCellMar>
            <w:top w:w="0" w:type="dxa"/>
            <w:left w:w="108" w:type="dxa"/>
            <w:bottom w:w="0" w:type="dxa"/>
            <w:right w:w="108" w:type="dxa"/>
          </w:tblCellMar>
        </w:tblPrEx>
        <w:trPr>
          <w:trHeight w:val="926"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32357A5B">
            <w:pPr>
              <w:rPr>
                <w:sz w:val="21"/>
                <w:szCs w:val="21"/>
              </w:rPr>
            </w:pPr>
            <w:r>
              <w:rPr>
                <w:rFonts w:hint="eastAsia"/>
                <w:sz w:val="21"/>
                <w:szCs w:val="21"/>
              </w:rPr>
              <w:t xml:space="preserve"> 第九章 原产地证书 </w:t>
            </w:r>
          </w:p>
        </w:tc>
        <w:tc>
          <w:tcPr>
            <w:tcW w:w="2835" w:type="dxa"/>
            <w:tcBorders>
              <w:top w:val="nil"/>
              <w:left w:val="nil"/>
              <w:bottom w:val="single" w:color="auto" w:sz="4" w:space="0"/>
              <w:right w:val="single" w:color="auto" w:sz="4" w:space="0"/>
            </w:tcBorders>
            <w:shd w:val="clear" w:color="auto" w:fill="auto"/>
            <w:vAlign w:val="center"/>
          </w:tcPr>
          <w:p w14:paraId="48A3C41C">
            <w:pPr>
              <w:rPr>
                <w:sz w:val="21"/>
                <w:szCs w:val="21"/>
              </w:rPr>
            </w:pPr>
            <w:r>
              <w:rPr>
                <w:rFonts w:hint="eastAsia"/>
                <w:sz w:val="21"/>
                <w:szCs w:val="21"/>
              </w:rPr>
              <w:t xml:space="preserve"> 了解原产地证书的种类及申请流程 </w:t>
            </w:r>
          </w:p>
        </w:tc>
        <w:tc>
          <w:tcPr>
            <w:tcW w:w="2977" w:type="dxa"/>
            <w:tcBorders>
              <w:top w:val="nil"/>
              <w:left w:val="nil"/>
              <w:bottom w:val="single" w:color="auto" w:sz="4" w:space="0"/>
              <w:right w:val="single" w:color="auto" w:sz="4" w:space="0"/>
            </w:tcBorders>
            <w:shd w:val="clear" w:color="auto" w:fill="auto"/>
            <w:vAlign w:val="center"/>
          </w:tcPr>
          <w:p w14:paraId="4DA731D9">
            <w:pPr>
              <w:rPr>
                <w:sz w:val="21"/>
                <w:szCs w:val="21"/>
              </w:rPr>
            </w:pPr>
            <w:r>
              <w:rPr>
                <w:rFonts w:hint="eastAsia"/>
                <w:sz w:val="21"/>
                <w:szCs w:val="21"/>
              </w:rPr>
              <w:t xml:space="preserve"> 认识原产地证书、一般原产地证书、普通制原产地证书、区域性优惠原产地证书 </w:t>
            </w:r>
          </w:p>
        </w:tc>
      </w:tr>
      <w:tr w14:paraId="65BF0676">
        <w:tblPrEx>
          <w:tblCellMar>
            <w:top w:w="0" w:type="dxa"/>
            <w:left w:w="108" w:type="dxa"/>
            <w:bottom w:w="0" w:type="dxa"/>
            <w:right w:w="108" w:type="dxa"/>
          </w:tblCellMar>
        </w:tblPrEx>
        <w:trPr>
          <w:trHeight w:val="978"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2FA8D8E5">
            <w:pPr>
              <w:rPr>
                <w:sz w:val="21"/>
                <w:szCs w:val="21"/>
              </w:rPr>
            </w:pPr>
            <w:r>
              <w:rPr>
                <w:rFonts w:hint="eastAsia"/>
                <w:sz w:val="21"/>
                <w:szCs w:val="21"/>
              </w:rPr>
              <w:t xml:space="preserve"> 第十章 其他单证 </w:t>
            </w:r>
          </w:p>
        </w:tc>
        <w:tc>
          <w:tcPr>
            <w:tcW w:w="2835" w:type="dxa"/>
            <w:tcBorders>
              <w:top w:val="nil"/>
              <w:left w:val="nil"/>
              <w:bottom w:val="single" w:color="auto" w:sz="4" w:space="0"/>
              <w:right w:val="single" w:color="auto" w:sz="4" w:space="0"/>
            </w:tcBorders>
            <w:shd w:val="clear" w:color="auto" w:fill="auto"/>
            <w:vAlign w:val="center"/>
          </w:tcPr>
          <w:p w14:paraId="7B959D55">
            <w:pPr>
              <w:rPr>
                <w:sz w:val="21"/>
                <w:szCs w:val="21"/>
              </w:rPr>
            </w:pPr>
            <w:r>
              <w:rPr>
                <w:rFonts w:hint="eastAsia"/>
                <w:sz w:val="21"/>
                <w:szCs w:val="21"/>
              </w:rPr>
              <w:t xml:space="preserve"> 熟悉许可证、装运通知、受益人证明及船公司证明的使用 </w:t>
            </w:r>
          </w:p>
        </w:tc>
        <w:tc>
          <w:tcPr>
            <w:tcW w:w="2977" w:type="dxa"/>
            <w:tcBorders>
              <w:top w:val="nil"/>
              <w:left w:val="nil"/>
              <w:bottom w:val="single" w:color="auto" w:sz="4" w:space="0"/>
              <w:right w:val="single" w:color="auto" w:sz="4" w:space="0"/>
            </w:tcBorders>
            <w:shd w:val="clear" w:color="auto" w:fill="auto"/>
            <w:vAlign w:val="center"/>
          </w:tcPr>
          <w:p w14:paraId="35C1C568">
            <w:pPr>
              <w:rPr>
                <w:sz w:val="21"/>
                <w:szCs w:val="21"/>
              </w:rPr>
            </w:pPr>
            <w:r>
              <w:rPr>
                <w:rFonts w:hint="eastAsia"/>
                <w:sz w:val="21"/>
                <w:szCs w:val="21"/>
              </w:rPr>
              <w:t xml:space="preserve"> 许可证、装运通知、受益人证明、船公司证明 </w:t>
            </w:r>
          </w:p>
        </w:tc>
      </w:tr>
      <w:tr w14:paraId="5AE84828">
        <w:tblPrEx>
          <w:tblCellMar>
            <w:top w:w="0" w:type="dxa"/>
            <w:left w:w="108" w:type="dxa"/>
            <w:bottom w:w="0" w:type="dxa"/>
            <w:right w:w="108" w:type="dxa"/>
          </w:tblCellMar>
        </w:tblPrEx>
        <w:trPr>
          <w:trHeight w:val="553"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6C67DB58">
            <w:pPr>
              <w:rPr>
                <w:sz w:val="21"/>
                <w:szCs w:val="21"/>
              </w:rPr>
            </w:pPr>
            <w:r>
              <w:rPr>
                <w:rFonts w:hint="eastAsia"/>
                <w:sz w:val="21"/>
                <w:szCs w:val="21"/>
              </w:rPr>
              <w:t xml:space="preserve"> 第十一章 国际贸易单位审核与处理 </w:t>
            </w:r>
          </w:p>
        </w:tc>
        <w:tc>
          <w:tcPr>
            <w:tcW w:w="2835" w:type="dxa"/>
            <w:tcBorders>
              <w:top w:val="nil"/>
              <w:left w:val="nil"/>
              <w:bottom w:val="single" w:color="auto" w:sz="4" w:space="0"/>
              <w:right w:val="single" w:color="auto" w:sz="4" w:space="0"/>
            </w:tcBorders>
            <w:shd w:val="clear" w:color="auto" w:fill="auto"/>
            <w:vAlign w:val="center"/>
          </w:tcPr>
          <w:p w14:paraId="6756B02F">
            <w:pPr>
              <w:rPr>
                <w:sz w:val="21"/>
                <w:szCs w:val="21"/>
              </w:rPr>
            </w:pPr>
            <w:r>
              <w:rPr>
                <w:rFonts w:hint="eastAsia"/>
                <w:sz w:val="21"/>
                <w:szCs w:val="21"/>
              </w:rPr>
              <w:t xml:space="preserve"> 掌握国际贸易单位审核的基本要点 </w:t>
            </w:r>
          </w:p>
        </w:tc>
        <w:tc>
          <w:tcPr>
            <w:tcW w:w="2977" w:type="dxa"/>
            <w:tcBorders>
              <w:top w:val="nil"/>
              <w:left w:val="nil"/>
              <w:bottom w:val="single" w:color="auto" w:sz="4" w:space="0"/>
              <w:right w:val="single" w:color="auto" w:sz="4" w:space="0"/>
            </w:tcBorders>
            <w:shd w:val="clear" w:color="auto" w:fill="auto"/>
            <w:vAlign w:val="center"/>
          </w:tcPr>
          <w:p w14:paraId="03B1E69A">
            <w:pPr>
              <w:rPr>
                <w:sz w:val="21"/>
                <w:szCs w:val="21"/>
              </w:rPr>
            </w:pPr>
            <w:r>
              <w:rPr>
                <w:rFonts w:hint="eastAsia"/>
                <w:sz w:val="21"/>
                <w:szCs w:val="21"/>
              </w:rPr>
              <w:t xml:space="preserve"> 国际贸易单位审核概述、申报审核要点 </w:t>
            </w:r>
          </w:p>
        </w:tc>
      </w:tr>
    </w:tbl>
    <w:p w14:paraId="03366087">
      <w:pPr>
        <w:pStyle w:val="18"/>
        <w:spacing w:before="81" w:after="163"/>
      </w:pPr>
    </w:p>
    <w:p w14:paraId="52354DC4">
      <w:pPr>
        <w:pStyle w:val="18"/>
        <w:spacing w:before="81" w:after="163"/>
      </w:pPr>
      <w:r>
        <w:rPr>
          <w:rFonts w:hint="eastAsia"/>
        </w:rPr>
        <w:t>（二）教学单元对课程目标的支撑关系</w:t>
      </w:r>
    </w:p>
    <w:tbl>
      <w:tblPr>
        <w:tblStyle w:val="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066"/>
        <w:gridCol w:w="1017"/>
        <w:gridCol w:w="1016"/>
        <w:gridCol w:w="1016"/>
        <w:gridCol w:w="936"/>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970" w:type="dxa"/>
            <w:tcBorders>
              <w:top w:val="single" w:color="auto" w:sz="12" w:space="0"/>
              <w:left w:val="single" w:color="auto" w:sz="12" w:space="0"/>
              <w:tl2br w:val="single" w:color="auto" w:sz="4" w:space="0"/>
            </w:tcBorders>
          </w:tcPr>
          <w:p w14:paraId="29966259">
            <w:pPr>
              <w:pStyle w:val="14"/>
              <w:ind w:firstLine="489"/>
              <w:jc w:val="right"/>
              <w:rPr>
                <w:szCs w:val="16"/>
              </w:rPr>
            </w:pPr>
            <w:r>
              <w:rPr>
                <w:rFonts w:hint="eastAsia"/>
                <w:szCs w:val="16"/>
              </w:rPr>
              <w:t>课程目标</w:t>
            </w:r>
          </w:p>
          <w:p w14:paraId="0AE0367F">
            <w:pPr>
              <w:pStyle w:val="14"/>
              <w:ind w:right="210"/>
              <w:jc w:val="left"/>
              <w:rPr>
                <w:szCs w:val="16"/>
              </w:rPr>
            </w:pPr>
          </w:p>
          <w:p w14:paraId="7E85CCEC">
            <w:pPr>
              <w:pStyle w:val="14"/>
              <w:ind w:right="210"/>
              <w:jc w:val="left"/>
              <w:rPr>
                <w:szCs w:val="16"/>
              </w:rPr>
            </w:pPr>
            <w:r>
              <w:rPr>
                <w:rFonts w:hint="eastAsia"/>
                <w:szCs w:val="16"/>
              </w:rPr>
              <w:t>教学单元</w:t>
            </w:r>
          </w:p>
        </w:tc>
        <w:tc>
          <w:tcPr>
            <w:tcW w:w="993" w:type="dxa"/>
            <w:tcBorders>
              <w:top w:val="single" w:color="auto" w:sz="12" w:space="0"/>
            </w:tcBorders>
            <w:vAlign w:val="center"/>
          </w:tcPr>
          <w:p w14:paraId="6598841B">
            <w:pPr>
              <w:pStyle w:val="14"/>
              <w:rPr>
                <w:szCs w:val="16"/>
              </w:rPr>
            </w:pPr>
            <w:r>
              <w:rPr>
                <w:rFonts w:hint="eastAsia"/>
                <w:szCs w:val="16"/>
              </w:rPr>
              <w:t>1</w:t>
            </w:r>
          </w:p>
        </w:tc>
        <w:tc>
          <w:tcPr>
            <w:tcW w:w="992" w:type="dxa"/>
            <w:tcBorders>
              <w:top w:val="single" w:color="auto" w:sz="12" w:space="0"/>
            </w:tcBorders>
            <w:vAlign w:val="center"/>
          </w:tcPr>
          <w:p w14:paraId="5609833D">
            <w:pPr>
              <w:pStyle w:val="14"/>
              <w:rPr>
                <w:szCs w:val="16"/>
              </w:rPr>
            </w:pPr>
            <w:r>
              <w:rPr>
                <w:rFonts w:hint="eastAsia"/>
                <w:szCs w:val="16"/>
              </w:rPr>
              <w:t>2</w:t>
            </w:r>
          </w:p>
        </w:tc>
        <w:tc>
          <w:tcPr>
            <w:tcW w:w="992" w:type="dxa"/>
            <w:tcBorders>
              <w:top w:val="single" w:color="auto" w:sz="12" w:space="0"/>
            </w:tcBorders>
            <w:vAlign w:val="center"/>
          </w:tcPr>
          <w:p w14:paraId="23C6C844">
            <w:pPr>
              <w:pStyle w:val="14"/>
              <w:rPr>
                <w:szCs w:val="16"/>
              </w:rPr>
            </w:pPr>
            <w:r>
              <w:rPr>
                <w:rFonts w:hint="eastAsia"/>
                <w:szCs w:val="16"/>
              </w:rPr>
              <w:t>3</w:t>
            </w:r>
          </w:p>
        </w:tc>
        <w:tc>
          <w:tcPr>
            <w:tcW w:w="914" w:type="dxa"/>
            <w:tcBorders>
              <w:top w:val="single" w:color="auto" w:sz="12" w:space="0"/>
              <w:right w:val="single" w:color="auto" w:sz="12" w:space="0"/>
            </w:tcBorders>
            <w:vAlign w:val="center"/>
          </w:tcPr>
          <w:p w14:paraId="22158ADB">
            <w:pPr>
              <w:pStyle w:val="14"/>
              <w:rPr>
                <w:szCs w:val="16"/>
              </w:rPr>
            </w:pPr>
            <w:r>
              <w:rPr>
                <w:rFonts w:hint="eastAsia"/>
                <w:szCs w:val="16"/>
              </w:rPr>
              <w:t>4</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2FBDDB88">
            <w:pPr>
              <w:pStyle w:val="15"/>
              <w:jc w:val="left"/>
            </w:pPr>
            <w:r>
              <w:t>第一章 国际贸易单证概述</w:t>
            </w:r>
          </w:p>
        </w:tc>
        <w:tc>
          <w:tcPr>
            <w:tcW w:w="993" w:type="dxa"/>
            <w:vAlign w:val="center"/>
          </w:tcPr>
          <w:p w14:paraId="786ED503">
            <w:pPr>
              <w:pStyle w:val="15"/>
            </w:pPr>
            <w:r>
              <w:rPr>
                <w:rFonts w:hint="eastAsia"/>
              </w:rPr>
              <w:t>√</w:t>
            </w:r>
          </w:p>
        </w:tc>
        <w:tc>
          <w:tcPr>
            <w:tcW w:w="992" w:type="dxa"/>
            <w:vAlign w:val="center"/>
          </w:tcPr>
          <w:p w14:paraId="37943175">
            <w:pPr>
              <w:pStyle w:val="15"/>
            </w:pPr>
          </w:p>
        </w:tc>
        <w:tc>
          <w:tcPr>
            <w:tcW w:w="992" w:type="dxa"/>
            <w:vAlign w:val="center"/>
          </w:tcPr>
          <w:p w14:paraId="68F1D2A4">
            <w:pPr>
              <w:pStyle w:val="15"/>
            </w:pPr>
          </w:p>
        </w:tc>
        <w:tc>
          <w:tcPr>
            <w:tcW w:w="914" w:type="dxa"/>
            <w:tcBorders>
              <w:right w:val="single" w:color="auto" w:sz="12" w:space="0"/>
            </w:tcBorders>
          </w:tcPr>
          <w:p w14:paraId="0800108E">
            <w:pPr>
              <w:pStyle w:val="15"/>
            </w:pPr>
            <w:r>
              <w:rPr>
                <w:rFonts w:hint="eastAsia"/>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6E43803B">
            <w:pPr>
              <w:pStyle w:val="15"/>
              <w:jc w:val="left"/>
            </w:pPr>
            <w:r>
              <w:t>第二章 国际货物贸易合同</w:t>
            </w:r>
          </w:p>
        </w:tc>
        <w:tc>
          <w:tcPr>
            <w:tcW w:w="993" w:type="dxa"/>
            <w:vAlign w:val="center"/>
          </w:tcPr>
          <w:p w14:paraId="3833F6F2">
            <w:pPr>
              <w:pStyle w:val="15"/>
            </w:pPr>
            <w:r>
              <w:rPr>
                <w:rFonts w:hint="eastAsia"/>
              </w:rPr>
              <w:t>√</w:t>
            </w:r>
          </w:p>
        </w:tc>
        <w:tc>
          <w:tcPr>
            <w:tcW w:w="992" w:type="dxa"/>
            <w:vAlign w:val="center"/>
          </w:tcPr>
          <w:p w14:paraId="0FECAF07">
            <w:pPr>
              <w:pStyle w:val="15"/>
            </w:pPr>
            <w:r>
              <w:rPr>
                <w:rFonts w:hint="eastAsia"/>
              </w:rPr>
              <w:t>√</w:t>
            </w:r>
          </w:p>
        </w:tc>
        <w:tc>
          <w:tcPr>
            <w:tcW w:w="992" w:type="dxa"/>
            <w:vAlign w:val="center"/>
          </w:tcPr>
          <w:p w14:paraId="22F64818">
            <w:pPr>
              <w:pStyle w:val="15"/>
            </w:pPr>
          </w:p>
        </w:tc>
        <w:tc>
          <w:tcPr>
            <w:tcW w:w="914" w:type="dxa"/>
            <w:tcBorders>
              <w:right w:val="single" w:color="auto" w:sz="12" w:space="0"/>
            </w:tcBorders>
          </w:tcPr>
          <w:p w14:paraId="0A5F4453">
            <w:pPr>
              <w:pStyle w:val="15"/>
            </w:pPr>
            <w:r>
              <w:rPr>
                <w:rFonts w:hint="eastAsia"/>
              </w:rPr>
              <w:t>√</w:t>
            </w: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185B5B84">
            <w:pPr>
              <w:pStyle w:val="15"/>
              <w:jc w:val="left"/>
            </w:pPr>
            <w:r>
              <w:t>第三章 国际贸易结算</w:t>
            </w:r>
          </w:p>
        </w:tc>
        <w:tc>
          <w:tcPr>
            <w:tcW w:w="993" w:type="dxa"/>
            <w:vAlign w:val="center"/>
          </w:tcPr>
          <w:p w14:paraId="4DEA4A96">
            <w:pPr>
              <w:pStyle w:val="15"/>
            </w:pPr>
          </w:p>
        </w:tc>
        <w:tc>
          <w:tcPr>
            <w:tcW w:w="992" w:type="dxa"/>
          </w:tcPr>
          <w:p w14:paraId="4804FEF4">
            <w:pPr>
              <w:pStyle w:val="15"/>
            </w:pPr>
          </w:p>
        </w:tc>
        <w:tc>
          <w:tcPr>
            <w:tcW w:w="992" w:type="dxa"/>
          </w:tcPr>
          <w:p w14:paraId="5E7FFDC7">
            <w:pPr>
              <w:pStyle w:val="15"/>
            </w:pPr>
            <w:r>
              <w:rPr>
                <w:rFonts w:hint="eastAsia"/>
              </w:rPr>
              <w:t>√</w:t>
            </w:r>
          </w:p>
        </w:tc>
        <w:tc>
          <w:tcPr>
            <w:tcW w:w="914" w:type="dxa"/>
            <w:tcBorders>
              <w:right w:val="single" w:color="auto" w:sz="12" w:space="0"/>
            </w:tcBorders>
          </w:tcPr>
          <w:p w14:paraId="5F5781B3">
            <w:pPr>
              <w:pStyle w:val="15"/>
            </w:pPr>
            <w:r>
              <w:rPr>
                <w:rFonts w:hint="eastAsia"/>
              </w:rPr>
              <w:t>√</w:t>
            </w:r>
          </w:p>
        </w:tc>
      </w:tr>
      <w:tr w14:paraId="4C5C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7B9C811C">
            <w:pPr>
              <w:pStyle w:val="15"/>
              <w:jc w:val="left"/>
            </w:pPr>
            <w:r>
              <w:t>第四章 信用证</w:t>
            </w:r>
          </w:p>
        </w:tc>
        <w:tc>
          <w:tcPr>
            <w:tcW w:w="993" w:type="dxa"/>
            <w:vAlign w:val="center"/>
          </w:tcPr>
          <w:p w14:paraId="3E120FC0">
            <w:pPr>
              <w:pStyle w:val="15"/>
            </w:pPr>
          </w:p>
        </w:tc>
        <w:tc>
          <w:tcPr>
            <w:tcW w:w="992" w:type="dxa"/>
          </w:tcPr>
          <w:p w14:paraId="55F306E6">
            <w:pPr>
              <w:pStyle w:val="15"/>
            </w:pPr>
          </w:p>
        </w:tc>
        <w:tc>
          <w:tcPr>
            <w:tcW w:w="992" w:type="dxa"/>
          </w:tcPr>
          <w:p w14:paraId="675C90B3">
            <w:pPr>
              <w:pStyle w:val="15"/>
            </w:pPr>
            <w:r>
              <w:rPr>
                <w:rFonts w:hint="eastAsia"/>
              </w:rPr>
              <w:t>√</w:t>
            </w:r>
          </w:p>
        </w:tc>
        <w:tc>
          <w:tcPr>
            <w:tcW w:w="914" w:type="dxa"/>
            <w:tcBorders>
              <w:right w:val="single" w:color="auto" w:sz="12" w:space="0"/>
            </w:tcBorders>
          </w:tcPr>
          <w:p w14:paraId="549DFF69">
            <w:pPr>
              <w:pStyle w:val="15"/>
            </w:pPr>
            <w:r>
              <w:rPr>
                <w:rFonts w:hint="eastAsia"/>
              </w:rPr>
              <w:t>√</w:t>
            </w:r>
          </w:p>
        </w:tc>
      </w:tr>
      <w:tr w14:paraId="6415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0B7870E6">
            <w:pPr>
              <w:pStyle w:val="15"/>
              <w:jc w:val="left"/>
            </w:pPr>
            <w:r>
              <w:t>第五章 发票和包装单据</w:t>
            </w:r>
          </w:p>
        </w:tc>
        <w:tc>
          <w:tcPr>
            <w:tcW w:w="993" w:type="dxa"/>
            <w:vAlign w:val="center"/>
          </w:tcPr>
          <w:p w14:paraId="268FECCA">
            <w:pPr>
              <w:pStyle w:val="15"/>
            </w:pPr>
          </w:p>
        </w:tc>
        <w:tc>
          <w:tcPr>
            <w:tcW w:w="992" w:type="dxa"/>
          </w:tcPr>
          <w:p w14:paraId="7A7BD4ED">
            <w:pPr>
              <w:pStyle w:val="15"/>
            </w:pPr>
          </w:p>
        </w:tc>
        <w:tc>
          <w:tcPr>
            <w:tcW w:w="992" w:type="dxa"/>
          </w:tcPr>
          <w:p w14:paraId="7BA4763D">
            <w:pPr>
              <w:pStyle w:val="15"/>
            </w:pPr>
            <w:r>
              <w:rPr>
                <w:rFonts w:hint="eastAsia"/>
              </w:rPr>
              <w:t>√</w:t>
            </w:r>
          </w:p>
        </w:tc>
        <w:tc>
          <w:tcPr>
            <w:tcW w:w="914" w:type="dxa"/>
            <w:tcBorders>
              <w:right w:val="single" w:color="auto" w:sz="12" w:space="0"/>
            </w:tcBorders>
          </w:tcPr>
          <w:p w14:paraId="000F3FF8">
            <w:pPr>
              <w:pStyle w:val="15"/>
            </w:pPr>
            <w:r>
              <w:rPr>
                <w:rFonts w:hint="eastAsia"/>
              </w:rPr>
              <w:t>√</w:t>
            </w:r>
          </w:p>
        </w:tc>
      </w:tr>
      <w:tr w14:paraId="4C15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4F78D12D">
            <w:pPr>
              <w:pStyle w:val="15"/>
              <w:jc w:val="left"/>
            </w:pPr>
            <w:r>
              <w:t>第六章 保险单位</w:t>
            </w:r>
          </w:p>
        </w:tc>
        <w:tc>
          <w:tcPr>
            <w:tcW w:w="993" w:type="dxa"/>
            <w:vAlign w:val="center"/>
          </w:tcPr>
          <w:p w14:paraId="68FD875C">
            <w:pPr>
              <w:pStyle w:val="15"/>
            </w:pPr>
          </w:p>
        </w:tc>
        <w:tc>
          <w:tcPr>
            <w:tcW w:w="992" w:type="dxa"/>
          </w:tcPr>
          <w:p w14:paraId="613EB05B">
            <w:pPr>
              <w:pStyle w:val="15"/>
            </w:pPr>
          </w:p>
        </w:tc>
        <w:tc>
          <w:tcPr>
            <w:tcW w:w="992" w:type="dxa"/>
          </w:tcPr>
          <w:p w14:paraId="3D008E64">
            <w:pPr>
              <w:pStyle w:val="15"/>
            </w:pPr>
            <w:r>
              <w:rPr>
                <w:rFonts w:hint="eastAsia"/>
              </w:rPr>
              <w:t>√</w:t>
            </w:r>
          </w:p>
        </w:tc>
        <w:tc>
          <w:tcPr>
            <w:tcW w:w="914" w:type="dxa"/>
            <w:tcBorders>
              <w:right w:val="single" w:color="auto" w:sz="12" w:space="0"/>
            </w:tcBorders>
          </w:tcPr>
          <w:p w14:paraId="281516BB">
            <w:pPr>
              <w:pStyle w:val="15"/>
            </w:pPr>
            <w:r>
              <w:rPr>
                <w:rFonts w:hint="eastAsia"/>
              </w:rPr>
              <w:t>√</w:t>
            </w:r>
          </w:p>
        </w:tc>
      </w:tr>
      <w:tr w14:paraId="16F4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1A920B65">
            <w:pPr>
              <w:pStyle w:val="15"/>
              <w:jc w:val="left"/>
            </w:pPr>
            <w:r>
              <w:t>第七章 运输单位</w:t>
            </w:r>
          </w:p>
        </w:tc>
        <w:tc>
          <w:tcPr>
            <w:tcW w:w="993" w:type="dxa"/>
            <w:vAlign w:val="center"/>
          </w:tcPr>
          <w:p w14:paraId="6FCBDBC2">
            <w:pPr>
              <w:pStyle w:val="15"/>
            </w:pPr>
          </w:p>
        </w:tc>
        <w:tc>
          <w:tcPr>
            <w:tcW w:w="992" w:type="dxa"/>
          </w:tcPr>
          <w:p w14:paraId="7ABA98E9">
            <w:pPr>
              <w:pStyle w:val="15"/>
            </w:pPr>
          </w:p>
        </w:tc>
        <w:tc>
          <w:tcPr>
            <w:tcW w:w="992" w:type="dxa"/>
          </w:tcPr>
          <w:p w14:paraId="63891129">
            <w:pPr>
              <w:pStyle w:val="15"/>
            </w:pPr>
            <w:r>
              <w:rPr>
                <w:rFonts w:hint="eastAsia"/>
              </w:rPr>
              <w:t>√</w:t>
            </w:r>
          </w:p>
        </w:tc>
        <w:tc>
          <w:tcPr>
            <w:tcW w:w="914" w:type="dxa"/>
            <w:tcBorders>
              <w:right w:val="single" w:color="auto" w:sz="12" w:space="0"/>
            </w:tcBorders>
          </w:tcPr>
          <w:p w14:paraId="33DBEBE1">
            <w:pPr>
              <w:pStyle w:val="15"/>
            </w:pPr>
            <w:r>
              <w:rPr>
                <w:rFonts w:hint="eastAsia"/>
              </w:rPr>
              <w:t>√</w:t>
            </w:r>
          </w:p>
        </w:tc>
      </w:tr>
      <w:tr w14:paraId="3DFA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49C1BD59">
            <w:pPr>
              <w:pStyle w:val="15"/>
              <w:jc w:val="left"/>
            </w:pPr>
            <w:r>
              <w:t>第八章 报关报检单位</w:t>
            </w:r>
          </w:p>
        </w:tc>
        <w:tc>
          <w:tcPr>
            <w:tcW w:w="993" w:type="dxa"/>
            <w:vAlign w:val="center"/>
          </w:tcPr>
          <w:p w14:paraId="2889DDE5">
            <w:pPr>
              <w:pStyle w:val="15"/>
            </w:pPr>
          </w:p>
        </w:tc>
        <w:tc>
          <w:tcPr>
            <w:tcW w:w="992" w:type="dxa"/>
          </w:tcPr>
          <w:p w14:paraId="4C125682">
            <w:pPr>
              <w:pStyle w:val="15"/>
            </w:pPr>
          </w:p>
        </w:tc>
        <w:tc>
          <w:tcPr>
            <w:tcW w:w="992" w:type="dxa"/>
          </w:tcPr>
          <w:p w14:paraId="768D9B88">
            <w:pPr>
              <w:pStyle w:val="15"/>
            </w:pPr>
            <w:r>
              <w:rPr>
                <w:rFonts w:hint="eastAsia"/>
              </w:rPr>
              <w:t>√</w:t>
            </w:r>
          </w:p>
        </w:tc>
        <w:tc>
          <w:tcPr>
            <w:tcW w:w="914" w:type="dxa"/>
            <w:tcBorders>
              <w:right w:val="single" w:color="auto" w:sz="12" w:space="0"/>
            </w:tcBorders>
          </w:tcPr>
          <w:p w14:paraId="398BA9B7">
            <w:pPr>
              <w:pStyle w:val="15"/>
            </w:pPr>
            <w:r>
              <w:rPr>
                <w:rFonts w:hint="eastAsia"/>
              </w:rPr>
              <w:t>√</w:t>
            </w:r>
          </w:p>
        </w:tc>
      </w:tr>
      <w:tr w14:paraId="5972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tcBorders>
          </w:tcPr>
          <w:p w14:paraId="07C58DED">
            <w:pPr>
              <w:pStyle w:val="15"/>
              <w:jc w:val="left"/>
            </w:pPr>
            <w:r>
              <w:t>第九章 原产地证书</w:t>
            </w:r>
          </w:p>
        </w:tc>
        <w:tc>
          <w:tcPr>
            <w:tcW w:w="993" w:type="dxa"/>
            <w:vAlign w:val="center"/>
          </w:tcPr>
          <w:p w14:paraId="40E27B5D">
            <w:pPr>
              <w:pStyle w:val="15"/>
            </w:pPr>
            <w:r>
              <w:rPr>
                <w:rFonts w:hint="eastAsia"/>
              </w:rPr>
              <w:t>√</w:t>
            </w:r>
          </w:p>
        </w:tc>
        <w:tc>
          <w:tcPr>
            <w:tcW w:w="992" w:type="dxa"/>
          </w:tcPr>
          <w:p w14:paraId="4BA37673">
            <w:pPr>
              <w:pStyle w:val="15"/>
            </w:pPr>
            <w:r>
              <w:rPr>
                <w:rFonts w:hint="eastAsia"/>
              </w:rPr>
              <w:t>√</w:t>
            </w:r>
          </w:p>
        </w:tc>
        <w:tc>
          <w:tcPr>
            <w:tcW w:w="992" w:type="dxa"/>
            <w:vAlign w:val="center"/>
          </w:tcPr>
          <w:p w14:paraId="5904078C">
            <w:pPr>
              <w:pStyle w:val="15"/>
            </w:pPr>
            <w:r>
              <w:rPr>
                <w:rFonts w:hint="eastAsia"/>
              </w:rPr>
              <w:t>√</w:t>
            </w:r>
          </w:p>
        </w:tc>
        <w:tc>
          <w:tcPr>
            <w:tcW w:w="914" w:type="dxa"/>
            <w:tcBorders>
              <w:right w:val="single" w:color="auto" w:sz="12" w:space="0"/>
            </w:tcBorders>
            <w:vAlign w:val="center"/>
          </w:tcPr>
          <w:p w14:paraId="4A19C39F">
            <w:pPr>
              <w:pStyle w:val="15"/>
            </w:pPr>
            <w:r>
              <w:rPr>
                <w:rFonts w:hint="eastAsia"/>
              </w:rPr>
              <w:t>√</w:t>
            </w:r>
          </w:p>
        </w:tc>
      </w:tr>
      <w:tr w14:paraId="76D3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bottom w:val="single" w:color="auto" w:sz="12" w:space="0"/>
            </w:tcBorders>
          </w:tcPr>
          <w:p w14:paraId="567E3CBB">
            <w:pPr>
              <w:pStyle w:val="15"/>
              <w:jc w:val="left"/>
            </w:pPr>
            <w:r>
              <w:t>第十章 其他单</w:t>
            </w:r>
            <w:r>
              <w:rPr>
                <w:rFonts w:hint="eastAsia"/>
              </w:rPr>
              <w:t>证</w:t>
            </w:r>
          </w:p>
        </w:tc>
        <w:tc>
          <w:tcPr>
            <w:tcW w:w="993" w:type="dxa"/>
            <w:tcBorders>
              <w:bottom w:val="single" w:color="auto" w:sz="12" w:space="0"/>
            </w:tcBorders>
            <w:vAlign w:val="center"/>
          </w:tcPr>
          <w:p w14:paraId="43ECBDD5">
            <w:pPr>
              <w:pStyle w:val="15"/>
            </w:pPr>
          </w:p>
        </w:tc>
        <w:tc>
          <w:tcPr>
            <w:tcW w:w="992" w:type="dxa"/>
            <w:tcBorders>
              <w:bottom w:val="single" w:color="auto" w:sz="12" w:space="0"/>
            </w:tcBorders>
          </w:tcPr>
          <w:p w14:paraId="6C3B5D6E">
            <w:pPr>
              <w:pStyle w:val="15"/>
            </w:pPr>
          </w:p>
        </w:tc>
        <w:tc>
          <w:tcPr>
            <w:tcW w:w="992" w:type="dxa"/>
            <w:tcBorders>
              <w:bottom w:val="single" w:color="auto" w:sz="12" w:space="0"/>
            </w:tcBorders>
          </w:tcPr>
          <w:p w14:paraId="3C7C48FC">
            <w:pPr>
              <w:pStyle w:val="15"/>
            </w:pPr>
            <w:r>
              <w:rPr>
                <w:rFonts w:hint="eastAsia"/>
              </w:rPr>
              <w:t>√</w:t>
            </w:r>
          </w:p>
        </w:tc>
        <w:tc>
          <w:tcPr>
            <w:tcW w:w="914" w:type="dxa"/>
            <w:tcBorders>
              <w:bottom w:val="single" w:color="auto" w:sz="12" w:space="0"/>
              <w:right w:val="single" w:color="auto" w:sz="12" w:space="0"/>
            </w:tcBorders>
          </w:tcPr>
          <w:p w14:paraId="0708C756">
            <w:pPr>
              <w:pStyle w:val="15"/>
            </w:pPr>
            <w:r>
              <w:rPr>
                <w:rFonts w:hint="eastAsia"/>
              </w:rPr>
              <w:t>√</w:t>
            </w:r>
          </w:p>
        </w:tc>
      </w:tr>
      <w:tr w14:paraId="378E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970" w:type="dxa"/>
            <w:tcBorders>
              <w:left w:val="single" w:color="auto" w:sz="12" w:space="0"/>
              <w:bottom w:val="single" w:color="auto" w:sz="12" w:space="0"/>
            </w:tcBorders>
          </w:tcPr>
          <w:p w14:paraId="7F2FA864">
            <w:pPr>
              <w:pStyle w:val="15"/>
              <w:jc w:val="left"/>
            </w:pPr>
            <w:r>
              <w:t>第十一章 国际贸易单位审核与处理</w:t>
            </w:r>
          </w:p>
        </w:tc>
        <w:tc>
          <w:tcPr>
            <w:tcW w:w="993" w:type="dxa"/>
            <w:tcBorders>
              <w:bottom w:val="single" w:color="auto" w:sz="12" w:space="0"/>
            </w:tcBorders>
            <w:vAlign w:val="center"/>
          </w:tcPr>
          <w:p w14:paraId="625C0DBF">
            <w:pPr>
              <w:pStyle w:val="15"/>
            </w:pPr>
          </w:p>
        </w:tc>
        <w:tc>
          <w:tcPr>
            <w:tcW w:w="992" w:type="dxa"/>
            <w:tcBorders>
              <w:bottom w:val="single" w:color="auto" w:sz="12" w:space="0"/>
            </w:tcBorders>
          </w:tcPr>
          <w:p w14:paraId="0088372D">
            <w:pPr>
              <w:pStyle w:val="15"/>
            </w:pPr>
          </w:p>
        </w:tc>
        <w:tc>
          <w:tcPr>
            <w:tcW w:w="992" w:type="dxa"/>
            <w:tcBorders>
              <w:bottom w:val="single" w:color="auto" w:sz="12" w:space="0"/>
            </w:tcBorders>
          </w:tcPr>
          <w:p w14:paraId="04B96436">
            <w:pPr>
              <w:pStyle w:val="15"/>
            </w:pPr>
            <w:r>
              <w:rPr>
                <w:rFonts w:hint="eastAsia"/>
              </w:rPr>
              <w:t>√</w:t>
            </w:r>
          </w:p>
        </w:tc>
        <w:tc>
          <w:tcPr>
            <w:tcW w:w="914" w:type="dxa"/>
            <w:tcBorders>
              <w:bottom w:val="single" w:color="auto" w:sz="12" w:space="0"/>
              <w:right w:val="single" w:color="auto" w:sz="12" w:space="0"/>
            </w:tcBorders>
          </w:tcPr>
          <w:p w14:paraId="57461B32">
            <w:pPr>
              <w:pStyle w:val="15"/>
            </w:pPr>
            <w:r>
              <w:rPr>
                <w:rFonts w:hint="eastAsia"/>
              </w:rPr>
              <w:t>√</w:t>
            </w:r>
          </w:p>
        </w:tc>
      </w:tr>
    </w:tbl>
    <w:p w14:paraId="5ABFEF30">
      <w:pPr>
        <w:pStyle w:val="18"/>
        <w:spacing w:before="326" w:beforeLines="100" w:after="163"/>
      </w:pPr>
      <w:r>
        <w:rPr>
          <w:rFonts w:hint="eastAsia"/>
        </w:rPr>
        <w:t>（三）课程教学方法与学时分配</w:t>
      </w:r>
    </w:p>
    <w:tbl>
      <w:tblPr>
        <w:tblStyle w:val="8"/>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300"/>
        <w:gridCol w:w="2314"/>
        <w:gridCol w:w="2032"/>
        <w:gridCol w:w="725"/>
        <w:gridCol w:w="742"/>
        <w:gridCol w:w="72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246"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260" w:type="dxa"/>
            <w:vMerge w:val="restart"/>
            <w:tcBorders>
              <w:top w:val="single" w:color="auto" w:sz="12" w:space="0"/>
            </w:tcBorders>
            <w:vAlign w:val="center"/>
          </w:tcPr>
          <w:p w14:paraId="3226C472">
            <w:pPr>
              <w:pStyle w:val="14"/>
              <w:widowControl w:val="0"/>
              <w:rPr>
                <w:szCs w:val="21"/>
              </w:rPr>
            </w:pPr>
            <w:r>
              <w:rPr>
                <w:rFonts w:hint="eastAsia" w:ascii="黑体" w:hAnsi="黑体"/>
                <w:szCs w:val="21"/>
              </w:rPr>
              <w:t>教与学方式</w:t>
            </w:r>
          </w:p>
        </w:tc>
        <w:tc>
          <w:tcPr>
            <w:tcW w:w="1984" w:type="dxa"/>
            <w:vMerge w:val="restart"/>
            <w:tcBorders>
              <w:top w:val="single" w:color="auto" w:sz="12" w:space="0"/>
            </w:tcBorders>
            <w:vAlign w:val="center"/>
          </w:tcPr>
          <w:p w14:paraId="24EA7652">
            <w:pPr>
              <w:pStyle w:val="14"/>
              <w:widowControl w:val="0"/>
              <w:rPr>
                <w:rFonts w:ascii="黑体" w:hAnsi="黑体"/>
                <w:szCs w:val="21"/>
              </w:rPr>
            </w:pPr>
            <w:r>
              <w:rPr>
                <w:rFonts w:hint="eastAsia" w:ascii="黑体" w:hAnsi="黑体"/>
                <w:szCs w:val="21"/>
              </w:rPr>
              <w:t>考核方式</w:t>
            </w:r>
          </w:p>
        </w:tc>
        <w:tc>
          <w:tcPr>
            <w:tcW w:w="2142" w:type="dxa"/>
            <w:gridSpan w:val="3"/>
            <w:tcBorders>
              <w:top w:val="single" w:color="auto" w:sz="12" w:space="0"/>
              <w:right w:val="single" w:color="auto" w:sz="12" w:space="0"/>
            </w:tcBorders>
            <w:vAlign w:val="center"/>
          </w:tcPr>
          <w:p w14:paraId="144B1E29">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246"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260" w:type="dxa"/>
            <w:vMerge w:val="continue"/>
          </w:tcPr>
          <w:p w14:paraId="297D6615">
            <w:pPr>
              <w:widowControl w:val="0"/>
              <w:snapToGrid w:val="0"/>
              <w:jc w:val="center"/>
              <w:rPr>
                <w:rFonts w:ascii="黑体" w:hAnsi="黑体" w:eastAsia="黑体"/>
                <w:bCs/>
                <w:sz w:val="21"/>
                <w:szCs w:val="21"/>
              </w:rPr>
            </w:pPr>
          </w:p>
        </w:tc>
        <w:tc>
          <w:tcPr>
            <w:tcW w:w="1984" w:type="dxa"/>
            <w:vMerge w:val="continue"/>
          </w:tcPr>
          <w:p w14:paraId="4B040DCF">
            <w:pPr>
              <w:widowControl w:val="0"/>
              <w:snapToGrid w:val="0"/>
              <w:jc w:val="center"/>
              <w:rPr>
                <w:rFonts w:ascii="黑体" w:hAnsi="黑体" w:eastAsia="黑体"/>
                <w:bCs/>
                <w:sz w:val="21"/>
                <w:szCs w:val="21"/>
              </w:rPr>
            </w:pPr>
          </w:p>
        </w:tc>
        <w:tc>
          <w:tcPr>
            <w:tcW w:w="708"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725"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9"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3EF6BE0D">
            <w:pPr>
              <w:widowControl w:val="0"/>
              <w:snapToGrid w:val="0"/>
              <w:jc w:val="left"/>
              <w:rPr>
                <w:rFonts w:ascii="Times New Roman" w:hAnsi="Times New Roman"/>
                <w:sz w:val="21"/>
              </w:rPr>
            </w:pPr>
            <w:r>
              <w:t>第一章 国际贸易单证概述</w:t>
            </w:r>
          </w:p>
        </w:tc>
        <w:tc>
          <w:tcPr>
            <w:tcW w:w="2260" w:type="dxa"/>
          </w:tcPr>
          <w:p w14:paraId="1AE5D317">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1671CBB1">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7DDFCF13">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14:paraId="0E18152D">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14:paraId="4CF109D5">
            <w:pPr>
              <w:widowControl w:val="0"/>
              <w:snapToGrid w:val="0"/>
              <w:jc w:val="center"/>
              <w:rPr>
                <w:rFonts w:ascii="Times New Roman" w:hAnsi="Times New Roman"/>
                <w:sz w:val="21"/>
              </w:rPr>
            </w:pPr>
            <w:r>
              <w:rPr>
                <w:rFonts w:hint="eastAsia" w:ascii="Times New Roman" w:hAnsi="Times New Roman"/>
                <w:sz w:val="21"/>
              </w:rPr>
              <w:t>2</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336D78AA">
            <w:pPr>
              <w:widowControl w:val="0"/>
              <w:snapToGrid w:val="0"/>
              <w:jc w:val="left"/>
              <w:rPr>
                <w:rFonts w:ascii="Times New Roman" w:hAnsi="Times New Roman"/>
                <w:sz w:val="21"/>
              </w:rPr>
            </w:pPr>
            <w:r>
              <w:t>第二章 国际货物贸易合同</w:t>
            </w:r>
          </w:p>
        </w:tc>
        <w:tc>
          <w:tcPr>
            <w:tcW w:w="2260" w:type="dxa"/>
          </w:tcPr>
          <w:p w14:paraId="09BAD965">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6456A219">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60329DAE">
            <w:pPr>
              <w:widowControl w:val="0"/>
              <w:snapToGrid w:val="0"/>
              <w:jc w:val="center"/>
              <w:rPr>
                <w:rFonts w:ascii="Times New Roman" w:hAnsi="Times New Roman"/>
                <w:sz w:val="21"/>
              </w:rPr>
            </w:pPr>
            <w:r>
              <w:rPr>
                <w:rFonts w:hint="eastAsia" w:ascii="Times New Roman" w:hAnsi="Times New Roman"/>
                <w:sz w:val="21"/>
              </w:rPr>
              <w:t>1</w:t>
            </w:r>
          </w:p>
        </w:tc>
        <w:tc>
          <w:tcPr>
            <w:tcW w:w="725" w:type="dxa"/>
            <w:vAlign w:val="center"/>
          </w:tcPr>
          <w:p w14:paraId="10D7F993">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14:paraId="488E3C51">
            <w:pPr>
              <w:widowControl w:val="0"/>
              <w:snapToGrid w:val="0"/>
              <w:jc w:val="center"/>
              <w:rPr>
                <w:rFonts w:ascii="Times New Roman" w:hAnsi="Times New Roman"/>
                <w:sz w:val="21"/>
              </w:rPr>
            </w:pPr>
            <w:r>
              <w:rPr>
                <w:rFonts w:hint="eastAsia" w:ascii="Times New Roman" w:hAnsi="Times New Roman"/>
                <w:sz w:val="21"/>
              </w:rPr>
              <w:t>2</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6658EB62">
            <w:pPr>
              <w:widowControl w:val="0"/>
              <w:snapToGrid w:val="0"/>
              <w:jc w:val="left"/>
              <w:rPr>
                <w:rFonts w:ascii="Times New Roman" w:hAnsi="Times New Roman"/>
                <w:sz w:val="21"/>
              </w:rPr>
            </w:pPr>
            <w:r>
              <w:t>第三章 国际贸易结算</w:t>
            </w:r>
          </w:p>
        </w:tc>
        <w:tc>
          <w:tcPr>
            <w:tcW w:w="2260" w:type="dxa"/>
          </w:tcPr>
          <w:p w14:paraId="7C4AF4A7">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054C380B">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629893A4">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14:paraId="1264E6DA">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14:paraId="43F8FEBB">
            <w:pPr>
              <w:widowControl w:val="0"/>
              <w:snapToGrid w:val="0"/>
              <w:jc w:val="center"/>
              <w:rPr>
                <w:rFonts w:ascii="Times New Roman" w:hAnsi="Times New Roman"/>
                <w:sz w:val="21"/>
              </w:rPr>
            </w:pPr>
            <w:r>
              <w:rPr>
                <w:rFonts w:hint="eastAsia" w:ascii="Times New Roman" w:hAnsi="Times New Roman"/>
                <w:sz w:val="21"/>
              </w:rPr>
              <w:t>2</w:t>
            </w:r>
          </w:p>
        </w:tc>
      </w:tr>
      <w:tr w14:paraId="3E70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1103D175">
            <w:pPr>
              <w:widowControl w:val="0"/>
              <w:snapToGrid w:val="0"/>
              <w:jc w:val="left"/>
              <w:rPr>
                <w:rFonts w:ascii="Times New Roman" w:hAnsi="Times New Roman"/>
                <w:sz w:val="21"/>
              </w:rPr>
            </w:pPr>
            <w:r>
              <w:t>第四章 信用证</w:t>
            </w:r>
          </w:p>
        </w:tc>
        <w:tc>
          <w:tcPr>
            <w:tcW w:w="2260" w:type="dxa"/>
          </w:tcPr>
          <w:p w14:paraId="5A873CE9">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11389475">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42A40FDD">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14:paraId="2B017671">
            <w:pPr>
              <w:widowControl w:val="0"/>
              <w:snapToGrid w:val="0"/>
              <w:jc w:val="center"/>
              <w:rPr>
                <w:rFonts w:ascii="Times New Roman" w:hAnsi="Times New Roman"/>
                <w:sz w:val="21"/>
              </w:rPr>
            </w:pPr>
            <w:r>
              <w:rPr>
                <w:rFonts w:hint="eastAsia" w:ascii="Times New Roman" w:hAnsi="Times New Roman"/>
                <w:sz w:val="21"/>
              </w:rPr>
              <w:t>2</w:t>
            </w:r>
          </w:p>
        </w:tc>
        <w:tc>
          <w:tcPr>
            <w:tcW w:w="709" w:type="dxa"/>
            <w:tcBorders>
              <w:right w:val="single" w:color="auto" w:sz="12" w:space="0"/>
            </w:tcBorders>
            <w:vAlign w:val="center"/>
          </w:tcPr>
          <w:p w14:paraId="722988C4">
            <w:pPr>
              <w:widowControl w:val="0"/>
              <w:snapToGrid w:val="0"/>
              <w:jc w:val="center"/>
              <w:rPr>
                <w:rFonts w:ascii="Times New Roman" w:hAnsi="Times New Roman"/>
                <w:sz w:val="21"/>
              </w:rPr>
            </w:pPr>
            <w:r>
              <w:rPr>
                <w:rFonts w:hint="eastAsia" w:ascii="Times New Roman" w:hAnsi="Times New Roman"/>
                <w:sz w:val="21"/>
              </w:rPr>
              <w:t>4</w:t>
            </w:r>
          </w:p>
        </w:tc>
      </w:tr>
      <w:tr w14:paraId="3E70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0648A1D9">
            <w:pPr>
              <w:widowControl w:val="0"/>
              <w:snapToGrid w:val="0"/>
              <w:jc w:val="left"/>
              <w:rPr>
                <w:rFonts w:ascii="Times New Roman" w:hAnsi="Times New Roman"/>
                <w:sz w:val="21"/>
              </w:rPr>
            </w:pPr>
            <w:r>
              <w:t>第五章 发票和包装单据</w:t>
            </w:r>
          </w:p>
        </w:tc>
        <w:tc>
          <w:tcPr>
            <w:tcW w:w="2260" w:type="dxa"/>
          </w:tcPr>
          <w:p w14:paraId="2B75AC8B">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5C691880">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46DDD5B2">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14:paraId="475BD66B">
            <w:pPr>
              <w:widowControl w:val="0"/>
              <w:snapToGrid w:val="0"/>
              <w:jc w:val="center"/>
              <w:rPr>
                <w:rFonts w:ascii="Times New Roman" w:hAnsi="Times New Roman"/>
                <w:sz w:val="21"/>
              </w:rPr>
            </w:pPr>
            <w:r>
              <w:rPr>
                <w:rFonts w:hint="eastAsia" w:ascii="Times New Roman" w:hAnsi="Times New Roman"/>
                <w:sz w:val="21"/>
              </w:rPr>
              <w:t>2</w:t>
            </w:r>
          </w:p>
        </w:tc>
        <w:tc>
          <w:tcPr>
            <w:tcW w:w="709" w:type="dxa"/>
            <w:tcBorders>
              <w:right w:val="single" w:color="auto" w:sz="12" w:space="0"/>
            </w:tcBorders>
            <w:vAlign w:val="center"/>
          </w:tcPr>
          <w:p w14:paraId="293DAF06">
            <w:pPr>
              <w:widowControl w:val="0"/>
              <w:snapToGrid w:val="0"/>
              <w:jc w:val="center"/>
              <w:rPr>
                <w:rFonts w:ascii="Times New Roman" w:hAnsi="Times New Roman"/>
                <w:sz w:val="21"/>
              </w:rPr>
            </w:pPr>
            <w:r>
              <w:rPr>
                <w:rFonts w:hint="eastAsia" w:ascii="Times New Roman" w:hAnsi="Times New Roman"/>
                <w:sz w:val="21"/>
              </w:rPr>
              <w:t>4</w:t>
            </w:r>
          </w:p>
        </w:tc>
      </w:tr>
      <w:tr w14:paraId="7A9C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6" w:type="dxa"/>
            <w:tcBorders>
              <w:left w:val="single" w:color="auto" w:sz="12" w:space="0"/>
            </w:tcBorders>
          </w:tcPr>
          <w:p w14:paraId="73311AE3">
            <w:pPr>
              <w:widowControl w:val="0"/>
              <w:snapToGrid w:val="0"/>
              <w:jc w:val="left"/>
              <w:rPr>
                <w:rFonts w:ascii="Times New Roman" w:hAnsi="Times New Roman"/>
                <w:sz w:val="21"/>
              </w:rPr>
            </w:pPr>
            <w:r>
              <w:t>第六章 保险单位</w:t>
            </w:r>
          </w:p>
        </w:tc>
        <w:tc>
          <w:tcPr>
            <w:tcW w:w="2260" w:type="dxa"/>
          </w:tcPr>
          <w:p w14:paraId="3DE165E2">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0B0E6CD7">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4372307F">
            <w:pPr>
              <w:widowControl w:val="0"/>
              <w:snapToGrid w:val="0"/>
              <w:jc w:val="center"/>
              <w:rPr>
                <w:rFonts w:ascii="Times New Roman" w:hAnsi="Times New Roman"/>
                <w:sz w:val="21"/>
              </w:rPr>
            </w:pPr>
            <w:r>
              <w:rPr>
                <w:rFonts w:hint="eastAsia" w:ascii="Times New Roman" w:hAnsi="Times New Roman"/>
                <w:sz w:val="21"/>
              </w:rPr>
              <w:t>3</w:t>
            </w:r>
          </w:p>
        </w:tc>
        <w:tc>
          <w:tcPr>
            <w:tcW w:w="725" w:type="dxa"/>
            <w:vAlign w:val="center"/>
          </w:tcPr>
          <w:p w14:paraId="0EBB616A">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14:paraId="4594DADA">
            <w:pPr>
              <w:widowControl w:val="0"/>
              <w:snapToGrid w:val="0"/>
              <w:jc w:val="center"/>
              <w:rPr>
                <w:rFonts w:ascii="Times New Roman" w:hAnsi="Times New Roman"/>
                <w:sz w:val="21"/>
              </w:rPr>
            </w:pPr>
            <w:r>
              <w:rPr>
                <w:rFonts w:hint="eastAsia" w:ascii="Times New Roman" w:hAnsi="Times New Roman"/>
                <w:sz w:val="21"/>
              </w:rPr>
              <w:t>4</w:t>
            </w:r>
          </w:p>
        </w:tc>
      </w:tr>
      <w:tr w14:paraId="3473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6" w:type="dxa"/>
            <w:tcBorders>
              <w:left w:val="single" w:color="auto" w:sz="12" w:space="0"/>
            </w:tcBorders>
          </w:tcPr>
          <w:p w14:paraId="2F2ADB7F">
            <w:pPr>
              <w:widowControl w:val="0"/>
              <w:snapToGrid w:val="0"/>
              <w:jc w:val="left"/>
              <w:rPr>
                <w:rFonts w:ascii="Times New Roman" w:hAnsi="Times New Roman"/>
                <w:sz w:val="21"/>
              </w:rPr>
            </w:pPr>
            <w:r>
              <w:t>第七章 运输单位</w:t>
            </w:r>
          </w:p>
        </w:tc>
        <w:tc>
          <w:tcPr>
            <w:tcW w:w="2260" w:type="dxa"/>
          </w:tcPr>
          <w:p w14:paraId="1A3357F4">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3EC1E3B0">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2F48ABAF">
            <w:pPr>
              <w:widowControl w:val="0"/>
              <w:snapToGrid w:val="0"/>
              <w:jc w:val="center"/>
              <w:rPr>
                <w:rFonts w:ascii="Times New Roman" w:hAnsi="Times New Roman"/>
                <w:sz w:val="21"/>
              </w:rPr>
            </w:pPr>
            <w:r>
              <w:rPr>
                <w:rFonts w:hint="eastAsia" w:ascii="Times New Roman" w:hAnsi="Times New Roman"/>
                <w:sz w:val="21"/>
              </w:rPr>
              <w:t>1</w:t>
            </w:r>
          </w:p>
        </w:tc>
        <w:tc>
          <w:tcPr>
            <w:tcW w:w="725" w:type="dxa"/>
            <w:vAlign w:val="center"/>
          </w:tcPr>
          <w:p w14:paraId="11EF1CC3">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14:paraId="1D2F238F">
            <w:pPr>
              <w:widowControl w:val="0"/>
              <w:snapToGrid w:val="0"/>
              <w:jc w:val="center"/>
              <w:rPr>
                <w:rFonts w:ascii="Times New Roman" w:hAnsi="Times New Roman"/>
                <w:sz w:val="21"/>
              </w:rPr>
            </w:pPr>
            <w:r>
              <w:rPr>
                <w:rFonts w:hint="eastAsia" w:ascii="Times New Roman" w:hAnsi="Times New Roman"/>
                <w:sz w:val="21"/>
              </w:rPr>
              <w:t>2</w:t>
            </w:r>
          </w:p>
        </w:tc>
      </w:tr>
      <w:tr w14:paraId="121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5B737D12">
            <w:pPr>
              <w:widowControl w:val="0"/>
              <w:snapToGrid w:val="0"/>
              <w:jc w:val="left"/>
              <w:rPr>
                <w:rFonts w:ascii="Times New Roman" w:hAnsi="Times New Roman"/>
                <w:sz w:val="21"/>
              </w:rPr>
            </w:pPr>
            <w:r>
              <w:t>第八章 报关报检单位</w:t>
            </w:r>
          </w:p>
        </w:tc>
        <w:tc>
          <w:tcPr>
            <w:tcW w:w="2260" w:type="dxa"/>
          </w:tcPr>
          <w:p w14:paraId="7891FB98">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136DF12E">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7BCA2808">
            <w:pPr>
              <w:widowControl w:val="0"/>
              <w:snapToGrid w:val="0"/>
              <w:jc w:val="center"/>
              <w:rPr>
                <w:rFonts w:ascii="Times New Roman" w:hAnsi="Times New Roman"/>
                <w:sz w:val="21"/>
              </w:rPr>
            </w:pPr>
            <w:r>
              <w:rPr>
                <w:rFonts w:hint="eastAsia" w:ascii="Times New Roman" w:hAnsi="Times New Roman"/>
                <w:sz w:val="21"/>
              </w:rPr>
              <w:t>1</w:t>
            </w:r>
          </w:p>
        </w:tc>
        <w:tc>
          <w:tcPr>
            <w:tcW w:w="725" w:type="dxa"/>
            <w:vAlign w:val="center"/>
          </w:tcPr>
          <w:p w14:paraId="156EAF33">
            <w:pPr>
              <w:widowControl w:val="0"/>
              <w:snapToGrid w:val="0"/>
              <w:jc w:val="center"/>
              <w:rPr>
                <w:rFonts w:ascii="Times New Roman" w:hAnsi="Times New Roman"/>
                <w:sz w:val="21"/>
              </w:rPr>
            </w:pPr>
            <w:r>
              <w:rPr>
                <w:rFonts w:hint="eastAsia" w:ascii="Times New Roman" w:hAnsi="Times New Roman"/>
                <w:sz w:val="21"/>
              </w:rPr>
              <w:t>1</w:t>
            </w:r>
          </w:p>
        </w:tc>
        <w:tc>
          <w:tcPr>
            <w:tcW w:w="709" w:type="dxa"/>
            <w:tcBorders>
              <w:right w:val="single" w:color="auto" w:sz="12" w:space="0"/>
            </w:tcBorders>
            <w:vAlign w:val="center"/>
          </w:tcPr>
          <w:p w14:paraId="5243E768">
            <w:pPr>
              <w:widowControl w:val="0"/>
              <w:snapToGrid w:val="0"/>
              <w:jc w:val="center"/>
              <w:rPr>
                <w:rFonts w:ascii="Times New Roman" w:hAnsi="Times New Roman"/>
                <w:sz w:val="21"/>
              </w:rPr>
            </w:pPr>
            <w:r>
              <w:rPr>
                <w:rFonts w:hint="eastAsia" w:ascii="Times New Roman" w:hAnsi="Times New Roman"/>
                <w:sz w:val="21"/>
              </w:rPr>
              <w:t>2</w:t>
            </w:r>
          </w:p>
        </w:tc>
      </w:tr>
      <w:tr w14:paraId="39F8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3F32F2E8">
            <w:pPr>
              <w:widowControl w:val="0"/>
              <w:snapToGrid w:val="0"/>
              <w:jc w:val="left"/>
              <w:rPr>
                <w:rFonts w:ascii="Times New Roman" w:hAnsi="Times New Roman"/>
                <w:sz w:val="21"/>
              </w:rPr>
            </w:pPr>
            <w:r>
              <w:t>第九章 原产地证书</w:t>
            </w:r>
          </w:p>
        </w:tc>
        <w:tc>
          <w:tcPr>
            <w:tcW w:w="2260" w:type="dxa"/>
          </w:tcPr>
          <w:p w14:paraId="209D90E4">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57CC2FCD">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4F52B56C">
            <w:pPr>
              <w:widowControl w:val="0"/>
              <w:snapToGrid w:val="0"/>
              <w:jc w:val="center"/>
              <w:rPr>
                <w:rFonts w:ascii="Times New Roman" w:hAnsi="Times New Roman"/>
                <w:sz w:val="21"/>
              </w:rPr>
            </w:pPr>
            <w:r>
              <w:rPr>
                <w:rFonts w:hint="eastAsia" w:ascii="Times New Roman" w:hAnsi="Times New Roman"/>
                <w:sz w:val="21"/>
              </w:rPr>
              <w:t>4</w:t>
            </w:r>
          </w:p>
        </w:tc>
        <w:tc>
          <w:tcPr>
            <w:tcW w:w="725" w:type="dxa"/>
            <w:vAlign w:val="center"/>
          </w:tcPr>
          <w:p w14:paraId="3306C3EE">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14:paraId="2597572E">
            <w:pPr>
              <w:widowControl w:val="0"/>
              <w:snapToGrid w:val="0"/>
              <w:jc w:val="center"/>
              <w:rPr>
                <w:rFonts w:ascii="Times New Roman" w:hAnsi="Times New Roman"/>
                <w:sz w:val="21"/>
              </w:rPr>
            </w:pPr>
            <w:r>
              <w:rPr>
                <w:rFonts w:hint="eastAsia" w:ascii="Times New Roman" w:hAnsi="Times New Roman"/>
                <w:sz w:val="21"/>
              </w:rPr>
              <w:t>4</w:t>
            </w:r>
          </w:p>
        </w:tc>
      </w:tr>
      <w:tr w14:paraId="5F7E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46" w:type="dxa"/>
            <w:tcBorders>
              <w:left w:val="single" w:color="auto" w:sz="12" w:space="0"/>
            </w:tcBorders>
          </w:tcPr>
          <w:p w14:paraId="47D332DF">
            <w:pPr>
              <w:widowControl w:val="0"/>
              <w:snapToGrid w:val="0"/>
              <w:jc w:val="both"/>
              <w:rPr>
                <w:rFonts w:ascii="Times New Roman" w:hAnsi="Times New Roman"/>
                <w:sz w:val="21"/>
              </w:rPr>
            </w:pPr>
            <w:r>
              <w:t>第十章 其他单</w:t>
            </w:r>
            <w:r>
              <w:rPr>
                <w:rFonts w:hint="eastAsia"/>
              </w:rPr>
              <w:t>证</w:t>
            </w:r>
          </w:p>
        </w:tc>
        <w:tc>
          <w:tcPr>
            <w:tcW w:w="2260" w:type="dxa"/>
          </w:tcPr>
          <w:p w14:paraId="0C535E98">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7560AEEE">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1923C5C4">
            <w:pPr>
              <w:widowControl w:val="0"/>
              <w:snapToGrid w:val="0"/>
              <w:jc w:val="center"/>
              <w:rPr>
                <w:rFonts w:ascii="Times New Roman" w:hAnsi="Times New Roman"/>
                <w:sz w:val="21"/>
              </w:rPr>
            </w:pPr>
            <w:r>
              <w:rPr>
                <w:rFonts w:hint="eastAsia" w:ascii="Times New Roman" w:hAnsi="Times New Roman"/>
                <w:sz w:val="21"/>
              </w:rPr>
              <w:t>4</w:t>
            </w:r>
          </w:p>
        </w:tc>
        <w:tc>
          <w:tcPr>
            <w:tcW w:w="725" w:type="dxa"/>
            <w:vAlign w:val="center"/>
          </w:tcPr>
          <w:p w14:paraId="0C66B9DC">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14:paraId="5BF4F59A">
            <w:pPr>
              <w:widowControl w:val="0"/>
              <w:snapToGrid w:val="0"/>
              <w:jc w:val="center"/>
              <w:rPr>
                <w:rFonts w:ascii="Times New Roman" w:hAnsi="Times New Roman"/>
                <w:sz w:val="21"/>
              </w:rPr>
            </w:pPr>
            <w:r>
              <w:rPr>
                <w:rFonts w:hint="eastAsia" w:ascii="Times New Roman" w:hAnsi="Times New Roman"/>
                <w:sz w:val="21"/>
              </w:rPr>
              <w:t>4</w:t>
            </w:r>
          </w:p>
        </w:tc>
      </w:tr>
      <w:tr w14:paraId="2C89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246" w:type="dxa"/>
            <w:tcBorders>
              <w:left w:val="single" w:color="auto" w:sz="12" w:space="0"/>
            </w:tcBorders>
          </w:tcPr>
          <w:p w14:paraId="24B51A05">
            <w:pPr>
              <w:widowControl w:val="0"/>
              <w:snapToGrid w:val="0"/>
              <w:jc w:val="both"/>
              <w:rPr>
                <w:rFonts w:ascii="Times New Roman" w:hAnsi="Times New Roman"/>
                <w:sz w:val="21"/>
              </w:rPr>
            </w:pPr>
            <w:r>
              <w:t>第十一章 国际贸易单位审核与处理</w:t>
            </w:r>
          </w:p>
        </w:tc>
        <w:tc>
          <w:tcPr>
            <w:tcW w:w="2260" w:type="dxa"/>
          </w:tcPr>
          <w:p w14:paraId="52B3F6F9">
            <w:pPr>
              <w:widowControl w:val="0"/>
              <w:snapToGrid w:val="0"/>
              <w:jc w:val="center"/>
              <w:rPr>
                <w:rFonts w:ascii="Times New Roman" w:hAnsi="Times New Roman"/>
                <w:sz w:val="21"/>
              </w:rPr>
            </w:pPr>
            <w:r>
              <w:rPr>
                <w:rFonts w:hint="eastAsia" w:ascii="Times New Roman" w:hAnsi="Times New Roman"/>
                <w:sz w:val="21"/>
              </w:rPr>
              <w:t>授课法、课内讨论、任务驱动法</w:t>
            </w:r>
          </w:p>
        </w:tc>
        <w:tc>
          <w:tcPr>
            <w:tcW w:w="1984" w:type="dxa"/>
          </w:tcPr>
          <w:p w14:paraId="5D16A165">
            <w:pPr>
              <w:widowControl w:val="0"/>
              <w:snapToGrid w:val="0"/>
              <w:jc w:val="center"/>
              <w:rPr>
                <w:rFonts w:ascii="Times New Roman" w:hAnsi="Times New Roman"/>
                <w:sz w:val="21"/>
              </w:rPr>
            </w:pPr>
            <w:r>
              <w:rPr>
                <w:rFonts w:hint="eastAsia" w:ascii="Times New Roman" w:hAnsi="Times New Roman"/>
                <w:sz w:val="21"/>
              </w:rPr>
              <w:t>闭卷考试、平台制单实验、章节练习</w:t>
            </w:r>
          </w:p>
        </w:tc>
        <w:tc>
          <w:tcPr>
            <w:tcW w:w="708" w:type="dxa"/>
            <w:vAlign w:val="center"/>
          </w:tcPr>
          <w:p w14:paraId="483A91F5">
            <w:pPr>
              <w:widowControl w:val="0"/>
              <w:snapToGrid w:val="0"/>
              <w:jc w:val="center"/>
              <w:rPr>
                <w:rFonts w:ascii="Times New Roman" w:hAnsi="Times New Roman"/>
                <w:sz w:val="21"/>
              </w:rPr>
            </w:pPr>
            <w:r>
              <w:rPr>
                <w:rFonts w:hint="eastAsia" w:ascii="Times New Roman" w:hAnsi="Times New Roman"/>
                <w:sz w:val="21"/>
              </w:rPr>
              <w:t>2</w:t>
            </w:r>
          </w:p>
        </w:tc>
        <w:tc>
          <w:tcPr>
            <w:tcW w:w="725" w:type="dxa"/>
            <w:vAlign w:val="center"/>
          </w:tcPr>
          <w:p w14:paraId="09FE3DEC">
            <w:pPr>
              <w:widowControl w:val="0"/>
              <w:snapToGrid w:val="0"/>
              <w:jc w:val="center"/>
              <w:rPr>
                <w:rFonts w:ascii="Times New Roman" w:hAnsi="Times New Roman"/>
                <w:sz w:val="21"/>
              </w:rPr>
            </w:pPr>
            <w:r>
              <w:rPr>
                <w:rFonts w:hint="eastAsia" w:ascii="Times New Roman" w:hAnsi="Times New Roman"/>
                <w:sz w:val="21"/>
              </w:rPr>
              <w:t>0</w:t>
            </w:r>
          </w:p>
        </w:tc>
        <w:tc>
          <w:tcPr>
            <w:tcW w:w="709" w:type="dxa"/>
            <w:tcBorders>
              <w:right w:val="single" w:color="auto" w:sz="12" w:space="0"/>
            </w:tcBorders>
            <w:vAlign w:val="center"/>
          </w:tcPr>
          <w:p w14:paraId="799A3902">
            <w:pPr>
              <w:widowControl w:val="0"/>
              <w:snapToGrid w:val="0"/>
              <w:jc w:val="center"/>
              <w:rPr>
                <w:rFonts w:ascii="Times New Roman" w:hAnsi="Times New Roman"/>
                <w:sz w:val="21"/>
              </w:rPr>
            </w:pPr>
            <w:r>
              <w:rPr>
                <w:rFonts w:hint="eastAsia" w:ascii="Times New Roman" w:hAnsi="Times New Roman"/>
                <w:sz w:val="21"/>
              </w:rPr>
              <w:t>2</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490" w:type="dxa"/>
            <w:gridSpan w:val="3"/>
            <w:tcBorders>
              <w:left w:val="single" w:color="auto" w:sz="12" w:space="0"/>
              <w:bottom w:val="single" w:color="auto" w:sz="12" w:space="0"/>
            </w:tcBorders>
            <w:vAlign w:val="center"/>
          </w:tcPr>
          <w:p w14:paraId="4994175A">
            <w:pPr>
              <w:pStyle w:val="14"/>
              <w:widowControl w:val="0"/>
            </w:pPr>
            <w:r>
              <w:rPr>
                <w:rFonts w:hint="eastAsia"/>
              </w:rPr>
              <w:t>合计</w:t>
            </w:r>
          </w:p>
        </w:tc>
        <w:tc>
          <w:tcPr>
            <w:tcW w:w="708"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725"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9"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4A6079A1">
      <w:pPr>
        <w:pStyle w:val="17"/>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093908C">
            <w:pPr>
              <w:pStyle w:val="15"/>
              <w:widowControl w:val="0"/>
              <w:ind w:firstLine="420" w:firstLineChars="200"/>
              <w:jc w:val="left"/>
            </w:pPr>
            <w:r>
              <w:t>一、课程思政目标</w:t>
            </w:r>
          </w:p>
          <w:p w14:paraId="081CFF2A">
            <w:pPr>
              <w:pStyle w:val="15"/>
              <w:widowControl w:val="0"/>
              <w:ind w:firstLine="420" w:firstLineChars="200"/>
              <w:jc w:val="left"/>
            </w:pPr>
            <w:r>
              <w:t>本课程精心设计了</w:t>
            </w:r>
            <w:r>
              <w:rPr>
                <w:rFonts w:hint="eastAsia"/>
              </w:rPr>
              <w:t>6</w:t>
            </w:r>
            <w:r>
              <w:t>个理论与实践相结合的教学单元，巧妙地将专业知识与德育元素融为一体，致力于培育学生的爱国情操、诚信美德、职业操守以及互助友爱之心，构筑起与社会主义道德规范相契合的价值观念体系。在单证制作的学与练中，引导学生树立坚定的诚信观念，恪守职业伦理，确保每一份单证的真实无误。</w:t>
            </w:r>
          </w:p>
          <w:p w14:paraId="5B75997D">
            <w:pPr>
              <w:pStyle w:val="15"/>
              <w:widowControl w:val="0"/>
              <w:ind w:firstLine="420" w:firstLineChars="200"/>
              <w:jc w:val="left"/>
            </w:pPr>
          </w:p>
          <w:p w14:paraId="498E4932">
            <w:pPr>
              <w:pStyle w:val="15"/>
              <w:widowControl w:val="0"/>
              <w:ind w:firstLine="420" w:firstLineChars="200"/>
              <w:jc w:val="left"/>
            </w:pPr>
            <w:r>
              <w:t>二、教学内容与课程思政相结合</w:t>
            </w:r>
          </w:p>
          <w:p w14:paraId="729AD582">
            <w:pPr>
              <w:pStyle w:val="15"/>
              <w:widowControl w:val="0"/>
              <w:ind w:firstLine="420" w:firstLineChars="200"/>
              <w:jc w:val="left"/>
            </w:pPr>
            <w:r>
              <w:t>1、恪守外贸单证的基本准则：在实验教学中，指导学生如何以正确、完整、及时、简洁、严谨的态度制作外贸单证，同时渗透诚信教育的精髓。强调诚信是外贸交易的基石，让学生领悟到唯有真实可靠的单证才能赢得国际伙伴的信赖，推动国际贸易的顺畅进行。</w:t>
            </w:r>
          </w:p>
          <w:p w14:paraId="38FDCDF8">
            <w:pPr>
              <w:pStyle w:val="15"/>
              <w:widowControl w:val="0"/>
              <w:ind w:firstLine="420" w:firstLineChars="200"/>
              <w:jc w:val="left"/>
            </w:pPr>
            <w:r>
              <w:t>2、结合外贸单证员的职责、岗位要求及职业发展：通过对外贸单证员职业轨迹和岗位需求的介绍，激发学生的职业热情和敬业精神。让学生认识到，单证员不仅需要精湛的专业技能，更需具备强烈的责任感和职业奉献，为企业的国际贸易活动提供坚实支撑。</w:t>
            </w:r>
          </w:p>
          <w:p w14:paraId="7BD37297">
            <w:pPr>
              <w:pStyle w:val="15"/>
              <w:widowControl w:val="0"/>
              <w:ind w:firstLine="420" w:firstLineChars="200"/>
              <w:jc w:val="left"/>
            </w:pPr>
            <w:r>
              <w:t>3、强调国际贸易业务中的诚信守则：在讲解信用证结算方式时，着重强调诚信守约的重要性。让学生理解，在国际贸易的大舞台上，遵循国际规则和惯例是保护自身利益和塑造国家形象的关键。通过实际案例分析，让学生深刻认识到失信行为可能导致的严重后果，从而强化学生的诚信意识。</w:t>
            </w:r>
          </w:p>
          <w:p w14:paraId="79E00057">
            <w:pPr>
              <w:pStyle w:val="15"/>
              <w:widowControl w:val="0"/>
              <w:ind w:firstLine="420" w:firstLineChars="200"/>
              <w:jc w:val="left"/>
            </w:pPr>
            <w:r>
              <w:t>4、培养专业严谨的制单态度：教授学生如何细致审核信用证，识别并规避潜在风险。通过这一过程，培养学生的细致入微和风险防范意识。让学生明白，在单证制作的过程中，任何细微的疏忽都可能引发重大的经济损失甚至法律纠纷，因此必须始终保持高度的警觉和审慎。</w:t>
            </w:r>
          </w:p>
          <w:p w14:paraId="217A029E">
            <w:pPr>
              <w:pStyle w:val="15"/>
              <w:widowControl w:val="0"/>
              <w:ind w:firstLine="420" w:firstLineChars="200"/>
              <w:jc w:val="left"/>
            </w:pPr>
          </w:p>
          <w:p w14:paraId="60C3285C">
            <w:pPr>
              <w:pStyle w:val="15"/>
              <w:widowControl w:val="0"/>
              <w:ind w:firstLine="420" w:firstLineChars="200"/>
              <w:jc w:val="left"/>
            </w:pPr>
            <w:r>
              <w:t>三、能力培养与思政元素相融合</w:t>
            </w:r>
          </w:p>
          <w:p w14:paraId="39F03DC5">
            <w:pPr>
              <w:pStyle w:val="15"/>
              <w:widowControl w:val="0"/>
              <w:ind w:firstLine="420" w:firstLineChars="200"/>
              <w:jc w:val="left"/>
            </w:pPr>
            <w:r>
              <w:t>1、准确缮制信用证项下的全套单据：在缮制全套单据的实验中，着重培养学生的实践技能和诚信品质。通过动手操作，让学生认识到严格按照信用证要求制作单据是确保交易顺利进行的前提。同时，强调在制作过程中要坚守诚信原则，确保单据的真实性和准确性。</w:t>
            </w:r>
          </w:p>
          <w:p w14:paraId="5A1D022B">
            <w:pPr>
              <w:pStyle w:val="15"/>
              <w:widowControl w:val="0"/>
              <w:ind w:firstLine="420" w:firstLineChars="200"/>
              <w:jc w:val="left"/>
            </w:pPr>
            <w:r>
              <w:t>2、严格审核信用证项下的全套单据：在实验中对全套单据进行审核时，培养学生的责任感和严谨态度。让学生理解，作为单证员，不仅要对自己的工作负责，更要对企业的利益负责。在审核过程中，要始终保持警觉和审慎，确保单据的准确无误和合规性，从而避免可能的风险和损失。</w:t>
            </w:r>
          </w:p>
        </w:tc>
      </w:tr>
    </w:tbl>
    <w:p w14:paraId="13F3A459">
      <w:pPr>
        <w:pStyle w:val="17"/>
        <w:spacing w:before="326" w:beforeLines="100" w:line="360" w:lineRule="auto"/>
        <w:rPr>
          <w:rFonts w:ascii="黑体" w:hAnsi="宋体"/>
        </w:rPr>
      </w:pPr>
      <w:r>
        <w:rPr>
          <w:rFonts w:hint="eastAsia" w:ascii="黑体" w:hAnsi="宋体"/>
        </w:rPr>
        <w:t>五、课程考核</w:t>
      </w:r>
      <w:bookmarkStart w:id="2" w:name="OLE_LINK4"/>
      <w:bookmarkStart w:id="3" w:name="OLE_LINK3"/>
    </w:p>
    <w:bookmarkEnd w:id="2"/>
    <w:bookmarkEnd w:id="3"/>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06"/>
      </w:tblGrid>
      <w:tr w14:paraId="3A38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restart"/>
            <w:tcBorders>
              <w:top w:val="single" w:color="auto" w:sz="12" w:space="0"/>
              <w:left w:val="single" w:color="auto" w:sz="12" w:space="0"/>
            </w:tcBorders>
            <w:vAlign w:val="center"/>
          </w:tcPr>
          <w:p w14:paraId="2B800F57">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AD945E2">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C5AE1AB">
            <w:pPr>
              <w:pStyle w:val="17"/>
              <w:widowControl w:val="0"/>
              <w:jc w:val="center"/>
              <w:rPr>
                <w:rFonts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35902C9F">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70C9EE2">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31F0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vMerge w:val="continue"/>
            <w:tcBorders>
              <w:left w:val="single" w:color="auto" w:sz="12" w:space="0"/>
            </w:tcBorders>
          </w:tcPr>
          <w:p w14:paraId="1A8D4280">
            <w:pPr>
              <w:widowControl w:val="0"/>
              <w:snapToGrid w:val="0"/>
              <w:jc w:val="center"/>
              <w:rPr>
                <w:rFonts w:ascii="黑体" w:hAnsi="黑体" w:eastAsia="黑体"/>
                <w:bCs/>
                <w:sz w:val="21"/>
                <w:szCs w:val="21"/>
              </w:rPr>
            </w:pPr>
          </w:p>
        </w:tc>
        <w:tc>
          <w:tcPr>
            <w:tcW w:w="709" w:type="dxa"/>
            <w:vMerge w:val="continue"/>
          </w:tcPr>
          <w:p w14:paraId="383CEE7C">
            <w:pPr>
              <w:pStyle w:val="17"/>
              <w:widowControl w:val="0"/>
              <w:jc w:val="both"/>
              <w:rPr>
                <w:rFonts w:ascii="黑体" w:hAnsi="黑体"/>
                <w:bCs/>
                <w:sz w:val="21"/>
                <w:szCs w:val="21"/>
              </w:rPr>
            </w:pPr>
          </w:p>
        </w:tc>
        <w:tc>
          <w:tcPr>
            <w:tcW w:w="2353" w:type="dxa"/>
            <w:vMerge w:val="continue"/>
            <w:tcBorders>
              <w:right w:val="double" w:color="auto" w:sz="4" w:space="0"/>
            </w:tcBorders>
          </w:tcPr>
          <w:p w14:paraId="1495D78D">
            <w:pPr>
              <w:pStyle w:val="17"/>
              <w:widowControl w:val="0"/>
              <w:jc w:val="both"/>
              <w:rPr>
                <w:rFonts w:ascii="黑体" w:hAnsi="黑体"/>
                <w:bCs/>
                <w:sz w:val="21"/>
                <w:szCs w:val="21"/>
              </w:rPr>
            </w:pPr>
          </w:p>
        </w:tc>
        <w:tc>
          <w:tcPr>
            <w:tcW w:w="612" w:type="dxa"/>
            <w:tcBorders>
              <w:left w:val="double" w:color="auto" w:sz="4" w:space="0"/>
            </w:tcBorders>
            <w:vAlign w:val="center"/>
          </w:tcPr>
          <w:p w14:paraId="537B0128">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0E83991">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57F547F1">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77D5C156">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5E6709CF">
            <w:pPr>
              <w:pStyle w:val="17"/>
              <w:widowControl w:val="0"/>
              <w:spacing w:line="240" w:lineRule="auto"/>
              <w:jc w:val="center"/>
              <w:rPr>
                <w:rFonts w:ascii="黑体" w:hAnsi="黑体"/>
                <w:bCs/>
                <w:sz w:val="21"/>
                <w:szCs w:val="21"/>
              </w:rPr>
            </w:pPr>
          </w:p>
        </w:tc>
      </w:tr>
      <w:tr w14:paraId="2826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6777C4B6">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tcPr>
          <w:p w14:paraId="78C2772B">
            <w:pPr>
              <w:pStyle w:val="15"/>
              <w:widowControl w:val="0"/>
            </w:pPr>
            <w:r>
              <w:t>60%</w:t>
            </w:r>
          </w:p>
        </w:tc>
        <w:tc>
          <w:tcPr>
            <w:tcW w:w="2353" w:type="dxa"/>
            <w:tcBorders>
              <w:right w:val="double" w:color="auto" w:sz="4" w:space="0"/>
            </w:tcBorders>
          </w:tcPr>
          <w:p w14:paraId="5762B2E4">
            <w:pPr>
              <w:pStyle w:val="15"/>
              <w:widowControl w:val="0"/>
            </w:pPr>
            <w:r>
              <w:rPr>
                <w:rFonts w:hint="eastAsia"/>
              </w:rPr>
              <w:t>闭卷考试</w:t>
            </w:r>
          </w:p>
        </w:tc>
        <w:tc>
          <w:tcPr>
            <w:tcW w:w="612" w:type="dxa"/>
            <w:tcBorders>
              <w:left w:val="double" w:color="auto" w:sz="4" w:space="0"/>
            </w:tcBorders>
            <w:vAlign w:val="center"/>
          </w:tcPr>
          <w:p w14:paraId="0075C1DA">
            <w:pPr>
              <w:pStyle w:val="15"/>
              <w:widowControl w:val="0"/>
            </w:pPr>
            <w:r>
              <w:t>40</w:t>
            </w:r>
          </w:p>
        </w:tc>
        <w:tc>
          <w:tcPr>
            <w:tcW w:w="612" w:type="dxa"/>
            <w:vAlign w:val="center"/>
          </w:tcPr>
          <w:p w14:paraId="409A86B0">
            <w:pPr>
              <w:pStyle w:val="15"/>
              <w:widowControl w:val="0"/>
            </w:pPr>
            <w:r>
              <w:t>40</w:t>
            </w:r>
          </w:p>
        </w:tc>
        <w:tc>
          <w:tcPr>
            <w:tcW w:w="612" w:type="dxa"/>
            <w:vAlign w:val="center"/>
          </w:tcPr>
          <w:p w14:paraId="032DD427">
            <w:pPr>
              <w:pStyle w:val="15"/>
              <w:widowControl w:val="0"/>
            </w:pPr>
            <w:r>
              <w:t>20</w:t>
            </w:r>
          </w:p>
        </w:tc>
        <w:tc>
          <w:tcPr>
            <w:tcW w:w="612" w:type="dxa"/>
            <w:vAlign w:val="center"/>
          </w:tcPr>
          <w:p w14:paraId="10307C51">
            <w:pPr>
              <w:pStyle w:val="15"/>
              <w:widowControl w:val="0"/>
            </w:pPr>
          </w:p>
        </w:tc>
        <w:tc>
          <w:tcPr>
            <w:tcW w:w="706" w:type="dxa"/>
            <w:tcBorders>
              <w:right w:val="single" w:color="auto" w:sz="12" w:space="0"/>
            </w:tcBorders>
            <w:vAlign w:val="center"/>
          </w:tcPr>
          <w:p w14:paraId="2F1DDFFC">
            <w:pPr>
              <w:pStyle w:val="15"/>
              <w:widowControl w:val="0"/>
            </w:pPr>
            <w:r>
              <w:rPr>
                <w:rFonts w:hint="eastAsia"/>
              </w:rPr>
              <w:t>1</w:t>
            </w:r>
            <w:r>
              <w:t>00</w:t>
            </w:r>
          </w:p>
        </w:tc>
      </w:tr>
      <w:tr w14:paraId="7032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68E195CE">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313CE6A4">
            <w:pPr>
              <w:pStyle w:val="15"/>
              <w:widowControl w:val="0"/>
            </w:pPr>
            <w:r>
              <w:rPr>
                <w:rFonts w:hint="eastAsia"/>
              </w:rPr>
              <w:t>15</w:t>
            </w:r>
            <w:r>
              <w:t>%</w:t>
            </w:r>
          </w:p>
        </w:tc>
        <w:tc>
          <w:tcPr>
            <w:tcW w:w="2353" w:type="dxa"/>
            <w:tcBorders>
              <w:right w:val="double" w:color="auto" w:sz="4" w:space="0"/>
            </w:tcBorders>
          </w:tcPr>
          <w:p w14:paraId="0868DD26">
            <w:pPr>
              <w:pStyle w:val="15"/>
              <w:widowControl w:val="0"/>
            </w:pPr>
            <w:r>
              <w:rPr>
                <w:rFonts w:hint="eastAsia"/>
              </w:rPr>
              <w:t>小组制单任务</w:t>
            </w:r>
          </w:p>
        </w:tc>
        <w:tc>
          <w:tcPr>
            <w:tcW w:w="612" w:type="dxa"/>
            <w:tcBorders>
              <w:left w:val="double" w:color="auto" w:sz="4" w:space="0"/>
            </w:tcBorders>
            <w:vAlign w:val="center"/>
          </w:tcPr>
          <w:p w14:paraId="39F8BDCB">
            <w:pPr>
              <w:pStyle w:val="15"/>
              <w:widowControl w:val="0"/>
            </w:pPr>
            <w:r>
              <w:rPr>
                <w:rFonts w:hint="eastAsia"/>
              </w:rPr>
              <w:t>2</w:t>
            </w:r>
            <w:r>
              <w:t>0</w:t>
            </w:r>
          </w:p>
        </w:tc>
        <w:tc>
          <w:tcPr>
            <w:tcW w:w="612" w:type="dxa"/>
            <w:vAlign w:val="center"/>
          </w:tcPr>
          <w:p w14:paraId="1695D70F">
            <w:pPr>
              <w:pStyle w:val="15"/>
              <w:widowControl w:val="0"/>
            </w:pPr>
            <w:r>
              <w:t>30</w:t>
            </w:r>
          </w:p>
        </w:tc>
        <w:tc>
          <w:tcPr>
            <w:tcW w:w="612" w:type="dxa"/>
            <w:vAlign w:val="center"/>
          </w:tcPr>
          <w:p w14:paraId="0D682AC7">
            <w:pPr>
              <w:pStyle w:val="15"/>
              <w:widowControl w:val="0"/>
            </w:pPr>
            <w:r>
              <w:t>30</w:t>
            </w:r>
          </w:p>
        </w:tc>
        <w:tc>
          <w:tcPr>
            <w:tcW w:w="612" w:type="dxa"/>
            <w:vAlign w:val="center"/>
          </w:tcPr>
          <w:p w14:paraId="703DBCFA">
            <w:pPr>
              <w:pStyle w:val="15"/>
              <w:widowControl w:val="0"/>
            </w:pPr>
            <w:r>
              <w:rPr>
                <w:rFonts w:hint="eastAsia"/>
              </w:rPr>
              <w:t>2</w:t>
            </w:r>
            <w:r>
              <w:t>0</w:t>
            </w:r>
          </w:p>
        </w:tc>
        <w:tc>
          <w:tcPr>
            <w:tcW w:w="706" w:type="dxa"/>
            <w:tcBorders>
              <w:right w:val="single" w:color="auto" w:sz="12" w:space="0"/>
            </w:tcBorders>
            <w:vAlign w:val="center"/>
          </w:tcPr>
          <w:p w14:paraId="0B87B4DD">
            <w:pPr>
              <w:pStyle w:val="15"/>
              <w:widowControl w:val="0"/>
            </w:pPr>
            <w:r>
              <w:rPr>
                <w:rFonts w:hint="eastAsia"/>
              </w:rPr>
              <w:t>1</w:t>
            </w:r>
            <w:r>
              <w:t>00</w:t>
            </w:r>
          </w:p>
        </w:tc>
      </w:tr>
      <w:tr w14:paraId="663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tcBorders>
            <w:vAlign w:val="center"/>
          </w:tcPr>
          <w:p w14:paraId="53EBACF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13585854">
            <w:pPr>
              <w:pStyle w:val="15"/>
              <w:widowControl w:val="0"/>
            </w:pPr>
            <w:r>
              <w:t>1</w:t>
            </w:r>
            <w:r>
              <w:rPr>
                <w:rFonts w:hint="eastAsia"/>
              </w:rPr>
              <w:t>5</w:t>
            </w:r>
            <w:r>
              <w:t>%</w:t>
            </w:r>
          </w:p>
        </w:tc>
        <w:tc>
          <w:tcPr>
            <w:tcW w:w="2353" w:type="dxa"/>
            <w:tcBorders>
              <w:right w:val="double" w:color="auto" w:sz="4" w:space="0"/>
            </w:tcBorders>
          </w:tcPr>
          <w:p w14:paraId="3F415001">
            <w:pPr>
              <w:pStyle w:val="15"/>
              <w:widowControl w:val="0"/>
            </w:pPr>
            <w:r>
              <w:rPr>
                <w:rFonts w:hint="eastAsia"/>
              </w:rPr>
              <w:t>个人单元练习</w:t>
            </w:r>
          </w:p>
        </w:tc>
        <w:tc>
          <w:tcPr>
            <w:tcW w:w="612" w:type="dxa"/>
            <w:tcBorders>
              <w:left w:val="double" w:color="auto" w:sz="4" w:space="0"/>
            </w:tcBorders>
            <w:vAlign w:val="center"/>
          </w:tcPr>
          <w:p w14:paraId="47A706C3">
            <w:pPr>
              <w:pStyle w:val="15"/>
              <w:widowControl w:val="0"/>
            </w:pPr>
            <w:r>
              <w:rPr>
                <w:rFonts w:hint="eastAsia"/>
              </w:rPr>
              <w:t>2</w:t>
            </w:r>
            <w:r>
              <w:t>0</w:t>
            </w:r>
          </w:p>
        </w:tc>
        <w:tc>
          <w:tcPr>
            <w:tcW w:w="612" w:type="dxa"/>
            <w:vAlign w:val="center"/>
          </w:tcPr>
          <w:p w14:paraId="6DBB3CDB">
            <w:pPr>
              <w:pStyle w:val="15"/>
              <w:widowControl w:val="0"/>
            </w:pPr>
            <w:r>
              <w:t>30</w:t>
            </w:r>
          </w:p>
        </w:tc>
        <w:tc>
          <w:tcPr>
            <w:tcW w:w="612" w:type="dxa"/>
            <w:vAlign w:val="center"/>
          </w:tcPr>
          <w:p w14:paraId="431A8B7B">
            <w:pPr>
              <w:pStyle w:val="15"/>
              <w:widowControl w:val="0"/>
            </w:pPr>
            <w:r>
              <w:t>30</w:t>
            </w:r>
          </w:p>
        </w:tc>
        <w:tc>
          <w:tcPr>
            <w:tcW w:w="612" w:type="dxa"/>
            <w:vAlign w:val="center"/>
          </w:tcPr>
          <w:p w14:paraId="6C65B324">
            <w:pPr>
              <w:pStyle w:val="15"/>
              <w:widowControl w:val="0"/>
            </w:pPr>
            <w:r>
              <w:rPr>
                <w:rFonts w:hint="eastAsia"/>
              </w:rPr>
              <w:t>2</w:t>
            </w:r>
            <w:r>
              <w:t>0</w:t>
            </w:r>
          </w:p>
        </w:tc>
        <w:tc>
          <w:tcPr>
            <w:tcW w:w="706" w:type="dxa"/>
            <w:tcBorders>
              <w:right w:val="single" w:color="auto" w:sz="12" w:space="0"/>
            </w:tcBorders>
            <w:vAlign w:val="center"/>
          </w:tcPr>
          <w:p w14:paraId="14965488">
            <w:pPr>
              <w:pStyle w:val="15"/>
              <w:widowControl w:val="0"/>
            </w:pPr>
            <w:r>
              <w:rPr>
                <w:rFonts w:hint="eastAsia"/>
              </w:rPr>
              <w:t>1</w:t>
            </w:r>
            <w:r>
              <w:t>00</w:t>
            </w:r>
          </w:p>
        </w:tc>
      </w:tr>
      <w:tr w14:paraId="170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6" w:type="dxa"/>
            <w:tcBorders>
              <w:left w:val="single" w:color="auto" w:sz="12" w:space="0"/>
              <w:bottom w:val="single" w:color="auto" w:sz="12" w:space="0"/>
            </w:tcBorders>
            <w:vAlign w:val="center"/>
          </w:tcPr>
          <w:p w14:paraId="326D59C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tcPr>
          <w:p w14:paraId="281B1C83">
            <w:pPr>
              <w:pStyle w:val="15"/>
              <w:widowControl w:val="0"/>
            </w:pPr>
            <w:r>
              <w:t>10%</w:t>
            </w:r>
          </w:p>
        </w:tc>
        <w:tc>
          <w:tcPr>
            <w:tcW w:w="2353" w:type="dxa"/>
            <w:tcBorders>
              <w:bottom w:val="single" w:color="auto" w:sz="12" w:space="0"/>
              <w:right w:val="double" w:color="auto" w:sz="4" w:space="0"/>
            </w:tcBorders>
          </w:tcPr>
          <w:p w14:paraId="33219DEA">
            <w:pPr>
              <w:pStyle w:val="15"/>
              <w:widowControl w:val="0"/>
            </w:pPr>
            <w:r>
              <w:rPr>
                <w:rFonts w:hint="eastAsia"/>
              </w:rPr>
              <w:t>课堂表现</w:t>
            </w:r>
          </w:p>
        </w:tc>
        <w:tc>
          <w:tcPr>
            <w:tcW w:w="612" w:type="dxa"/>
            <w:tcBorders>
              <w:left w:val="double" w:color="auto" w:sz="4" w:space="0"/>
              <w:bottom w:val="single" w:color="auto" w:sz="12" w:space="0"/>
            </w:tcBorders>
            <w:vAlign w:val="center"/>
          </w:tcPr>
          <w:p w14:paraId="2BB3E90F">
            <w:pPr>
              <w:pStyle w:val="15"/>
              <w:widowControl w:val="0"/>
            </w:pPr>
            <w:r>
              <w:t>30</w:t>
            </w:r>
          </w:p>
        </w:tc>
        <w:tc>
          <w:tcPr>
            <w:tcW w:w="612" w:type="dxa"/>
            <w:tcBorders>
              <w:bottom w:val="single" w:color="auto" w:sz="12" w:space="0"/>
            </w:tcBorders>
            <w:vAlign w:val="center"/>
          </w:tcPr>
          <w:p w14:paraId="3000B021">
            <w:pPr>
              <w:pStyle w:val="15"/>
              <w:widowControl w:val="0"/>
            </w:pPr>
            <w:r>
              <w:t>20</w:t>
            </w:r>
          </w:p>
        </w:tc>
        <w:tc>
          <w:tcPr>
            <w:tcW w:w="612" w:type="dxa"/>
            <w:tcBorders>
              <w:bottom w:val="single" w:color="auto" w:sz="12" w:space="0"/>
            </w:tcBorders>
            <w:vAlign w:val="center"/>
          </w:tcPr>
          <w:p w14:paraId="2571A700">
            <w:pPr>
              <w:pStyle w:val="15"/>
              <w:widowControl w:val="0"/>
            </w:pPr>
            <w:r>
              <w:t>20</w:t>
            </w:r>
          </w:p>
        </w:tc>
        <w:tc>
          <w:tcPr>
            <w:tcW w:w="612" w:type="dxa"/>
            <w:tcBorders>
              <w:bottom w:val="single" w:color="auto" w:sz="12" w:space="0"/>
            </w:tcBorders>
            <w:vAlign w:val="center"/>
          </w:tcPr>
          <w:p w14:paraId="142069A5">
            <w:pPr>
              <w:pStyle w:val="15"/>
              <w:widowControl w:val="0"/>
            </w:pPr>
            <w:r>
              <w:t>30</w:t>
            </w:r>
          </w:p>
        </w:tc>
        <w:tc>
          <w:tcPr>
            <w:tcW w:w="706" w:type="dxa"/>
            <w:tcBorders>
              <w:bottom w:val="single" w:color="auto" w:sz="12" w:space="0"/>
              <w:right w:val="single" w:color="auto" w:sz="12" w:space="0"/>
            </w:tcBorders>
            <w:vAlign w:val="center"/>
          </w:tcPr>
          <w:p w14:paraId="3A818CB9">
            <w:pPr>
              <w:pStyle w:val="15"/>
              <w:widowControl w:val="0"/>
            </w:pPr>
            <w:r>
              <w:rPr>
                <w:rFonts w:hint="eastAsia"/>
              </w:rPr>
              <w:t>1</w:t>
            </w:r>
            <w:r>
              <w:t>00</w:t>
            </w:r>
          </w:p>
        </w:tc>
      </w:tr>
    </w:tbl>
    <w:p w14:paraId="603F2427"/>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4720"/>
    <w:rsid w:val="000203E0"/>
    <w:rsid w:val="000210E0"/>
    <w:rsid w:val="00033082"/>
    <w:rsid w:val="00044088"/>
    <w:rsid w:val="00053590"/>
    <w:rsid w:val="0006001D"/>
    <w:rsid w:val="00066041"/>
    <w:rsid w:val="00076794"/>
    <w:rsid w:val="0008122A"/>
    <w:rsid w:val="00087488"/>
    <w:rsid w:val="0009050A"/>
    <w:rsid w:val="0009721F"/>
    <w:rsid w:val="000A05C9"/>
    <w:rsid w:val="000A4E73"/>
    <w:rsid w:val="000B1BD2"/>
    <w:rsid w:val="000C0F0D"/>
    <w:rsid w:val="000C13BC"/>
    <w:rsid w:val="000D28E5"/>
    <w:rsid w:val="000D34D7"/>
    <w:rsid w:val="000F5E94"/>
    <w:rsid w:val="00100633"/>
    <w:rsid w:val="001072BC"/>
    <w:rsid w:val="00114BD6"/>
    <w:rsid w:val="00130F6D"/>
    <w:rsid w:val="00133348"/>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C6DA4"/>
    <w:rsid w:val="001E0494"/>
    <w:rsid w:val="001E1D2D"/>
    <w:rsid w:val="001E5A17"/>
    <w:rsid w:val="001F284E"/>
    <w:rsid w:val="001F332E"/>
    <w:rsid w:val="001F5062"/>
    <w:rsid w:val="002032C5"/>
    <w:rsid w:val="00217861"/>
    <w:rsid w:val="002204E4"/>
    <w:rsid w:val="002211BF"/>
    <w:rsid w:val="00233F15"/>
    <w:rsid w:val="002420F1"/>
    <w:rsid w:val="0025081C"/>
    <w:rsid w:val="00251BDE"/>
    <w:rsid w:val="00253AC8"/>
    <w:rsid w:val="00256B39"/>
    <w:rsid w:val="00256D48"/>
    <w:rsid w:val="00257F4D"/>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6B9A"/>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869C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B7517"/>
    <w:rsid w:val="004D4FB3"/>
    <w:rsid w:val="004D75A6"/>
    <w:rsid w:val="004E3456"/>
    <w:rsid w:val="004F3DF0"/>
    <w:rsid w:val="0050247F"/>
    <w:rsid w:val="00505AB5"/>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6962"/>
    <w:rsid w:val="005770A6"/>
    <w:rsid w:val="0059045B"/>
    <w:rsid w:val="005926FF"/>
    <w:rsid w:val="00597EC2"/>
    <w:rsid w:val="005A13AB"/>
    <w:rsid w:val="005B1150"/>
    <w:rsid w:val="005B1FFC"/>
    <w:rsid w:val="005B29D8"/>
    <w:rsid w:val="005B2B6D"/>
    <w:rsid w:val="005B4B4E"/>
    <w:rsid w:val="005C3A76"/>
    <w:rsid w:val="005D2E75"/>
    <w:rsid w:val="005D5B6F"/>
    <w:rsid w:val="005E38A5"/>
    <w:rsid w:val="005F3CE1"/>
    <w:rsid w:val="005F5185"/>
    <w:rsid w:val="00616414"/>
    <w:rsid w:val="0062115C"/>
    <w:rsid w:val="0062265B"/>
    <w:rsid w:val="00624B5C"/>
    <w:rsid w:val="00624FE1"/>
    <w:rsid w:val="0062577D"/>
    <w:rsid w:val="0063249D"/>
    <w:rsid w:val="006331EE"/>
    <w:rsid w:val="006355E6"/>
    <w:rsid w:val="00637E00"/>
    <w:rsid w:val="0064038A"/>
    <w:rsid w:val="00650A11"/>
    <w:rsid w:val="0065167D"/>
    <w:rsid w:val="00652D13"/>
    <w:rsid w:val="0066595A"/>
    <w:rsid w:val="00666206"/>
    <w:rsid w:val="00672788"/>
    <w:rsid w:val="00676183"/>
    <w:rsid w:val="00680DA3"/>
    <w:rsid w:val="0068377F"/>
    <w:rsid w:val="0068518C"/>
    <w:rsid w:val="00691B24"/>
    <w:rsid w:val="00695B93"/>
    <w:rsid w:val="00697C16"/>
    <w:rsid w:val="006A5A89"/>
    <w:rsid w:val="006B3BB9"/>
    <w:rsid w:val="006B48AC"/>
    <w:rsid w:val="006B5977"/>
    <w:rsid w:val="006D1B59"/>
    <w:rsid w:val="006D2F9C"/>
    <w:rsid w:val="006D4351"/>
    <w:rsid w:val="006D5424"/>
    <w:rsid w:val="006E02CF"/>
    <w:rsid w:val="006E5CA9"/>
    <w:rsid w:val="006E5E98"/>
    <w:rsid w:val="006E7A37"/>
    <w:rsid w:val="006F3151"/>
    <w:rsid w:val="006F7E30"/>
    <w:rsid w:val="007011CA"/>
    <w:rsid w:val="0070139D"/>
    <w:rsid w:val="007056DE"/>
    <w:rsid w:val="00706121"/>
    <w:rsid w:val="00710B6B"/>
    <w:rsid w:val="00712A2C"/>
    <w:rsid w:val="00712E84"/>
    <w:rsid w:val="00714914"/>
    <w:rsid w:val="00715399"/>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134B"/>
    <w:rsid w:val="0084242F"/>
    <w:rsid w:val="00845795"/>
    <w:rsid w:val="00847437"/>
    <w:rsid w:val="00882E15"/>
    <w:rsid w:val="00883C73"/>
    <w:rsid w:val="008901A2"/>
    <w:rsid w:val="008976B2"/>
    <w:rsid w:val="008A08B0"/>
    <w:rsid w:val="008A3824"/>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47D5"/>
    <w:rsid w:val="009656CC"/>
    <w:rsid w:val="00970E8C"/>
    <w:rsid w:val="00971671"/>
    <w:rsid w:val="00981A37"/>
    <w:rsid w:val="009830B2"/>
    <w:rsid w:val="0099063E"/>
    <w:rsid w:val="00990D99"/>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457B"/>
    <w:rsid w:val="009E6FC4"/>
    <w:rsid w:val="009F00DC"/>
    <w:rsid w:val="009F1544"/>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22FE"/>
    <w:rsid w:val="00AA4970"/>
    <w:rsid w:val="00AA536D"/>
    <w:rsid w:val="00AB0C4B"/>
    <w:rsid w:val="00AB22C0"/>
    <w:rsid w:val="00AB28FC"/>
    <w:rsid w:val="00AB49E4"/>
    <w:rsid w:val="00AC1479"/>
    <w:rsid w:val="00AC2AAC"/>
    <w:rsid w:val="00AC40F1"/>
    <w:rsid w:val="00AC4C45"/>
    <w:rsid w:val="00AD1085"/>
    <w:rsid w:val="00AD5B40"/>
    <w:rsid w:val="00AE4C57"/>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1C97"/>
    <w:rsid w:val="00B94A16"/>
    <w:rsid w:val="00BA6044"/>
    <w:rsid w:val="00BB1A93"/>
    <w:rsid w:val="00BC14BF"/>
    <w:rsid w:val="00BC2625"/>
    <w:rsid w:val="00BC3200"/>
    <w:rsid w:val="00BC338A"/>
    <w:rsid w:val="00BD7AB0"/>
    <w:rsid w:val="00BF3C20"/>
    <w:rsid w:val="00BF6DD1"/>
    <w:rsid w:val="00C00773"/>
    <w:rsid w:val="00C011BC"/>
    <w:rsid w:val="00C03DBA"/>
    <w:rsid w:val="00C112E7"/>
    <w:rsid w:val="00C11C78"/>
    <w:rsid w:val="00C11CD4"/>
    <w:rsid w:val="00C15061"/>
    <w:rsid w:val="00C1713D"/>
    <w:rsid w:val="00C20D9D"/>
    <w:rsid w:val="00C2134F"/>
    <w:rsid w:val="00C24718"/>
    <w:rsid w:val="00C264B2"/>
    <w:rsid w:val="00C2675D"/>
    <w:rsid w:val="00C30AEE"/>
    <w:rsid w:val="00C33362"/>
    <w:rsid w:val="00C353AE"/>
    <w:rsid w:val="00C4194E"/>
    <w:rsid w:val="00C50F87"/>
    <w:rsid w:val="00C516B1"/>
    <w:rsid w:val="00C5350C"/>
    <w:rsid w:val="00C56E09"/>
    <w:rsid w:val="00C61B1B"/>
    <w:rsid w:val="00C66AB7"/>
    <w:rsid w:val="00C673D1"/>
    <w:rsid w:val="00C746CB"/>
    <w:rsid w:val="00C77BBF"/>
    <w:rsid w:val="00C77D64"/>
    <w:rsid w:val="00C81564"/>
    <w:rsid w:val="00C9080C"/>
    <w:rsid w:val="00C94429"/>
    <w:rsid w:val="00C95725"/>
    <w:rsid w:val="00CA17C1"/>
    <w:rsid w:val="00CA18FD"/>
    <w:rsid w:val="00CA27E5"/>
    <w:rsid w:val="00CA4897"/>
    <w:rsid w:val="00CA5FB5"/>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1EF2"/>
    <w:rsid w:val="00D44860"/>
    <w:rsid w:val="00D47689"/>
    <w:rsid w:val="00D50C42"/>
    <w:rsid w:val="00D57CF5"/>
    <w:rsid w:val="00D612BC"/>
    <w:rsid w:val="00D62F98"/>
    <w:rsid w:val="00D66FD6"/>
    <w:rsid w:val="00D8285B"/>
    <w:rsid w:val="00D862EB"/>
    <w:rsid w:val="00D86619"/>
    <w:rsid w:val="00D93E7C"/>
    <w:rsid w:val="00DA35C7"/>
    <w:rsid w:val="00DB2BE6"/>
    <w:rsid w:val="00DB76B3"/>
    <w:rsid w:val="00DC5D71"/>
    <w:rsid w:val="00DD1052"/>
    <w:rsid w:val="00DD3C7B"/>
    <w:rsid w:val="00DE2B21"/>
    <w:rsid w:val="00DE48DE"/>
    <w:rsid w:val="00DE680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3A42"/>
    <w:rsid w:val="00ED4C3A"/>
    <w:rsid w:val="00EE1C85"/>
    <w:rsid w:val="00EE1FAC"/>
    <w:rsid w:val="00EF21D9"/>
    <w:rsid w:val="00EF2A94"/>
    <w:rsid w:val="00EF32FB"/>
    <w:rsid w:val="00EF44B1"/>
    <w:rsid w:val="00EF4865"/>
    <w:rsid w:val="00EF5954"/>
    <w:rsid w:val="00F100D2"/>
    <w:rsid w:val="00F12942"/>
    <w:rsid w:val="00F13C41"/>
    <w:rsid w:val="00F14886"/>
    <w:rsid w:val="00F16421"/>
    <w:rsid w:val="00F201EE"/>
    <w:rsid w:val="00F35AA0"/>
    <w:rsid w:val="00F37AF2"/>
    <w:rsid w:val="00F43C49"/>
    <w:rsid w:val="00F45C12"/>
    <w:rsid w:val="00F544A2"/>
    <w:rsid w:val="00F707D7"/>
    <w:rsid w:val="00F73C86"/>
    <w:rsid w:val="00F73D03"/>
    <w:rsid w:val="00F74FF0"/>
    <w:rsid w:val="00F76CB9"/>
    <w:rsid w:val="00F77A73"/>
    <w:rsid w:val="00F80E46"/>
    <w:rsid w:val="00F96236"/>
    <w:rsid w:val="00FA10CE"/>
    <w:rsid w:val="00FA222F"/>
    <w:rsid w:val="00FA2891"/>
    <w:rsid w:val="00FB6409"/>
    <w:rsid w:val="00FB693D"/>
    <w:rsid w:val="00FB7768"/>
    <w:rsid w:val="00FC7489"/>
    <w:rsid w:val="00FD1BA8"/>
    <w:rsid w:val="00FD218F"/>
    <w:rsid w:val="00FD5663"/>
    <w:rsid w:val="00FD56C6"/>
    <w:rsid w:val="00FE3221"/>
    <w:rsid w:val="00FE48EA"/>
    <w:rsid w:val="00FE571F"/>
    <w:rsid w:val="00FF47F6"/>
    <w:rsid w:val="00FF6F39"/>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B4E654A"/>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semiHidden/>
    <w:qFormat/>
    <w:uiPriority w:val="99"/>
    <w:rPr>
      <w:rFonts w:cs="Times New Roman"/>
      <w:sz w:val="21"/>
      <w:szCs w:val="21"/>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34"/>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qFormat/>
    <w:uiPriority w:val="9"/>
    <w:rPr>
      <w:rFonts w:ascii="Calibri" w:hAnsi="Calibri" w:eastAsia="宋体" w:cs="Times New Roman"/>
      <w:b/>
      <w:bCs/>
      <w:kern w:val="44"/>
      <w:sz w:val="44"/>
      <w:szCs w:val="44"/>
    </w:rPr>
  </w:style>
  <w:style w:type="character" w:customStyle="1" w:styleId="21">
    <w:name w:val="批注文字 字符"/>
    <w:basedOn w:val="9"/>
    <w:link w:val="3"/>
    <w:qFormat/>
    <w:uiPriority w:val="99"/>
    <w:rPr>
      <w:rFonts w:ascii="Times New Roman" w:hAnsi="Times New Roman" w:eastAsia="宋体" w:cs="Times New Roman"/>
      <w:kern w:val="2"/>
      <w:sz w:val="21"/>
      <w:szCs w:val="24"/>
    </w:rPr>
  </w:style>
  <w:style w:type="character" w:customStyle="1" w:styleId="22">
    <w:name w:val="editor-text-node"/>
    <w:basedOn w:val="9"/>
    <w:qFormat/>
    <w:uiPriority w:val="0"/>
  </w:style>
  <w:style w:type="character" w:styleId="23">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2487</Words>
  <Characters>2590</Characters>
  <Lines>32</Lines>
  <Paragraphs>9</Paragraphs>
  <TotalTime>18</TotalTime>
  <ScaleCrop>false</ScaleCrop>
  <LinksUpToDate>false</LinksUpToDate>
  <CharactersWithSpaces>2695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2025-02-19T10:13:00Z</dcterms:created>
  <dc:creator>juvg</dc:creator>
  <cp:lastModifiedBy>奶茶</cp:lastModifiedBy>
  <cp:lastPrinted>2023-11-21T00:52:00Z</cp:lastPrinted>
  <dcterms:modified xsi:type="dcterms:W3CDTF">2025-03-20T05:03:34Z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CE81BA06EE4B4C3F86F38C6261203377_12</vt:lpwstr>
  </property>
</Properties>
</file>