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58F51">
      <w:pPr>
        <w:spacing w:line="288" w:lineRule="auto"/>
        <w:jc w:val="both"/>
        <w:rPr>
          <w:rFonts w:asciiTheme="minorEastAsia" w:hAnsiTheme="minorEastAsia" w:eastAsiaTheme="minorEastAsia"/>
          <w:bCs/>
          <w:kern w:val="0"/>
          <w:sz w:val="40"/>
          <w:szCs w:val="40"/>
        </w:rPr>
      </w:pPr>
      <w:bookmarkStart w:id="2" w:name="_GoBack"/>
      <w:bookmarkEnd w:id="2"/>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14:paraId="7E303DA0">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y1ZHmtQAAAAIAQAADwAAAAAAAAABACAAAAA4AAAAZHJzL2Rv&#10;d25yZXYueG1sUEsBAhQAFAAAAAgAh07iQDRv1SthAgAApwQAAA4AAAAAAAAAAQAgAAAAOQEAAGRy&#10;cy9lMm9Eb2MueG1sUEsFBgAAAAAGAAYAWQEAAAwGAAAAAA==&#10;">
                <v:fill on="t" focussize="0,0"/>
                <v:stroke on="f" weight="0.5pt"/>
                <v:imagedata o:title=""/>
                <o:lock v:ext="edit" aspectratio="f"/>
                <v:textbox>
                  <w:txbxContent>
                    <w:p w14:paraId="7E303DA0">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bookmarkStart w:id="0" w:name="_Toc351309435"/>
      <w:bookmarkStart w:id="1" w:name="_Toc359242086"/>
    </w:p>
    <w:p w14:paraId="0477E5D9">
      <w:pPr>
        <w:spacing w:line="288" w:lineRule="auto"/>
        <w:jc w:val="center"/>
        <w:outlineLvl w:val="0"/>
        <w:rPr>
          <w:b/>
          <w:sz w:val="28"/>
          <w:szCs w:val="30"/>
        </w:rPr>
      </w:pPr>
      <w:r>
        <w:rPr>
          <w:rFonts w:hint="eastAsia"/>
          <w:b/>
          <w:sz w:val="28"/>
          <w:szCs w:val="30"/>
        </w:rPr>
        <w:t>【</w:t>
      </w:r>
      <w:r>
        <w:rPr>
          <w:rFonts w:hint="eastAsia" w:cs="宋体"/>
          <w:b/>
          <w:bCs/>
          <w:color w:val="000000"/>
          <w:sz w:val="28"/>
          <w:szCs w:val="28"/>
        </w:rPr>
        <w:t>高级英语</w:t>
      </w:r>
      <w:r>
        <w:rPr>
          <w:rFonts w:hint="eastAsia"/>
          <w:b/>
          <w:sz w:val="28"/>
          <w:szCs w:val="30"/>
        </w:rPr>
        <w:t>】</w:t>
      </w:r>
    </w:p>
    <w:p w14:paraId="3DF9D75A">
      <w:pPr>
        <w:shd w:val="clear" w:color="auto" w:fill="F5F5F5"/>
        <w:jc w:val="center"/>
        <w:textAlignment w:val="top"/>
        <w:rPr>
          <w:rFonts w:ascii="Arial" w:hAnsi="Arial" w:cs="Arial"/>
          <w:color w:val="888888"/>
          <w:kern w:val="0"/>
          <w:sz w:val="20"/>
          <w:szCs w:val="20"/>
        </w:rPr>
      </w:pPr>
      <w:r>
        <w:rPr>
          <w:rFonts w:hint="eastAsia"/>
          <w:b/>
          <w:sz w:val="28"/>
          <w:szCs w:val="30"/>
        </w:rPr>
        <w:t>【</w:t>
      </w:r>
      <w:r>
        <w:rPr>
          <w:b/>
          <w:bCs/>
          <w:color w:val="000000"/>
          <w:sz w:val="28"/>
          <w:szCs w:val="28"/>
        </w:rPr>
        <w:t>Advanced English</w:t>
      </w:r>
      <w:r>
        <w:rPr>
          <w:rFonts w:hint="eastAsia"/>
          <w:b/>
          <w:sz w:val="28"/>
          <w:szCs w:val="30"/>
        </w:rPr>
        <w:t>】</w:t>
      </w:r>
    </w:p>
    <w:bookmarkEnd w:id="0"/>
    <w:bookmarkEnd w:id="1"/>
    <w:p w14:paraId="5483792C">
      <w:pPr>
        <w:spacing w:line="288" w:lineRule="auto"/>
        <w:outlineLvl w:val="0"/>
        <w:rPr>
          <w:rFonts w:ascii="黑体" w:hAnsi="黑体" w:eastAsia="黑体"/>
          <w:b/>
          <w:bCs/>
          <w:color w:val="000000"/>
          <w:sz w:val="24"/>
          <w:szCs w:val="24"/>
        </w:rPr>
      </w:pPr>
      <w:r>
        <w:rPr>
          <w:rFonts w:hint="eastAsia" w:ascii="黑体" w:hAnsi="黑体" w:eastAsia="黑体" w:cs="黑体"/>
          <w:b/>
          <w:sz w:val="24"/>
          <w:szCs w:val="24"/>
        </w:rPr>
        <w:t>一、基本信息</w:t>
      </w:r>
      <w:r>
        <w:rPr>
          <w:rFonts w:ascii="黑体" w:hAnsi="黑体" w:eastAsia="黑体" w:cs="黑体"/>
          <w:b/>
          <w:sz w:val="24"/>
          <w:szCs w:val="24"/>
        </w:rPr>
        <w:t xml:space="preserve"> </w:t>
      </w:r>
    </w:p>
    <w:p w14:paraId="7A80F658">
      <w:pPr>
        <w:snapToGrid w:val="0"/>
        <w:spacing w:line="288" w:lineRule="auto"/>
        <w:ind w:firstLine="392" w:firstLineChars="196"/>
        <w:rPr>
          <w:rFonts w:hint="default" w:asciiTheme="minorEastAsia" w:hAnsiTheme="minorEastAsia" w:eastAsiaTheme="minorEastAsia"/>
          <w:color w:val="000000"/>
          <w:sz w:val="20"/>
          <w:szCs w:val="20"/>
          <w:lang w:val="en-US" w:eastAsia="zh-CN"/>
        </w:rPr>
      </w:pPr>
      <w:r>
        <w:rPr>
          <w:rFonts w:hint="eastAsia" w:cs="宋体" w:asciiTheme="minorEastAsia" w:hAnsiTheme="minorEastAsia" w:eastAsiaTheme="minorEastAsia"/>
          <w:b/>
          <w:bCs/>
          <w:color w:val="000000"/>
          <w:sz w:val="20"/>
          <w:szCs w:val="20"/>
        </w:rPr>
        <w:t>课程代码：</w:t>
      </w:r>
      <w:r>
        <w:rPr>
          <w:rFonts w:asciiTheme="minorEastAsia" w:hAnsiTheme="minorEastAsia" w:eastAsiaTheme="minorEastAsia"/>
          <w:color w:val="000000"/>
          <w:sz w:val="20"/>
          <w:szCs w:val="20"/>
        </w:rPr>
        <w:t>2020</w:t>
      </w:r>
      <w:r>
        <w:rPr>
          <w:rFonts w:hint="eastAsia" w:asciiTheme="minorEastAsia" w:hAnsiTheme="minorEastAsia" w:eastAsiaTheme="minorEastAsia"/>
          <w:color w:val="000000"/>
          <w:sz w:val="20"/>
          <w:szCs w:val="20"/>
          <w:lang w:val="en-US" w:eastAsia="zh-CN"/>
        </w:rPr>
        <w:t>347</w:t>
      </w:r>
    </w:p>
    <w:p w14:paraId="23874D58">
      <w:pPr>
        <w:snapToGrid w:val="0"/>
        <w:spacing w:line="288" w:lineRule="auto"/>
        <w:ind w:firstLine="392"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课程学分：</w:t>
      </w:r>
      <w:r>
        <w:rPr>
          <w:rFonts w:asciiTheme="minorEastAsia" w:hAnsiTheme="minorEastAsia" w:eastAsiaTheme="minorEastAsia"/>
          <w:color w:val="000000"/>
          <w:sz w:val="20"/>
          <w:szCs w:val="20"/>
        </w:rPr>
        <w:t>2</w:t>
      </w:r>
    </w:p>
    <w:p w14:paraId="2337154D">
      <w:pPr>
        <w:snapToGrid w:val="0"/>
        <w:spacing w:line="288" w:lineRule="auto"/>
        <w:ind w:firstLine="392" w:firstLineChars="196"/>
        <w:rPr>
          <w:rFonts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面向专业：</w:t>
      </w:r>
      <w:r>
        <w:rPr>
          <w:rFonts w:hint="eastAsia" w:cs="宋体" w:asciiTheme="minorEastAsia" w:hAnsiTheme="minorEastAsia" w:eastAsiaTheme="minorEastAsia"/>
          <w:bCs/>
          <w:color w:val="000000"/>
          <w:sz w:val="20"/>
          <w:szCs w:val="20"/>
        </w:rPr>
        <w:t>英语</w:t>
      </w:r>
      <w:r>
        <w:rPr>
          <w:rFonts w:hint="eastAsia" w:cs="宋体" w:asciiTheme="minorEastAsia" w:hAnsiTheme="minorEastAsia" w:eastAsiaTheme="minorEastAsia"/>
          <w:color w:val="000000"/>
          <w:sz w:val="20"/>
          <w:szCs w:val="20"/>
        </w:rPr>
        <w:t>专业</w:t>
      </w:r>
    </w:p>
    <w:p w14:paraId="368EE00D">
      <w:pPr>
        <w:snapToGrid w:val="0"/>
        <w:spacing w:line="288" w:lineRule="auto"/>
        <w:ind w:firstLine="392"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课程性质：</w:t>
      </w:r>
      <w:r>
        <w:rPr>
          <w:rFonts w:hint="eastAsia"/>
          <w:color w:val="000000"/>
          <w:sz w:val="20"/>
          <w:szCs w:val="20"/>
        </w:rPr>
        <w:t>系级必修课</w:t>
      </w:r>
    </w:p>
    <w:p w14:paraId="5CE84EA1">
      <w:pPr>
        <w:snapToGrid w:val="0"/>
        <w:spacing w:line="288" w:lineRule="auto"/>
        <w:ind w:firstLine="392" w:firstLineChars="196"/>
        <w:rPr>
          <w:rFonts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开课院系：</w:t>
      </w:r>
      <w:r>
        <w:rPr>
          <w:rFonts w:hint="eastAsia" w:cs="宋体" w:asciiTheme="minorEastAsia" w:hAnsiTheme="minorEastAsia" w:eastAsiaTheme="minorEastAsia"/>
          <w:color w:val="000000"/>
          <w:sz w:val="20"/>
          <w:szCs w:val="20"/>
        </w:rPr>
        <w:t>外国语学院英语系</w:t>
      </w:r>
    </w:p>
    <w:p w14:paraId="53F83004">
      <w:pPr>
        <w:snapToGrid w:val="0"/>
        <w:spacing w:line="300" w:lineRule="auto"/>
        <w:ind w:left="1474" w:leftChars="188" w:hanging="1079" w:hangingChars="539"/>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使用教材：</w:t>
      </w:r>
      <w:r>
        <w:rPr>
          <w:rFonts w:hint="eastAsia" w:cs="宋体" w:asciiTheme="minorEastAsia" w:hAnsiTheme="minorEastAsia" w:eastAsiaTheme="minorEastAsia"/>
          <w:color w:val="000000"/>
          <w:sz w:val="20"/>
          <w:szCs w:val="20"/>
        </w:rPr>
        <w:t>主教材《高级英语》（第一册）（改编自《综合教程》第七册），何兆熊主编，上海外语教育出版社，</w:t>
      </w:r>
      <w:r>
        <w:rPr>
          <w:rFonts w:asciiTheme="minorEastAsia" w:hAnsiTheme="minorEastAsia" w:eastAsiaTheme="minorEastAsia"/>
          <w:color w:val="000000"/>
          <w:sz w:val="20"/>
          <w:szCs w:val="20"/>
        </w:rPr>
        <w:t>2014</w:t>
      </w:r>
      <w:r>
        <w:rPr>
          <w:rFonts w:hint="eastAsia" w:cs="宋体" w:asciiTheme="minorEastAsia" w:hAnsiTheme="minorEastAsia" w:eastAsiaTheme="minorEastAsia"/>
          <w:color w:val="000000"/>
          <w:sz w:val="20"/>
          <w:szCs w:val="20"/>
        </w:rPr>
        <w:t>年。辅助教材《美报刊选读》，张卫平编著，外语教育与研究出版社，</w:t>
      </w:r>
      <w:r>
        <w:rPr>
          <w:rFonts w:asciiTheme="minorEastAsia" w:hAnsiTheme="minorEastAsia" w:eastAsiaTheme="minorEastAsia"/>
          <w:color w:val="000000"/>
          <w:sz w:val="20"/>
          <w:szCs w:val="20"/>
        </w:rPr>
        <w:t>2006</w:t>
      </w:r>
      <w:r>
        <w:rPr>
          <w:rFonts w:hint="eastAsia" w:cs="宋体" w:asciiTheme="minorEastAsia" w:hAnsiTheme="minorEastAsia" w:eastAsiaTheme="minorEastAsia"/>
          <w:color w:val="000000"/>
          <w:sz w:val="20"/>
          <w:szCs w:val="20"/>
        </w:rPr>
        <w:t>年、《英语国家概况》，温洪瑞主编，首都经济贸易大学出版社，</w:t>
      </w:r>
      <w:r>
        <w:rPr>
          <w:rFonts w:asciiTheme="minorEastAsia" w:hAnsiTheme="minorEastAsia" w:eastAsiaTheme="minorEastAsia"/>
          <w:color w:val="000000"/>
          <w:sz w:val="20"/>
          <w:szCs w:val="20"/>
        </w:rPr>
        <w:t>2011</w:t>
      </w:r>
      <w:r>
        <w:rPr>
          <w:rFonts w:hint="eastAsia" w:cs="宋体" w:asciiTheme="minorEastAsia" w:hAnsiTheme="minorEastAsia" w:eastAsiaTheme="minorEastAsia"/>
          <w:color w:val="000000"/>
          <w:sz w:val="20"/>
          <w:szCs w:val="20"/>
        </w:rPr>
        <w:t>年。参考教材《最新英美报刊选读》陈忠利编著，中国人民出版社，</w:t>
      </w:r>
      <w:r>
        <w:rPr>
          <w:rFonts w:asciiTheme="minorEastAsia" w:hAnsiTheme="minorEastAsia" w:eastAsiaTheme="minorEastAsia"/>
          <w:color w:val="000000"/>
          <w:sz w:val="20"/>
          <w:szCs w:val="20"/>
        </w:rPr>
        <w:t>2006</w:t>
      </w:r>
      <w:r>
        <w:rPr>
          <w:rFonts w:hint="eastAsia" w:cs="宋体" w:asciiTheme="minorEastAsia" w:hAnsiTheme="minorEastAsia" w:eastAsiaTheme="minorEastAsia"/>
          <w:color w:val="000000"/>
          <w:sz w:val="20"/>
          <w:szCs w:val="20"/>
        </w:rPr>
        <w:t>年</w:t>
      </w:r>
      <w:r>
        <w:rPr>
          <w:rFonts w:asciiTheme="minorEastAsia" w:hAnsiTheme="minorEastAsia" w:eastAsiaTheme="minorEastAsia"/>
          <w:color w:val="000000"/>
          <w:sz w:val="20"/>
          <w:szCs w:val="20"/>
        </w:rPr>
        <w:t>1</w:t>
      </w:r>
      <w:r>
        <w:rPr>
          <w:rFonts w:hint="eastAsia" w:cs="宋体" w:asciiTheme="minorEastAsia" w:hAnsiTheme="minorEastAsia" w:eastAsiaTheme="minorEastAsia"/>
          <w:color w:val="000000"/>
          <w:sz w:val="20"/>
          <w:szCs w:val="20"/>
        </w:rPr>
        <w:t>月</w:t>
      </w:r>
    </w:p>
    <w:p w14:paraId="6BC150D8">
      <w:pPr>
        <w:snapToGrid w:val="0"/>
        <w:spacing w:line="288" w:lineRule="auto"/>
        <w:ind w:firstLine="392" w:firstLineChars="196"/>
        <w:rPr>
          <w:rFonts w:asciiTheme="minorEastAsia" w:hAnsiTheme="minorEastAsia" w:eastAsiaTheme="minorEastAsia"/>
          <w:b/>
          <w:bCs/>
          <w:color w:val="000000"/>
          <w:sz w:val="20"/>
          <w:szCs w:val="20"/>
        </w:rPr>
      </w:pPr>
      <w:r>
        <w:rPr>
          <w:rFonts w:hint="eastAsia" w:asciiTheme="minorEastAsia" w:hAnsiTheme="minorEastAsia" w:eastAsiaTheme="minorEastAsia"/>
          <w:b/>
          <w:bCs/>
          <w:color w:val="000000"/>
          <w:sz w:val="20"/>
          <w:szCs w:val="20"/>
        </w:rPr>
        <w:t>课程网站网址：</w:t>
      </w:r>
      <w:r>
        <w:fldChar w:fldCharType="begin"/>
      </w:r>
      <w:r>
        <w:instrText xml:space="preserve"> HYPERLINK "http://www.gench.edu.cn/" </w:instrText>
      </w:r>
      <w:r>
        <w:fldChar w:fldCharType="separate"/>
      </w:r>
      <w:r>
        <w:rPr>
          <w:rStyle w:val="8"/>
          <w:rFonts w:asciiTheme="minorEastAsia" w:hAnsiTheme="minorEastAsia" w:eastAsiaTheme="minorEastAsia"/>
          <w:b/>
          <w:bCs/>
          <w:sz w:val="20"/>
          <w:szCs w:val="20"/>
        </w:rPr>
        <w:t>http://www.gench.edu.cn/</w:t>
      </w:r>
      <w:r>
        <w:rPr>
          <w:rStyle w:val="8"/>
          <w:rFonts w:asciiTheme="minorEastAsia" w:hAnsiTheme="minorEastAsia" w:eastAsiaTheme="minorEastAsia"/>
          <w:b/>
          <w:bCs/>
          <w:sz w:val="20"/>
          <w:szCs w:val="20"/>
        </w:rPr>
        <w:fldChar w:fldCharType="end"/>
      </w:r>
    </w:p>
    <w:p w14:paraId="20DFEC7F">
      <w:pPr>
        <w:adjustRightInd w:val="0"/>
        <w:snapToGrid w:val="0"/>
        <w:spacing w:line="288" w:lineRule="auto"/>
        <w:ind w:firstLine="392"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先修课程：</w:t>
      </w:r>
      <w:r>
        <w:rPr>
          <w:rFonts w:hint="eastAsia" w:cs="宋体" w:asciiTheme="minorEastAsia" w:hAnsiTheme="minorEastAsia" w:eastAsiaTheme="minorEastAsia"/>
          <w:bCs/>
          <w:color w:val="000000"/>
          <w:sz w:val="20"/>
          <w:szCs w:val="20"/>
        </w:rPr>
        <w:t>《综合教程》一、二、三、四、五、六册</w:t>
      </w:r>
    </w:p>
    <w:p w14:paraId="7D16BD62">
      <w:pPr>
        <w:adjustRightInd w:val="0"/>
        <w:snapToGrid w:val="0"/>
        <w:spacing w:before="156" w:beforeLines="50" w:after="156" w:afterLines="50" w:line="288" w:lineRule="auto"/>
        <w:ind w:firstLine="348" w:firstLineChars="145"/>
        <w:rPr>
          <w:rFonts w:ascii="黑体" w:hAnsi="黑体" w:eastAsia="黑体"/>
          <w:b/>
          <w:bCs/>
          <w:color w:val="000000"/>
          <w:sz w:val="24"/>
          <w:szCs w:val="24"/>
        </w:rPr>
      </w:pPr>
      <w:r>
        <w:rPr>
          <w:rFonts w:hint="eastAsia" w:ascii="黑体" w:hAnsi="黑体" w:eastAsia="黑体" w:cs="黑体"/>
          <w:b/>
          <w:sz w:val="24"/>
          <w:szCs w:val="24"/>
        </w:rPr>
        <w:t>二、课程简介</w:t>
      </w:r>
      <w:r>
        <w:rPr>
          <w:rFonts w:ascii="黑体" w:hAnsi="黑体" w:eastAsia="黑体" w:cs="黑体"/>
          <w:b/>
          <w:sz w:val="24"/>
          <w:szCs w:val="24"/>
        </w:rPr>
        <w:t xml:space="preserve"> </w:t>
      </w:r>
    </w:p>
    <w:p w14:paraId="285F8790">
      <w:pPr>
        <w:snapToGrid w:val="0"/>
        <w:spacing w:line="300" w:lineRule="auto"/>
        <w:ind w:firstLine="400" w:firstLineChars="20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高级英语》是一门专业必修课，它旨在培养英语专业高年级学生对各种文体的阅读分析理解能力，同时使学生具备一定的英美语言文化知识，使这些知识能转化成学生语言知识与技能的一部分，从而更具备用地道、自如的口、笔语表达自己的思想的能力。本课程又旨在既使学生在社会背景文化素养上能做到充分、有效、灵活地移入，又使学生在语言功能的掌握方面得到加强。</w:t>
      </w:r>
    </w:p>
    <w:p w14:paraId="6C407B51">
      <w:pPr>
        <w:snapToGrid w:val="0"/>
        <w:spacing w:line="300" w:lineRule="auto"/>
        <w:ind w:firstLine="400" w:firstLineChars="20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通过前三学年的学习，学生在听、说、读、写、译等方面都应具备了较强的能力，能比较自如的运用英语。到了第四学年，重点应当更多的转移到使用英语这个工具去大量的吸取丰富的人文知识的养分，提高自身的人文素养，拓展自己的视野</w:t>
      </w:r>
      <w:r>
        <w:rPr>
          <w:rFonts w:asciiTheme="minorEastAsia" w:hAnsiTheme="minorEastAsia" w:eastAsiaTheme="minorEastAsia"/>
          <w:color w:val="000000"/>
          <w:sz w:val="20"/>
          <w:szCs w:val="20"/>
        </w:rPr>
        <w:t xml:space="preserve"> </w:t>
      </w:r>
      <w:r>
        <w:rPr>
          <w:rFonts w:hint="eastAsia" w:cs="宋体" w:asciiTheme="minorEastAsia" w:hAnsiTheme="minorEastAsia" w:eastAsiaTheme="minorEastAsia"/>
          <w:color w:val="000000"/>
          <w:sz w:val="20"/>
          <w:szCs w:val="20"/>
        </w:rPr>
        <w:t>，使学生获得较完备的知识迁移能力与技巧，以便在将来的翻译与商务谈判中能胜任高强度与高精度的阅读、翻译、写作等工作要求。</w:t>
      </w:r>
    </w:p>
    <w:p w14:paraId="498F0E3C">
      <w:pPr>
        <w:widowControl/>
        <w:spacing w:before="156" w:beforeLines="50" w:after="156" w:afterLines="50" w:line="288" w:lineRule="auto"/>
        <w:ind w:firstLine="360" w:firstLineChars="150"/>
        <w:jc w:val="left"/>
        <w:rPr>
          <w:rFonts w:ascii="黑体" w:hAnsi="黑体" w:eastAsia="黑体"/>
          <w:b/>
          <w:sz w:val="24"/>
          <w:szCs w:val="24"/>
        </w:rPr>
      </w:pPr>
      <w:r>
        <w:rPr>
          <w:rFonts w:hint="eastAsia" w:ascii="黑体" w:hAnsi="黑体" w:eastAsia="黑体" w:cs="黑体"/>
          <w:b/>
          <w:sz w:val="24"/>
          <w:szCs w:val="24"/>
        </w:rPr>
        <w:t>三、选课建议</w:t>
      </w:r>
    </w:p>
    <w:p w14:paraId="3A5F45A6">
      <w:pPr>
        <w:snapToGrid w:val="0"/>
        <w:spacing w:line="288" w:lineRule="auto"/>
        <w:ind w:firstLine="400" w:firstLineChars="200"/>
        <w:rPr>
          <w:rFonts w:hint="eastAsia" w:asciiTheme="minorEastAsia" w:hAnsiTheme="minorEastAsia" w:eastAsiaTheme="minorEastAsia"/>
          <w:color w:val="000000"/>
          <w:szCs w:val="21"/>
        </w:rPr>
      </w:pPr>
      <w:r>
        <w:rPr>
          <w:rFonts w:hint="eastAsia" w:cs="宋体" w:asciiTheme="minorEastAsia" w:hAnsiTheme="minorEastAsia" w:eastAsiaTheme="minorEastAsia"/>
          <w:color w:val="000000"/>
          <w:sz w:val="20"/>
          <w:szCs w:val="20"/>
        </w:rPr>
        <w:t>本课程为英语本科学生专业必修课，适合开设于本科四年级上学期，要求学生具备</w:t>
      </w:r>
      <w:r>
        <w:rPr>
          <w:rFonts w:asciiTheme="minorEastAsia" w:hAnsiTheme="minorEastAsia" w:eastAsiaTheme="minorEastAsia"/>
          <w:color w:val="000000"/>
          <w:sz w:val="20"/>
          <w:szCs w:val="20"/>
        </w:rPr>
        <w:t>6000-8000</w:t>
      </w:r>
      <w:r>
        <w:rPr>
          <w:rFonts w:hint="eastAsia" w:cs="宋体" w:asciiTheme="minorEastAsia" w:hAnsiTheme="minorEastAsia" w:eastAsiaTheme="minorEastAsia"/>
          <w:color w:val="000000"/>
          <w:sz w:val="20"/>
          <w:szCs w:val="20"/>
        </w:rPr>
        <w:t>左右的英语词汇量，同时又要具备系统的语法理论知识与词汇学的理论知识。更重要的是学生要理解英语学习不仅仅是一种语言技巧的学习，更应该是对英美文化的学习。这种学习不是浮光掠影式的浏览与泛泛的了解，而应当是本着严肃思考和深刻的追求。教师应当带领同学通过外来文化的深入学习，吸取其高尚的、经典的东西，更要将其与中国文化加以对比，从而更加热爱自己的文化。</w:t>
      </w:r>
    </w:p>
    <w:p w14:paraId="3AA541AD">
      <w:pPr>
        <w:snapToGrid w:val="0"/>
        <w:spacing w:line="288" w:lineRule="auto"/>
        <w:ind w:firstLine="420" w:firstLineChars="200"/>
        <w:rPr>
          <w:rFonts w:asciiTheme="minorEastAsia" w:hAnsiTheme="minorEastAsia" w:eastAsiaTheme="minorEastAsia"/>
          <w:color w:val="000000"/>
          <w:szCs w:val="21"/>
        </w:rPr>
      </w:pPr>
    </w:p>
    <w:p w14:paraId="3356F091">
      <w:pPr>
        <w:widowControl/>
        <w:spacing w:before="156" w:beforeLines="50" w:after="156" w:afterLines="50" w:line="288" w:lineRule="auto"/>
        <w:ind w:firstLine="360" w:firstLineChars="150"/>
        <w:jc w:val="left"/>
        <w:rPr>
          <w:rFonts w:ascii="黑体" w:hAnsi="黑体" w:eastAsia="黑体"/>
          <w:b/>
          <w:sz w:val="24"/>
          <w:szCs w:val="24"/>
        </w:rPr>
      </w:pPr>
      <w:r>
        <w:rPr>
          <w:rFonts w:ascii="黑体" w:hAnsi="黑体" w:eastAsia="黑体"/>
          <w:b/>
          <w:sz w:val="24"/>
          <w:szCs w:val="24"/>
        </w:rPr>
        <w:t>四</w:t>
      </w:r>
      <w:r>
        <w:rPr>
          <w:rFonts w:hint="eastAsia" w:ascii="黑体" w:hAnsi="黑体" w:eastAsia="黑体"/>
          <w:b/>
          <w:sz w:val="24"/>
          <w:szCs w:val="24"/>
        </w:rPr>
        <w:t>、</w:t>
      </w:r>
      <w:r>
        <w:rPr>
          <w:rFonts w:ascii="黑体" w:hAnsi="黑体" w:eastAsia="黑体"/>
          <w:b/>
          <w:sz w:val="24"/>
          <w:szCs w:val="24"/>
        </w:rPr>
        <w:t>课程与</w:t>
      </w:r>
      <w:r>
        <w:rPr>
          <w:rFonts w:hint="eastAsia" w:ascii="黑体" w:hAnsi="黑体" w:eastAsia="黑体"/>
          <w:b/>
          <w:sz w:val="24"/>
          <w:szCs w:val="24"/>
        </w:rPr>
        <w:t>专业毕业要求</w:t>
      </w:r>
      <w:r>
        <w:rPr>
          <w:rFonts w:ascii="黑体" w:hAnsi="黑体" w:eastAsia="黑体"/>
          <w:b/>
          <w:sz w:val="24"/>
          <w:szCs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14:paraId="3392D189">
        <w:trPr>
          <w:trHeight w:val="278" w:hRule="atLeast"/>
        </w:trPr>
        <w:tc>
          <w:tcPr>
            <w:tcW w:w="6803" w:type="dxa"/>
          </w:tcPr>
          <w:p w14:paraId="401B19D2">
            <w:pPr>
              <w:tabs>
                <w:tab w:val="center" w:pos="4153"/>
                <w:tab w:val="right" w:pos="8306"/>
              </w:tabs>
              <w:snapToGrid w:val="0"/>
              <w:jc w:val="center"/>
              <w:rPr>
                <w:rFonts w:cs="黑体" w:asciiTheme="minorEastAsia" w:hAnsiTheme="minorEastAsia" w:eastAsiaTheme="minorEastAsia"/>
                <w:kern w:val="0"/>
                <w:sz w:val="20"/>
                <w:szCs w:val="20"/>
              </w:rPr>
            </w:pPr>
            <w:r>
              <w:rPr>
                <w:rFonts w:hint="eastAsia" w:cs="黑体" w:asciiTheme="minorEastAsia" w:hAnsiTheme="minorEastAsia" w:eastAsiaTheme="minorEastAsia"/>
                <w:kern w:val="0"/>
                <w:sz w:val="20"/>
                <w:szCs w:val="20"/>
              </w:rPr>
              <w:t>专业毕业要求</w:t>
            </w:r>
          </w:p>
        </w:tc>
        <w:tc>
          <w:tcPr>
            <w:tcW w:w="727" w:type="dxa"/>
          </w:tcPr>
          <w:p w14:paraId="0BD0D1D7">
            <w:pPr>
              <w:tabs>
                <w:tab w:val="center" w:pos="4153"/>
                <w:tab w:val="right" w:pos="8306"/>
              </w:tabs>
              <w:snapToGrid w:val="0"/>
              <w:jc w:val="center"/>
              <w:rPr>
                <w:rFonts w:cs="黑体" w:asciiTheme="minorEastAsia" w:hAnsiTheme="minorEastAsia" w:eastAsiaTheme="minorEastAsia"/>
                <w:kern w:val="0"/>
                <w:sz w:val="20"/>
                <w:szCs w:val="20"/>
              </w:rPr>
            </w:pPr>
            <w:r>
              <w:rPr>
                <w:rFonts w:hint="eastAsia" w:cs="黑体" w:asciiTheme="minorEastAsia" w:hAnsiTheme="minorEastAsia" w:eastAsiaTheme="minorEastAsia"/>
                <w:kern w:val="0"/>
                <w:sz w:val="20"/>
                <w:szCs w:val="20"/>
              </w:rPr>
              <w:t>关联</w:t>
            </w:r>
          </w:p>
        </w:tc>
      </w:tr>
      <w:tr w14:paraId="6CBB4840">
        <w:trPr>
          <w:trHeight w:val="553" w:hRule="atLeast"/>
        </w:trPr>
        <w:tc>
          <w:tcPr>
            <w:tcW w:w="6803" w:type="dxa"/>
          </w:tcPr>
          <w:p w14:paraId="51F81F8F">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LO11：理解他人的观点，尊重他人的价值观，能在不同场合用书面或口头形式进行有效沟通。</w:t>
            </w:r>
          </w:p>
        </w:tc>
        <w:tc>
          <w:tcPr>
            <w:tcW w:w="727" w:type="dxa"/>
            <w:vAlign w:val="center"/>
          </w:tcPr>
          <w:p w14:paraId="6766D607">
            <w:pPr>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3091C537">
        <w:trPr>
          <w:trHeight w:val="547" w:hRule="atLeast"/>
        </w:trPr>
        <w:tc>
          <w:tcPr>
            <w:tcW w:w="6803" w:type="dxa"/>
          </w:tcPr>
          <w:p w14:paraId="36E5D315">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LO21：学生能根据环境需要确定自己的学习目标，并主动地通过搜集信息、分析信息、讨论、实践、质疑、创造等方法来实现学习目标。</w:t>
            </w:r>
          </w:p>
        </w:tc>
        <w:tc>
          <w:tcPr>
            <w:tcW w:w="727" w:type="dxa"/>
            <w:vAlign w:val="center"/>
          </w:tcPr>
          <w:p w14:paraId="783F1C45">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72158EF2">
        <w:trPr>
          <w:trHeight w:val="555" w:hRule="atLeast"/>
        </w:trPr>
        <w:tc>
          <w:tcPr>
            <w:tcW w:w="6803" w:type="dxa"/>
          </w:tcPr>
          <w:p w14:paraId="397C9EFC">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LO31: 掌握扎实的英语语言基础知识，培养扎实的语言基本功和听、说、读、写、译等语言应用能力。</w:t>
            </w:r>
          </w:p>
        </w:tc>
        <w:tc>
          <w:tcPr>
            <w:tcW w:w="727" w:type="dxa"/>
            <w:vAlign w:val="center"/>
          </w:tcPr>
          <w:p w14:paraId="7ADFA855">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14:paraId="3219F5B6">
        <w:trPr>
          <w:trHeight w:val="421" w:hRule="atLeast"/>
        </w:trPr>
        <w:tc>
          <w:tcPr>
            <w:tcW w:w="6803" w:type="dxa"/>
          </w:tcPr>
          <w:p w14:paraId="0942A89B">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LO32: 掌握英语语言学、文学等相关知识，具备文学欣赏与文本分析能力。</w:t>
            </w:r>
          </w:p>
        </w:tc>
        <w:tc>
          <w:tcPr>
            <w:tcW w:w="727" w:type="dxa"/>
            <w:vAlign w:val="center"/>
          </w:tcPr>
          <w:p w14:paraId="3E871368">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20301BA3">
        <w:trPr>
          <w:trHeight w:val="412" w:hRule="atLeast"/>
        </w:trPr>
        <w:tc>
          <w:tcPr>
            <w:tcW w:w="6803" w:type="dxa"/>
          </w:tcPr>
          <w:p w14:paraId="3EC59656">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LO33：了解中西文化差异和跨文化的理论知识，具备较强的跨文化沟通能力。</w:t>
            </w:r>
          </w:p>
        </w:tc>
        <w:tc>
          <w:tcPr>
            <w:tcW w:w="727" w:type="dxa"/>
            <w:vAlign w:val="center"/>
          </w:tcPr>
          <w:p w14:paraId="07A31FC1">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14:paraId="7B88A334">
        <w:trPr>
          <w:trHeight w:val="405" w:hRule="atLeast"/>
        </w:trPr>
        <w:tc>
          <w:tcPr>
            <w:tcW w:w="6803" w:type="dxa"/>
          </w:tcPr>
          <w:p w14:paraId="23B9BAB8">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LO34：掌握商务实践知识，具有较强的外贸实务操作能力。</w:t>
            </w:r>
          </w:p>
        </w:tc>
        <w:tc>
          <w:tcPr>
            <w:tcW w:w="727" w:type="dxa"/>
            <w:vAlign w:val="center"/>
          </w:tcPr>
          <w:p w14:paraId="1FE7B068">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5D610304">
        <w:trPr>
          <w:trHeight w:val="410" w:hRule="atLeast"/>
        </w:trPr>
        <w:tc>
          <w:tcPr>
            <w:tcW w:w="6803" w:type="dxa"/>
          </w:tcPr>
          <w:p w14:paraId="60FA4E14">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LO41：遵守纪律、守信守责；具有耐挫折、抗压力的能力。</w:t>
            </w:r>
          </w:p>
        </w:tc>
        <w:tc>
          <w:tcPr>
            <w:tcW w:w="727" w:type="dxa"/>
            <w:vAlign w:val="center"/>
          </w:tcPr>
          <w:p w14:paraId="6C9B6AD7">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5234A40A">
        <w:trPr>
          <w:trHeight w:val="572" w:hRule="atLeast"/>
        </w:trPr>
        <w:tc>
          <w:tcPr>
            <w:tcW w:w="6803" w:type="dxa"/>
          </w:tcPr>
          <w:p w14:paraId="18036DBE">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LO51：同群体保持良好的合作关系，做集体中的积极成员；善于从多个维度思考问题，利用自己的知识与实践来提出新设想。</w:t>
            </w:r>
          </w:p>
        </w:tc>
        <w:tc>
          <w:tcPr>
            <w:tcW w:w="727" w:type="dxa"/>
            <w:vAlign w:val="center"/>
          </w:tcPr>
          <w:p w14:paraId="627459B1">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14:paraId="30D14843">
        <w:trPr>
          <w:trHeight w:val="410" w:hRule="atLeast"/>
        </w:trPr>
        <w:tc>
          <w:tcPr>
            <w:tcW w:w="6803" w:type="dxa"/>
          </w:tcPr>
          <w:p w14:paraId="1F180ACB">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LO61：具备一定的信息素养，并能在工作中应用信息技术解决问题。</w:t>
            </w:r>
          </w:p>
        </w:tc>
        <w:tc>
          <w:tcPr>
            <w:tcW w:w="727" w:type="dxa"/>
            <w:vAlign w:val="center"/>
          </w:tcPr>
          <w:p w14:paraId="74F53A71">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26E82A64">
        <w:trPr>
          <w:trHeight w:val="558" w:hRule="atLeast"/>
        </w:trPr>
        <w:tc>
          <w:tcPr>
            <w:tcW w:w="6803" w:type="dxa"/>
          </w:tcPr>
          <w:p w14:paraId="6A1A578D">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LO71：愿意服务他人、服务企业、服务社会；为人热忱，富于爱心，懂得感恩（“感恩、回报、爱心”为我校校训内容之一）</w:t>
            </w:r>
          </w:p>
        </w:tc>
        <w:tc>
          <w:tcPr>
            <w:tcW w:w="727" w:type="dxa"/>
            <w:vAlign w:val="center"/>
          </w:tcPr>
          <w:p w14:paraId="68C98E86">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14:paraId="11E72597">
        <w:trPr>
          <w:trHeight w:val="410" w:hRule="atLeast"/>
        </w:trPr>
        <w:tc>
          <w:tcPr>
            <w:tcW w:w="6803" w:type="dxa"/>
          </w:tcPr>
          <w:p w14:paraId="09122DC3">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LO81：具有初步的第二外语表达沟通能力,有国际竞争与合作意识。</w:t>
            </w:r>
          </w:p>
        </w:tc>
        <w:tc>
          <w:tcPr>
            <w:tcW w:w="727" w:type="dxa"/>
            <w:vAlign w:val="center"/>
          </w:tcPr>
          <w:p w14:paraId="1A77035C">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bl>
    <w:p w14:paraId="72D7624E">
      <w:pPr>
        <w:widowControl/>
        <w:spacing w:before="156" w:beforeLines="50" w:after="156" w:afterLines="50" w:line="288" w:lineRule="auto"/>
        <w:ind w:firstLine="300" w:firstLineChars="1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LO=</w:t>
      </w:r>
      <w:r>
        <w:rPr>
          <w:rFonts w:asciiTheme="minorEastAsia" w:hAnsiTheme="minorEastAsia" w:eastAsiaTheme="minorEastAsia"/>
          <w:sz w:val="20"/>
          <w:szCs w:val="20"/>
        </w:rPr>
        <w:t>learning outcomes</w:t>
      </w:r>
      <w:r>
        <w:rPr>
          <w:rFonts w:hint="eastAsia" w:asciiTheme="minorEastAsia" w:hAnsiTheme="minorEastAsia" w:eastAsiaTheme="minorEastAsia"/>
          <w:sz w:val="20"/>
          <w:szCs w:val="20"/>
        </w:rPr>
        <w:t>（学习成果）</w:t>
      </w:r>
    </w:p>
    <w:p w14:paraId="42752A51">
      <w:pPr>
        <w:widowControl/>
        <w:spacing w:before="156" w:beforeLines="50" w:after="156" w:afterLines="50" w:line="288" w:lineRule="auto"/>
        <w:ind w:firstLine="315" w:firstLineChars="150"/>
        <w:jc w:val="left"/>
        <w:rPr>
          <w:rFonts w:ascii="黑体" w:hAnsi="黑体" w:eastAsia="黑体"/>
          <w:b/>
          <w:szCs w:val="21"/>
        </w:rPr>
      </w:pPr>
      <w:r>
        <w:rPr>
          <w:rFonts w:hint="eastAsia" w:ascii="黑体" w:hAnsi="黑体" w:eastAsia="黑体"/>
          <w:b/>
          <w:szCs w:val="21"/>
        </w:rPr>
        <w:t>五、</w:t>
      </w:r>
      <w:r>
        <w:rPr>
          <w:rFonts w:ascii="黑体" w:hAnsi="黑体" w:eastAsia="黑体"/>
          <w:b/>
          <w:szCs w:val="21"/>
        </w:rPr>
        <w:t>课程</w:t>
      </w:r>
      <w:r>
        <w:rPr>
          <w:rFonts w:hint="eastAsia" w:ascii="黑体" w:hAnsi="黑体" w:eastAsia="黑体"/>
          <w:b/>
          <w:szCs w:val="21"/>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14:paraId="2E01E273">
        <w:tc>
          <w:tcPr>
            <w:tcW w:w="535" w:type="dxa"/>
            <w:shd w:val="clear" w:color="auto" w:fill="auto"/>
          </w:tcPr>
          <w:p w14:paraId="48E8E87F">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序号</w:t>
            </w:r>
          </w:p>
        </w:tc>
        <w:tc>
          <w:tcPr>
            <w:tcW w:w="1175" w:type="dxa"/>
            <w:shd w:val="clear" w:color="auto" w:fill="auto"/>
          </w:tcPr>
          <w:p w14:paraId="311B63FB">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课程预期</w:t>
            </w:r>
          </w:p>
          <w:p w14:paraId="10C4CF37">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学习成果</w:t>
            </w:r>
          </w:p>
        </w:tc>
        <w:tc>
          <w:tcPr>
            <w:tcW w:w="2470" w:type="dxa"/>
            <w:shd w:val="clear" w:color="auto" w:fill="auto"/>
            <w:vAlign w:val="center"/>
          </w:tcPr>
          <w:p w14:paraId="53245426">
            <w:pPr>
              <w:snapToGrid w:val="0"/>
              <w:spacing w:line="288" w:lineRule="auto"/>
              <w:jc w:val="center"/>
              <w:rPr>
                <w:rFonts w:asciiTheme="minorEastAsia" w:hAnsiTheme="minorEastAsia" w:eastAsiaTheme="minorEastAsia"/>
                <w:b/>
                <w:color w:val="000000"/>
                <w:sz w:val="20"/>
                <w:szCs w:val="20"/>
                <w:highlight w:val="yellow"/>
              </w:rPr>
            </w:pPr>
            <w:r>
              <w:rPr>
                <w:rFonts w:hint="eastAsia" w:asciiTheme="minorEastAsia" w:hAnsiTheme="minorEastAsia" w:eastAsiaTheme="minorEastAsia"/>
                <w:b/>
                <w:color w:val="000000"/>
                <w:sz w:val="20"/>
                <w:szCs w:val="20"/>
              </w:rPr>
              <w:t>课程目标</w:t>
            </w:r>
          </w:p>
          <w:p w14:paraId="68FBDB28">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（细化的预期学习成果）</w:t>
            </w:r>
          </w:p>
        </w:tc>
        <w:tc>
          <w:tcPr>
            <w:tcW w:w="2199" w:type="dxa"/>
            <w:shd w:val="clear" w:color="auto" w:fill="auto"/>
            <w:vAlign w:val="center"/>
          </w:tcPr>
          <w:p w14:paraId="0DFC89AC">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教与学方式</w:t>
            </w:r>
          </w:p>
        </w:tc>
        <w:tc>
          <w:tcPr>
            <w:tcW w:w="1276" w:type="dxa"/>
            <w:shd w:val="clear" w:color="auto" w:fill="auto"/>
            <w:vAlign w:val="center"/>
          </w:tcPr>
          <w:p w14:paraId="0664EE61">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评价方式</w:t>
            </w:r>
          </w:p>
        </w:tc>
      </w:tr>
      <w:tr w14:paraId="58159A4B">
        <w:trPr>
          <w:trHeight w:val="777" w:hRule="atLeast"/>
        </w:trPr>
        <w:tc>
          <w:tcPr>
            <w:tcW w:w="535" w:type="dxa"/>
            <w:vMerge w:val="restart"/>
            <w:shd w:val="clear" w:color="auto" w:fill="auto"/>
          </w:tcPr>
          <w:p w14:paraId="65A715C6">
            <w:pP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1</w:t>
            </w:r>
          </w:p>
        </w:tc>
        <w:tc>
          <w:tcPr>
            <w:tcW w:w="1175" w:type="dxa"/>
            <w:vMerge w:val="restart"/>
            <w:shd w:val="clear" w:color="auto" w:fill="auto"/>
          </w:tcPr>
          <w:p w14:paraId="66A449D4">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LO31</w:t>
            </w:r>
          </w:p>
        </w:tc>
        <w:tc>
          <w:tcPr>
            <w:tcW w:w="2470" w:type="dxa"/>
            <w:shd w:val="clear" w:color="auto" w:fill="auto"/>
          </w:tcPr>
          <w:p w14:paraId="053F6343">
            <w:pPr>
              <w:rPr>
                <w:rFonts w:asciiTheme="minorEastAsia" w:hAnsiTheme="minorEastAsia" w:eastAsiaTheme="minorEastAsia"/>
                <w:sz w:val="20"/>
                <w:szCs w:val="20"/>
              </w:rPr>
            </w:pPr>
            <w:r>
              <w:rPr>
                <w:rFonts w:hint="eastAsia" w:asciiTheme="minorEastAsia" w:hAnsiTheme="minorEastAsia" w:eastAsiaTheme="minorEastAsia"/>
                <w:sz w:val="20"/>
                <w:szCs w:val="20"/>
              </w:rPr>
              <w:t>1.理解并掌握英语语法、词汇基本知识。</w:t>
            </w:r>
          </w:p>
        </w:tc>
        <w:tc>
          <w:tcPr>
            <w:tcW w:w="2199" w:type="dxa"/>
            <w:shd w:val="clear" w:color="auto" w:fill="auto"/>
          </w:tcPr>
          <w:p w14:paraId="5B792E66">
            <w:pPr>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让学生课前预习，并在课堂内进行阅读理解的训练。</w:t>
            </w:r>
          </w:p>
        </w:tc>
        <w:tc>
          <w:tcPr>
            <w:tcW w:w="1276" w:type="dxa"/>
            <w:vMerge w:val="restart"/>
            <w:shd w:val="clear" w:color="auto" w:fill="auto"/>
            <w:vAlign w:val="center"/>
          </w:tcPr>
          <w:p w14:paraId="1A6FB55C">
            <w:pPr>
              <w:snapToGrid w:val="0"/>
              <w:spacing w:line="288" w:lineRule="auto"/>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测验和期末考试</w:t>
            </w:r>
          </w:p>
          <w:p w14:paraId="36D26EE8">
            <w:pPr>
              <w:rPr>
                <w:rFonts w:asciiTheme="minorEastAsia" w:hAnsiTheme="minorEastAsia" w:eastAsiaTheme="minorEastAsia"/>
                <w:sz w:val="20"/>
                <w:szCs w:val="20"/>
              </w:rPr>
            </w:pPr>
          </w:p>
          <w:p w14:paraId="75FF8F25">
            <w:pPr>
              <w:snapToGrid w:val="0"/>
              <w:spacing w:line="288" w:lineRule="auto"/>
              <w:jc w:val="center"/>
              <w:rPr>
                <w:rFonts w:hint="default" w:asciiTheme="minorEastAsia" w:hAnsiTheme="minorEastAsia" w:eastAsiaTheme="minorEastAsia"/>
                <w:sz w:val="20"/>
                <w:szCs w:val="20"/>
                <w:lang w:val="en-US"/>
              </w:rPr>
            </w:pPr>
          </w:p>
        </w:tc>
      </w:tr>
      <w:tr w14:paraId="46DC0609">
        <w:tc>
          <w:tcPr>
            <w:tcW w:w="535" w:type="dxa"/>
            <w:vMerge w:val="continue"/>
            <w:shd w:val="clear" w:color="auto" w:fill="auto"/>
          </w:tcPr>
          <w:p w14:paraId="18A077CE">
            <w:pPr>
              <w:rPr>
                <w:rFonts w:cs="宋体" w:asciiTheme="minorEastAsia" w:hAnsiTheme="minorEastAsia" w:eastAsiaTheme="minorEastAsia"/>
                <w:color w:val="000000"/>
                <w:kern w:val="0"/>
                <w:sz w:val="20"/>
                <w:szCs w:val="20"/>
              </w:rPr>
            </w:pPr>
          </w:p>
        </w:tc>
        <w:tc>
          <w:tcPr>
            <w:tcW w:w="1175" w:type="dxa"/>
            <w:vMerge w:val="continue"/>
            <w:shd w:val="clear" w:color="auto" w:fill="auto"/>
          </w:tcPr>
          <w:p w14:paraId="3ECC3A38">
            <w:pPr>
              <w:rPr>
                <w:rFonts w:cs="宋体" w:asciiTheme="minorEastAsia" w:hAnsiTheme="minorEastAsia" w:eastAsiaTheme="minorEastAsia"/>
                <w:color w:val="000000"/>
                <w:kern w:val="0"/>
                <w:sz w:val="20"/>
                <w:szCs w:val="20"/>
              </w:rPr>
            </w:pPr>
          </w:p>
        </w:tc>
        <w:tc>
          <w:tcPr>
            <w:tcW w:w="2470" w:type="dxa"/>
            <w:shd w:val="clear" w:color="auto" w:fill="auto"/>
          </w:tcPr>
          <w:p w14:paraId="634B36A7">
            <w:pPr>
              <w:rPr>
                <w:rFonts w:asciiTheme="minorEastAsia" w:hAnsiTheme="minorEastAsia" w:eastAsiaTheme="minorEastAsia"/>
                <w:sz w:val="20"/>
                <w:szCs w:val="20"/>
              </w:rPr>
            </w:pPr>
            <w:r>
              <w:rPr>
                <w:rFonts w:hint="eastAsia" w:asciiTheme="minorEastAsia" w:hAnsiTheme="minorEastAsia" w:eastAsiaTheme="minorEastAsia"/>
                <w:sz w:val="20"/>
                <w:szCs w:val="20"/>
              </w:rPr>
              <w:t>2.掌握深入阅读的方法，具备准确表达文章主旨及快速获取关键信息的能力。</w:t>
            </w:r>
          </w:p>
        </w:tc>
        <w:tc>
          <w:tcPr>
            <w:tcW w:w="2199" w:type="dxa"/>
            <w:shd w:val="clear" w:color="auto" w:fill="auto"/>
          </w:tcPr>
          <w:p w14:paraId="2DD75A93">
            <w:pPr>
              <w:jc w:val="left"/>
              <w:rPr>
                <w:rFonts w:asciiTheme="minorEastAsia" w:hAnsiTheme="minorEastAsia" w:eastAsiaTheme="minorEastAsia"/>
                <w:sz w:val="20"/>
                <w:szCs w:val="20"/>
              </w:rPr>
            </w:pPr>
            <w:r>
              <w:rPr>
                <w:rFonts w:hint="eastAsia" w:asciiTheme="minorEastAsia" w:hAnsiTheme="minorEastAsia" w:eastAsiaTheme="minorEastAsia"/>
                <w:sz w:val="20"/>
                <w:szCs w:val="20"/>
              </w:rPr>
              <w:t>老师通过课堂讲授进行示范、并组织学生进行讨论。</w:t>
            </w:r>
          </w:p>
        </w:tc>
        <w:tc>
          <w:tcPr>
            <w:tcW w:w="1276" w:type="dxa"/>
            <w:vMerge w:val="continue"/>
            <w:shd w:val="clear" w:color="auto" w:fill="auto"/>
          </w:tcPr>
          <w:p w14:paraId="1F8C7909">
            <w:pPr>
              <w:jc w:val="center"/>
              <w:rPr>
                <w:rFonts w:asciiTheme="minorEastAsia" w:hAnsiTheme="minorEastAsia" w:eastAsiaTheme="minorEastAsia"/>
                <w:sz w:val="20"/>
                <w:szCs w:val="20"/>
              </w:rPr>
            </w:pPr>
          </w:p>
        </w:tc>
      </w:tr>
      <w:tr w14:paraId="1798E0BC">
        <w:tc>
          <w:tcPr>
            <w:tcW w:w="535" w:type="dxa"/>
            <w:vMerge w:val="continue"/>
            <w:shd w:val="clear" w:color="auto" w:fill="auto"/>
          </w:tcPr>
          <w:p w14:paraId="33B46C3A">
            <w:pPr>
              <w:rPr>
                <w:rFonts w:cs="宋体" w:asciiTheme="minorEastAsia" w:hAnsiTheme="minorEastAsia" w:eastAsiaTheme="minorEastAsia"/>
                <w:color w:val="000000"/>
                <w:kern w:val="0"/>
                <w:sz w:val="20"/>
                <w:szCs w:val="20"/>
              </w:rPr>
            </w:pPr>
          </w:p>
        </w:tc>
        <w:tc>
          <w:tcPr>
            <w:tcW w:w="1175" w:type="dxa"/>
            <w:vMerge w:val="continue"/>
            <w:shd w:val="clear" w:color="auto" w:fill="auto"/>
          </w:tcPr>
          <w:p w14:paraId="59B6F018">
            <w:pPr>
              <w:rPr>
                <w:rFonts w:cs="宋体" w:asciiTheme="minorEastAsia" w:hAnsiTheme="minorEastAsia" w:eastAsiaTheme="minorEastAsia"/>
                <w:color w:val="000000"/>
                <w:kern w:val="0"/>
                <w:sz w:val="20"/>
                <w:szCs w:val="20"/>
              </w:rPr>
            </w:pPr>
          </w:p>
        </w:tc>
        <w:tc>
          <w:tcPr>
            <w:tcW w:w="2470" w:type="dxa"/>
            <w:shd w:val="clear" w:color="auto" w:fill="auto"/>
          </w:tcPr>
          <w:p w14:paraId="3245E170">
            <w:pPr>
              <w:rPr>
                <w:rFonts w:asciiTheme="minorEastAsia" w:hAnsiTheme="minorEastAsia" w:eastAsiaTheme="minorEastAsia"/>
                <w:sz w:val="20"/>
                <w:szCs w:val="20"/>
              </w:rPr>
            </w:pPr>
            <w:r>
              <w:rPr>
                <w:rFonts w:hint="eastAsia" w:asciiTheme="minorEastAsia" w:hAnsiTheme="minorEastAsia" w:eastAsiaTheme="minorEastAsia"/>
                <w:sz w:val="20"/>
                <w:szCs w:val="20"/>
              </w:rPr>
              <w:t>3.培养扎实的语言基本功和读、写、译等语言应用能力。</w:t>
            </w:r>
          </w:p>
        </w:tc>
        <w:tc>
          <w:tcPr>
            <w:tcW w:w="2199" w:type="dxa"/>
            <w:shd w:val="clear" w:color="auto" w:fill="auto"/>
          </w:tcPr>
          <w:p w14:paraId="4640A788">
            <w:pPr>
              <w:snapToGrid w:val="0"/>
              <w:spacing w:line="288" w:lineRule="auto"/>
              <w:jc w:val="left"/>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组织学生参加包含单词、写作或阅读的测验。</w:t>
            </w:r>
          </w:p>
        </w:tc>
        <w:tc>
          <w:tcPr>
            <w:tcW w:w="1276" w:type="dxa"/>
            <w:vMerge w:val="continue"/>
            <w:shd w:val="clear" w:color="auto" w:fill="auto"/>
            <w:vAlign w:val="center"/>
          </w:tcPr>
          <w:p w14:paraId="78C44F2B">
            <w:pPr>
              <w:snapToGrid w:val="0"/>
              <w:spacing w:line="288" w:lineRule="auto"/>
              <w:jc w:val="center"/>
              <w:rPr>
                <w:rFonts w:hint="default" w:asciiTheme="minorEastAsia" w:hAnsiTheme="minorEastAsia" w:eastAsiaTheme="minorEastAsia"/>
                <w:sz w:val="20"/>
                <w:szCs w:val="20"/>
                <w:lang w:val="en-US"/>
              </w:rPr>
            </w:pPr>
          </w:p>
        </w:tc>
      </w:tr>
      <w:tr w14:paraId="56749AD0">
        <w:tc>
          <w:tcPr>
            <w:tcW w:w="535" w:type="dxa"/>
            <w:vMerge w:val="restart"/>
            <w:shd w:val="clear" w:color="auto" w:fill="auto"/>
          </w:tcPr>
          <w:p w14:paraId="35A0A957">
            <w:pP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eastAsiaTheme="minorEastAsia"/>
                <w:color w:val="000000"/>
                <w:kern w:val="0"/>
                <w:sz w:val="20"/>
                <w:szCs w:val="20"/>
                <w:lang w:val="en-US" w:eastAsia="zh-CN"/>
              </w:rPr>
              <w:t>2</w:t>
            </w:r>
          </w:p>
        </w:tc>
        <w:tc>
          <w:tcPr>
            <w:tcW w:w="1175" w:type="dxa"/>
            <w:vMerge w:val="restart"/>
            <w:shd w:val="clear" w:color="auto" w:fill="auto"/>
          </w:tcPr>
          <w:p w14:paraId="6F02B84A">
            <w:pPr>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eastAsiaTheme="minorEastAsia"/>
                <w:color w:val="000000"/>
                <w:kern w:val="0"/>
                <w:sz w:val="20"/>
                <w:szCs w:val="20"/>
              </w:rPr>
              <w:t>LO3</w:t>
            </w:r>
            <w:r>
              <w:rPr>
                <w:rFonts w:hint="eastAsia" w:cs="宋体" w:asciiTheme="minorEastAsia" w:hAnsiTheme="minorEastAsia" w:eastAsiaTheme="minorEastAsia"/>
                <w:color w:val="000000"/>
                <w:kern w:val="0"/>
                <w:sz w:val="20"/>
                <w:szCs w:val="20"/>
                <w:lang w:val="en-US" w:eastAsia="zh-CN"/>
              </w:rPr>
              <w:t>3</w:t>
            </w:r>
          </w:p>
        </w:tc>
        <w:tc>
          <w:tcPr>
            <w:tcW w:w="2470" w:type="dxa"/>
            <w:shd w:val="clear" w:color="auto" w:fill="auto"/>
          </w:tcPr>
          <w:p w14:paraId="2F9BAA66">
            <w:pPr>
              <w:numPr>
                <w:ilvl w:val="0"/>
                <w:numId w:val="1"/>
              </w:numP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理解第四单元中关于牛津大学传达的文化理念：包容和个性，喧嚣和静谧，古典和创新</w:t>
            </w:r>
          </w:p>
          <w:p w14:paraId="06A77215">
            <w:pPr>
              <w:numPr>
                <w:ilvl w:val="0"/>
                <w:numId w:val="0"/>
              </w:numPr>
              <w:rPr>
                <w:rFonts w:hint="default" w:asciiTheme="minorEastAsia" w:hAnsiTheme="minorEastAsia" w:eastAsiaTheme="minorEastAsia"/>
                <w:sz w:val="20"/>
                <w:szCs w:val="20"/>
                <w:lang w:val="en-US" w:eastAsia="zh-CN"/>
              </w:rPr>
            </w:pPr>
          </w:p>
        </w:tc>
        <w:tc>
          <w:tcPr>
            <w:tcW w:w="2199" w:type="dxa"/>
            <w:shd w:val="clear" w:color="auto" w:fill="auto"/>
          </w:tcPr>
          <w:p w14:paraId="6AB4CD0B">
            <w:pPr>
              <w:numPr>
                <w:ilvl w:val="0"/>
                <w:numId w:val="0"/>
              </w:numPr>
              <w:snapToGrid w:val="0"/>
              <w:spacing w:line="288" w:lineRule="auto"/>
              <w:jc w:val="left"/>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让学生课前预习课文，在网上查找相关介绍。</w:t>
            </w:r>
          </w:p>
          <w:p w14:paraId="780526EA">
            <w:pPr>
              <w:numPr>
                <w:ilvl w:val="0"/>
                <w:numId w:val="0"/>
              </w:numPr>
              <w:snapToGrid w:val="0"/>
              <w:spacing w:line="288" w:lineRule="auto"/>
              <w:jc w:val="left"/>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课上针对某一话题展开讨论或作个人演讲。个人表现计入平时成绩。</w:t>
            </w:r>
          </w:p>
        </w:tc>
        <w:tc>
          <w:tcPr>
            <w:tcW w:w="1276" w:type="dxa"/>
            <w:shd w:val="clear" w:color="auto" w:fill="auto"/>
            <w:vAlign w:val="center"/>
          </w:tcPr>
          <w:p w14:paraId="7231F2E8">
            <w:pPr>
              <w:snapToGrid w:val="0"/>
              <w:spacing w:line="288" w:lineRule="auto"/>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平时成绩中的一项</w:t>
            </w:r>
          </w:p>
        </w:tc>
      </w:tr>
      <w:tr w14:paraId="16D3F2DA">
        <w:tc>
          <w:tcPr>
            <w:tcW w:w="535" w:type="dxa"/>
            <w:vMerge w:val="continue"/>
            <w:shd w:val="clear" w:color="auto" w:fill="auto"/>
          </w:tcPr>
          <w:p w14:paraId="38B7EA6A">
            <w:pPr>
              <w:rPr>
                <w:rFonts w:hint="eastAsia" w:cs="宋体" w:asciiTheme="minorEastAsia" w:hAnsiTheme="minorEastAsia" w:eastAsiaTheme="minorEastAsia"/>
                <w:color w:val="000000"/>
                <w:kern w:val="0"/>
                <w:sz w:val="20"/>
                <w:szCs w:val="20"/>
                <w:lang w:val="en-US" w:eastAsia="zh-CN"/>
              </w:rPr>
            </w:pPr>
          </w:p>
        </w:tc>
        <w:tc>
          <w:tcPr>
            <w:tcW w:w="1175" w:type="dxa"/>
            <w:vMerge w:val="continue"/>
            <w:shd w:val="clear" w:color="auto" w:fill="auto"/>
          </w:tcPr>
          <w:p w14:paraId="64AACD21">
            <w:pPr>
              <w:rPr>
                <w:rFonts w:hint="eastAsia" w:cs="宋体" w:asciiTheme="minorEastAsia" w:hAnsiTheme="minorEastAsia" w:eastAsiaTheme="minorEastAsia"/>
                <w:color w:val="000000"/>
                <w:kern w:val="0"/>
                <w:sz w:val="20"/>
                <w:szCs w:val="20"/>
              </w:rPr>
            </w:pPr>
          </w:p>
        </w:tc>
        <w:tc>
          <w:tcPr>
            <w:tcW w:w="2470" w:type="dxa"/>
            <w:shd w:val="clear" w:color="auto" w:fill="auto"/>
          </w:tcPr>
          <w:p w14:paraId="3879A180">
            <w:pPr>
              <w:numPr>
                <w:ilvl w:val="0"/>
                <w:numId w:val="1"/>
              </w:numPr>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了解第七单元传达的英法两国的民族个性差异：理解民族特性与历史，地理和制度紧密相关，随意模仿只会东施效颦。</w:t>
            </w:r>
          </w:p>
        </w:tc>
        <w:tc>
          <w:tcPr>
            <w:tcW w:w="2199" w:type="dxa"/>
            <w:shd w:val="clear" w:color="auto" w:fill="auto"/>
          </w:tcPr>
          <w:p w14:paraId="408B6FA5">
            <w:pPr>
              <w:snapToGrid w:val="0"/>
              <w:spacing w:line="288" w:lineRule="auto"/>
              <w:jc w:val="left"/>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让学生提前预习课文，查阅英法两国民族特点的纪录片，在班级群分享。课上针对某一话题深入阐述。个人表现计入平时成绩。</w:t>
            </w:r>
          </w:p>
        </w:tc>
        <w:tc>
          <w:tcPr>
            <w:tcW w:w="1276" w:type="dxa"/>
            <w:shd w:val="clear" w:color="auto" w:fill="auto"/>
            <w:vAlign w:val="center"/>
          </w:tcPr>
          <w:p w14:paraId="61191BA8">
            <w:pPr>
              <w:snapToGrid w:val="0"/>
              <w:spacing w:line="288" w:lineRule="auto"/>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平时成绩中的一项</w:t>
            </w:r>
          </w:p>
        </w:tc>
      </w:tr>
      <w:tr w14:paraId="018A3D64">
        <w:tc>
          <w:tcPr>
            <w:tcW w:w="535" w:type="dxa"/>
            <w:shd w:val="clear" w:color="auto" w:fill="auto"/>
          </w:tcPr>
          <w:p w14:paraId="6CB9CE3A">
            <w:pPr>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eastAsiaTheme="minorEastAsia"/>
                <w:color w:val="000000"/>
                <w:kern w:val="0"/>
                <w:sz w:val="20"/>
                <w:szCs w:val="20"/>
                <w:lang w:val="en-US" w:eastAsia="zh-CN"/>
              </w:rPr>
              <w:t>3</w:t>
            </w:r>
          </w:p>
        </w:tc>
        <w:tc>
          <w:tcPr>
            <w:tcW w:w="1175" w:type="dxa"/>
            <w:shd w:val="clear" w:color="auto" w:fill="auto"/>
          </w:tcPr>
          <w:p w14:paraId="112BF1E5">
            <w:pPr>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eastAsiaTheme="minorEastAsia"/>
                <w:color w:val="000000"/>
                <w:kern w:val="0"/>
                <w:sz w:val="20"/>
                <w:szCs w:val="20"/>
              </w:rPr>
              <w:t>LO</w:t>
            </w:r>
            <w:r>
              <w:rPr>
                <w:rFonts w:hint="eastAsia" w:cs="宋体" w:asciiTheme="minorEastAsia" w:hAnsiTheme="minorEastAsia" w:eastAsiaTheme="minorEastAsia"/>
                <w:color w:val="000000"/>
                <w:kern w:val="0"/>
                <w:sz w:val="20"/>
                <w:szCs w:val="20"/>
                <w:lang w:val="en-US" w:eastAsia="zh-CN"/>
              </w:rPr>
              <w:t>51</w:t>
            </w:r>
          </w:p>
        </w:tc>
        <w:tc>
          <w:tcPr>
            <w:tcW w:w="2470" w:type="dxa"/>
            <w:shd w:val="clear" w:color="auto" w:fill="auto"/>
          </w:tcPr>
          <w:p w14:paraId="0C2494F4">
            <w:pPr>
              <w:numPr>
                <w:ilvl w:val="0"/>
                <w:numId w:val="2"/>
              </w:numP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理解第六单元阐述的关于与人相处的诸多原则。</w:t>
            </w:r>
          </w:p>
          <w:p w14:paraId="33A47AF6">
            <w:pPr>
              <w:numPr>
                <w:ilvl w:val="0"/>
                <w:numId w:val="2"/>
              </w:numP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根据具体情况，在生活工作中灵活运用这些原则。</w:t>
            </w:r>
          </w:p>
        </w:tc>
        <w:tc>
          <w:tcPr>
            <w:tcW w:w="2199" w:type="dxa"/>
            <w:shd w:val="clear" w:color="auto" w:fill="auto"/>
          </w:tcPr>
          <w:p w14:paraId="0BEB23D2">
            <w:pPr>
              <w:snapToGrid w:val="0"/>
              <w:spacing w:line="288" w:lineRule="auto"/>
              <w:jc w:val="left"/>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让学生总结出课文列出的人与人的相处之道。结合个人情况，对某些建议深入阐述，可以个人汇报或小组汇报的形式。个人表现计入平时成绩。</w:t>
            </w:r>
          </w:p>
        </w:tc>
        <w:tc>
          <w:tcPr>
            <w:tcW w:w="1276" w:type="dxa"/>
            <w:shd w:val="clear" w:color="auto" w:fill="auto"/>
            <w:vAlign w:val="center"/>
          </w:tcPr>
          <w:p w14:paraId="02D66421">
            <w:pPr>
              <w:snapToGrid w:val="0"/>
              <w:spacing w:line="288" w:lineRule="auto"/>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平时成绩中的一项</w:t>
            </w:r>
          </w:p>
        </w:tc>
      </w:tr>
    </w:tbl>
    <w:p w14:paraId="0EC59165">
      <w:pPr>
        <w:snapToGrid w:val="0"/>
        <w:spacing w:line="300" w:lineRule="auto"/>
        <w:ind w:firstLine="210" w:firstLineChars="100"/>
        <w:rPr>
          <w:rFonts w:hint="eastAsia" w:asciiTheme="minorEastAsia" w:hAnsiTheme="minorEastAsia" w:eastAsiaTheme="minorEastAsia"/>
          <w:b/>
          <w:szCs w:val="21"/>
          <w:lang w:eastAsia="zh-CN"/>
        </w:rPr>
      </w:pPr>
    </w:p>
    <w:p w14:paraId="12E6EECC">
      <w:pPr>
        <w:snapToGrid w:val="0"/>
        <w:spacing w:line="300" w:lineRule="auto"/>
        <w:ind w:firstLine="240" w:firstLineChars="100"/>
        <w:rPr>
          <w:rFonts w:ascii="黑体" w:hAnsi="黑体" w:eastAsia="黑体"/>
          <w:b/>
          <w:sz w:val="24"/>
          <w:szCs w:val="24"/>
        </w:rPr>
      </w:pPr>
      <w:r>
        <w:rPr>
          <w:rFonts w:hint="eastAsia" w:ascii="黑体" w:hAnsi="黑体" w:eastAsia="黑体"/>
          <w:b/>
          <w:sz w:val="24"/>
          <w:szCs w:val="24"/>
        </w:rPr>
        <w:t>六．课程内容</w:t>
      </w:r>
    </w:p>
    <w:p w14:paraId="799E547D">
      <w:pPr>
        <w:snapToGrid w:val="0"/>
        <w:spacing w:line="300" w:lineRule="auto"/>
        <w:ind w:left="2140" w:leftChars="400" w:hanging="1300" w:hangingChars="650"/>
        <w:rPr>
          <w:rFonts w:hint="eastAsia" w:cs="宋体" w:asciiTheme="minorEastAsia" w:hAnsiTheme="minorEastAsia" w:eastAsiaTheme="minorEastAsia"/>
          <w:color w:val="000000"/>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5700"/>
        <w:gridCol w:w="1620"/>
        <w:gridCol w:w="797"/>
      </w:tblGrid>
      <w:tr w14:paraId="595C8796">
        <w:tc>
          <w:tcPr>
            <w:tcW w:w="403" w:type="dxa"/>
          </w:tcPr>
          <w:p w14:paraId="577EE374">
            <w:pPr>
              <w:snapToGrid w:val="0"/>
              <w:spacing w:line="300" w:lineRule="auto"/>
              <w:rPr>
                <w:rFonts w:hint="eastAsia" w:cs="宋体" w:asciiTheme="minorEastAsia" w:hAnsiTheme="minorEastAsia" w:eastAsiaTheme="minorEastAsia"/>
                <w:color w:val="000000"/>
                <w:sz w:val="20"/>
                <w:szCs w:val="20"/>
                <w:vertAlign w:val="baseline"/>
                <w:lang w:val="en-US" w:eastAsia="zh-CN"/>
              </w:rPr>
            </w:pPr>
          </w:p>
          <w:p w14:paraId="4415038A">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单元</w:t>
            </w:r>
          </w:p>
        </w:tc>
        <w:tc>
          <w:tcPr>
            <w:tcW w:w="5700" w:type="dxa"/>
          </w:tcPr>
          <w:p w14:paraId="33B592E7">
            <w:pPr>
              <w:snapToGrid w:val="0"/>
              <w:spacing w:line="300" w:lineRule="auto"/>
              <w:rPr>
                <w:rFonts w:hint="eastAsia" w:cs="宋体" w:asciiTheme="minorEastAsia" w:hAnsiTheme="minorEastAsia" w:eastAsiaTheme="minorEastAsia"/>
                <w:color w:val="000000"/>
                <w:sz w:val="20"/>
                <w:szCs w:val="20"/>
                <w:vertAlign w:val="baseline"/>
                <w:lang w:val="en-US" w:eastAsia="zh-CN"/>
              </w:rPr>
            </w:pPr>
          </w:p>
          <w:p w14:paraId="1C1E96F1">
            <w:pPr>
              <w:snapToGrid w:val="0"/>
              <w:spacing w:line="300" w:lineRule="auto"/>
              <w:rPr>
                <w:rFonts w:hint="eastAsia" w:cs="宋体" w:asciiTheme="minorEastAsia" w:hAnsiTheme="minorEastAsia" w:eastAsiaTheme="minorEastAsia"/>
                <w:color w:val="000000"/>
                <w:sz w:val="20"/>
                <w:szCs w:val="20"/>
                <w:vertAlign w:val="baseline"/>
                <w:lang w:val="en-US" w:eastAsia="zh-CN"/>
              </w:rPr>
            </w:pPr>
          </w:p>
          <w:p w14:paraId="2A368325">
            <w:pPr>
              <w:snapToGrid w:val="0"/>
              <w:spacing w:line="300" w:lineRule="auto"/>
              <w:jc w:val="center"/>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知识目标、能力目标和情感目标</w:t>
            </w:r>
          </w:p>
        </w:tc>
        <w:tc>
          <w:tcPr>
            <w:tcW w:w="1620" w:type="dxa"/>
          </w:tcPr>
          <w:p w14:paraId="45C6BDA0">
            <w:pPr>
              <w:snapToGrid w:val="0"/>
              <w:spacing w:line="300" w:lineRule="auto"/>
              <w:rPr>
                <w:rFonts w:hint="eastAsia" w:cs="宋体" w:asciiTheme="minorEastAsia" w:hAnsiTheme="minorEastAsia" w:eastAsiaTheme="minorEastAsia"/>
                <w:color w:val="000000"/>
                <w:sz w:val="20"/>
                <w:szCs w:val="20"/>
                <w:vertAlign w:val="baseline"/>
                <w:lang w:val="en-US" w:eastAsia="zh-CN"/>
              </w:rPr>
            </w:pPr>
          </w:p>
          <w:p w14:paraId="379A0D63">
            <w:pPr>
              <w:snapToGrid w:val="0"/>
              <w:spacing w:line="300" w:lineRule="auto"/>
              <w:rPr>
                <w:rFonts w:hint="eastAsia" w:cs="宋体" w:asciiTheme="minorEastAsia" w:hAnsiTheme="minorEastAsia" w:eastAsiaTheme="minorEastAsia"/>
                <w:color w:val="000000"/>
                <w:sz w:val="20"/>
                <w:szCs w:val="20"/>
                <w:vertAlign w:val="baseline"/>
                <w:lang w:val="en-US" w:eastAsia="zh-CN"/>
              </w:rPr>
            </w:pPr>
          </w:p>
          <w:p w14:paraId="6EE0C441">
            <w:pPr>
              <w:snapToGrid w:val="0"/>
              <w:spacing w:line="300" w:lineRule="auto"/>
              <w:ind w:firstLine="400" w:firstLineChars="200"/>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教学难点</w:t>
            </w:r>
          </w:p>
        </w:tc>
        <w:tc>
          <w:tcPr>
            <w:tcW w:w="797" w:type="dxa"/>
          </w:tcPr>
          <w:p w14:paraId="60436D5E">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ascii="宋体" w:hAnsi="宋体"/>
                <w:sz w:val="20"/>
                <w:szCs w:val="20"/>
              </w:rPr>
              <w:t>理论</w:t>
            </w:r>
            <w:r>
              <w:rPr>
                <w:rFonts w:hint="eastAsia" w:ascii="宋体" w:hAnsi="宋体"/>
                <w:sz w:val="20"/>
                <w:szCs w:val="20"/>
              </w:rPr>
              <w:t>/</w:t>
            </w:r>
            <w:r>
              <w:rPr>
                <w:rFonts w:ascii="宋体" w:hAnsi="宋体"/>
                <w:sz w:val="20"/>
                <w:szCs w:val="20"/>
              </w:rPr>
              <w:t>实践课时数</w:t>
            </w:r>
          </w:p>
        </w:tc>
      </w:tr>
      <w:tr w14:paraId="2A55410C">
        <w:tc>
          <w:tcPr>
            <w:tcW w:w="403" w:type="dxa"/>
          </w:tcPr>
          <w:p w14:paraId="3FD80BBF">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2</w:t>
            </w:r>
          </w:p>
        </w:tc>
        <w:tc>
          <w:tcPr>
            <w:tcW w:w="5700" w:type="dxa"/>
          </w:tcPr>
          <w:p w14:paraId="0065464C">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知识目标：</w:t>
            </w:r>
          </w:p>
          <w:p w14:paraId="6468A43A">
            <w:pPr>
              <w:numPr>
                <w:ilvl w:val="0"/>
                <w:numId w:val="3"/>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文章作者写作的意图及写法手法；</w:t>
            </w:r>
          </w:p>
          <w:p w14:paraId="3F6F29B4">
            <w:pPr>
              <w:numPr>
                <w:ilvl w:val="0"/>
                <w:numId w:val="3"/>
              </w:numPr>
              <w:snapToGrid w:val="0"/>
              <w:spacing w:line="300" w:lineRule="auto"/>
              <w:ind w:left="0" w:leftChars="0" w:firstLine="0" w:firstLineChars="0"/>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color w:val="000000"/>
                <w:sz w:val="20"/>
                <w:szCs w:val="20"/>
              </w:rPr>
              <w:t>作者以风趣的笔调，直言不讳的手法叙述</w:t>
            </w:r>
            <w:r>
              <w:rPr>
                <w:rFonts w:hint="eastAsia" w:cs="宋体" w:asciiTheme="minorEastAsia" w:hAnsiTheme="minorEastAsia" w:eastAsiaTheme="minorEastAsia"/>
                <w:color w:val="000000"/>
                <w:sz w:val="20"/>
                <w:szCs w:val="20"/>
                <w:lang w:eastAsia="zh-CN"/>
              </w:rPr>
              <w:t>，</w:t>
            </w:r>
            <w:r>
              <w:rPr>
                <w:rFonts w:hint="eastAsia" w:cs="宋体" w:asciiTheme="minorEastAsia" w:hAnsiTheme="minorEastAsia" w:eastAsiaTheme="minorEastAsia"/>
                <w:color w:val="000000"/>
                <w:sz w:val="20"/>
                <w:szCs w:val="20"/>
              </w:rPr>
              <w:t>整洁人物与散漫人物的品质差异</w:t>
            </w:r>
            <w:r>
              <w:rPr>
                <w:rFonts w:hint="eastAsia" w:cs="宋体" w:asciiTheme="minorEastAsia" w:hAnsiTheme="minorEastAsia" w:eastAsiaTheme="minorEastAsia"/>
                <w:color w:val="000000"/>
                <w:sz w:val="20"/>
                <w:szCs w:val="20"/>
                <w:lang w:eastAsia="zh-CN"/>
              </w:rPr>
              <w:t>。</w:t>
            </w:r>
          </w:p>
          <w:p w14:paraId="07C1065F">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能力目标：</w:t>
            </w:r>
          </w:p>
          <w:p w14:paraId="0AEDB8C4">
            <w:pPr>
              <w:numPr>
                <w:ilvl w:val="0"/>
                <w:numId w:val="4"/>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lang w:val="en-US" w:eastAsia="zh-CN"/>
              </w:rPr>
              <w:t>文章分别从哪几个方面列出了整洁</w:t>
            </w:r>
            <w:r>
              <w:rPr>
                <w:rFonts w:hint="eastAsia" w:cs="宋体" w:asciiTheme="minorEastAsia" w:hAnsiTheme="minorEastAsia" w:eastAsiaTheme="minorEastAsia"/>
                <w:b w:val="0"/>
                <w:bCs w:val="0"/>
                <w:color w:val="000000"/>
                <w:sz w:val="20"/>
                <w:szCs w:val="20"/>
              </w:rPr>
              <w:t>和懒散人物</w:t>
            </w:r>
            <w:r>
              <w:rPr>
                <w:rFonts w:hint="eastAsia" w:cs="宋体" w:asciiTheme="minorEastAsia" w:hAnsiTheme="minorEastAsia" w:eastAsiaTheme="minorEastAsia"/>
                <w:b w:val="0"/>
                <w:bCs w:val="0"/>
                <w:color w:val="000000"/>
                <w:sz w:val="20"/>
                <w:szCs w:val="20"/>
                <w:lang w:val="en-US" w:eastAsia="zh-CN"/>
              </w:rPr>
              <w:t>在道德方面的差异；</w:t>
            </w:r>
          </w:p>
          <w:p w14:paraId="56CAE9AD">
            <w:pPr>
              <w:numPr>
                <w:ilvl w:val="0"/>
                <w:numId w:val="4"/>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分析</w:t>
            </w:r>
            <w:r>
              <w:rPr>
                <w:rFonts w:hint="eastAsia" w:cs="宋体" w:asciiTheme="minorEastAsia" w:hAnsiTheme="minorEastAsia" w:eastAsiaTheme="minorEastAsia"/>
                <w:color w:val="000000"/>
                <w:sz w:val="20"/>
                <w:szCs w:val="20"/>
                <w:vertAlign w:val="baseline"/>
                <w:lang w:val="en-US" w:eastAsia="zh-CN"/>
              </w:rPr>
              <w:t>作者的写作手法。</w:t>
            </w:r>
          </w:p>
          <w:p w14:paraId="76D5FE56">
            <w:pPr>
              <w:numPr>
                <w:ilvl w:val="0"/>
                <w:numId w:val="0"/>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情感目标</w:t>
            </w:r>
            <w:r>
              <w:rPr>
                <w:rFonts w:hint="eastAsia" w:cs="宋体" w:asciiTheme="minorEastAsia" w:hAnsiTheme="minorEastAsia" w:eastAsiaTheme="minorEastAsia"/>
                <w:color w:val="000000"/>
                <w:sz w:val="20"/>
                <w:szCs w:val="20"/>
                <w:vertAlign w:val="baseline"/>
                <w:lang w:val="en-US" w:eastAsia="zh-CN"/>
              </w:rPr>
              <w:t>：</w:t>
            </w:r>
          </w:p>
          <w:p w14:paraId="3D0D39A1">
            <w:pPr>
              <w:numPr>
                <w:ilvl w:val="0"/>
                <w:numId w:val="5"/>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综合评价</w:t>
            </w:r>
            <w:r>
              <w:rPr>
                <w:rFonts w:hint="eastAsia" w:cs="宋体" w:asciiTheme="minorEastAsia" w:hAnsiTheme="minorEastAsia" w:eastAsiaTheme="minorEastAsia"/>
                <w:color w:val="000000"/>
                <w:sz w:val="20"/>
                <w:szCs w:val="20"/>
                <w:vertAlign w:val="baseline"/>
                <w:lang w:val="en-US" w:eastAsia="zh-CN"/>
              </w:rPr>
              <w:t>懒散人物对旧事物的情感依赖；</w:t>
            </w:r>
          </w:p>
          <w:p w14:paraId="6CBFD2AB">
            <w:pPr>
              <w:numPr>
                <w:ilvl w:val="0"/>
                <w:numId w:val="5"/>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综合评价</w:t>
            </w:r>
            <w:r>
              <w:rPr>
                <w:rFonts w:hint="eastAsia" w:cs="宋体" w:asciiTheme="minorEastAsia" w:hAnsiTheme="minorEastAsia" w:eastAsiaTheme="minorEastAsia"/>
                <w:color w:val="000000"/>
                <w:sz w:val="20"/>
                <w:szCs w:val="20"/>
                <w:vertAlign w:val="baseline"/>
                <w:lang w:val="en-US" w:eastAsia="zh-CN"/>
              </w:rPr>
              <w:t>整洁人物的冷酷无情。</w:t>
            </w:r>
          </w:p>
          <w:p w14:paraId="7CF4C727">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思政目标：</w:t>
            </w:r>
          </w:p>
          <w:p w14:paraId="2AD5B155">
            <w:p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作者戏剧化地分析了整洁的人不近人情，邋遢的人反而温暖可爱。教师帮助学生</w:t>
            </w: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同一现象，可以从不同的角度</w:t>
            </w:r>
            <w:r>
              <w:rPr>
                <w:rFonts w:hint="eastAsia" w:cs="宋体" w:asciiTheme="minorEastAsia" w:hAnsiTheme="minorEastAsia" w:eastAsiaTheme="minorEastAsia"/>
                <w:b/>
                <w:bCs/>
                <w:color w:val="000000"/>
                <w:sz w:val="20"/>
                <w:szCs w:val="20"/>
                <w:lang w:val="en-US" w:eastAsia="zh-CN"/>
              </w:rPr>
              <w:t>观察</w:t>
            </w:r>
            <w:r>
              <w:rPr>
                <w:rFonts w:hint="eastAsia" w:cs="宋体" w:asciiTheme="minorEastAsia" w:hAnsiTheme="minorEastAsia" w:eastAsiaTheme="minorEastAsia"/>
                <w:b w:val="0"/>
                <w:bCs w:val="0"/>
                <w:color w:val="000000"/>
                <w:sz w:val="20"/>
                <w:szCs w:val="20"/>
                <w:lang w:val="en-US" w:eastAsia="zh-CN"/>
              </w:rPr>
              <w:t>，形成不同的观点；真相不是简单片面的，有时换个思维模式</w:t>
            </w: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会更靠近真相。通过思维角度的转换，帮助学生</w:t>
            </w: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当前中美关系中的一些焦点问题。</w:t>
            </w:r>
          </w:p>
          <w:p w14:paraId="6F904C36">
            <w:pPr>
              <w:snapToGrid w:val="0"/>
              <w:spacing w:line="300" w:lineRule="auto"/>
              <w:rPr>
                <w:rFonts w:hint="default" w:cs="宋体" w:asciiTheme="minorEastAsia" w:hAnsiTheme="minorEastAsia" w:eastAsiaTheme="minorEastAsia"/>
                <w:color w:val="000000"/>
                <w:sz w:val="20"/>
                <w:szCs w:val="20"/>
                <w:vertAlign w:val="baseline"/>
                <w:lang w:val="en-US" w:eastAsia="zh-CN"/>
              </w:rPr>
            </w:pPr>
          </w:p>
        </w:tc>
        <w:tc>
          <w:tcPr>
            <w:tcW w:w="1620" w:type="dxa"/>
          </w:tcPr>
          <w:p w14:paraId="3CEBDB7A">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理解并能运用</w:t>
            </w:r>
            <w:r>
              <w:rPr>
                <w:rFonts w:hint="eastAsia" w:cs="宋体" w:asciiTheme="minorEastAsia" w:hAnsiTheme="minorEastAsia" w:eastAsiaTheme="minorEastAsia"/>
                <w:color w:val="000000"/>
                <w:sz w:val="20"/>
                <w:szCs w:val="20"/>
                <w:vertAlign w:val="baseline"/>
                <w:lang w:val="en-US" w:eastAsia="zh-CN"/>
              </w:rPr>
              <w:t>文章与众不同的写作技巧：</w:t>
            </w:r>
          </w:p>
          <w:p w14:paraId="22E90545">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独特的观点引起读者关注；</w:t>
            </w:r>
          </w:p>
          <w:p w14:paraId="46288DF9">
            <w:pPr>
              <w:snapToGrid w:val="0"/>
              <w:spacing w:line="300" w:lineRule="auto"/>
              <w:rPr>
                <w:rFonts w:hint="eastAsia"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重复和排比句形成强烈的逻辑闭环；</w:t>
            </w:r>
          </w:p>
          <w:p w14:paraId="4B866F51">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夸张比喻强调观点。</w:t>
            </w:r>
          </w:p>
          <w:p w14:paraId="5D2EF9F1">
            <w:pPr>
              <w:snapToGrid w:val="0"/>
              <w:spacing w:line="300" w:lineRule="auto"/>
              <w:rPr>
                <w:rFonts w:hint="default" w:cs="宋体" w:asciiTheme="minorEastAsia" w:hAnsiTheme="minorEastAsia" w:eastAsiaTheme="minorEastAsia"/>
                <w:color w:val="000000"/>
                <w:sz w:val="20"/>
                <w:szCs w:val="20"/>
                <w:vertAlign w:val="baseline"/>
                <w:lang w:val="en-US" w:eastAsia="zh-CN"/>
              </w:rPr>
            </w:pPr>
          </w:p>
        </w:tc>
        <w:tc>
          <w:tcPr>
            <w:tcW w:w="797" w:type="dxa"/>
          </w:tcPr>
          <w:p w14:paraId="65D65E30">
            <w:pPr>
              <w:snapToGrid w:val="0"/>
              <w:spacing w:line="288" w:lineRule="auto"/>
              <w:rPr>
                <w:rFonts w:ascii="宋体" w:hAnsi="宋体"/>
                <w:sz w:val="20"/>
                <w:szCs w:val="20"/>
              </w:rPr>
            </w:pPr>
            <w:r>
              <w:rPr>
                <w:rFonts w:hint="eastAsia" w:ascii="宋体" w:hAnsi="宋体"/>
                <w:sz w:val="20"/>
                <w:szCs w:val="20"/>
              </w:rPr>
              <w:t xml:space="preserve">理论 </w:t>
            </w:r>
          </w:p>
          <w:p w14:paraId="07210FCC">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ascii="宋体" w:hAnsi="宋体"/>
                <w:sz w:val="20"/>
                <w:szCs w:val="20"/>
                <w:lang w:val="en-US" w:eastAsia="zh-CN"/>
              </w:rPr>
              <w:t>6</w:t>
            </w:r>
            <w:r>
              <w:rPr>
                <w:rFonts w:hint="eastAsia" w:ascii="宋体" w:hAnsi="宋体"/>
                <w:sz w:val="20"/>
                <w:szCs w:val="20"/>
              </w:rPr>
              <w:t>课时</w:t>
            </w:r>
          </w:p>
        </w:tc>
      </w:tr>
      <w:tr w14:paraId="11C762F5">
        <w:tc>
          <w:tcPr>
            <w:tcW w:w="403" w:type="dxa"/>
          </w:tcPr>
          <w:p w14:paraId="29C5E6DE">
            <w:pPr>
              <w:numPr>
                <w:ilvl w:val="0"/>
                <w:numId w:val="0"/>
              </w:numPr>
              <w:snapToGrid w:val="0"/>
              <w:spacing w:line="300" w:lineRule="auto"/>
              <w:ind w:leftChars="0"/>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3</w:t>
            </w:r>
          </w:p>
        </w:tc>
        <w:tc>
          <w:tcPr>
            <w:tcW w:w="5700" w:type="dxa"/>
          </w:tcPr>
          <w:p w14:paraId="3052B34E">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知识目标：</w:t>
            </w:r>
          </w:p>
          <w:p w14:paraId="691AA6AC">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1.理解</w:t>
            </w:r>
            <w:r>
              <w:rPr>
                <w:rFonts w:hint="eastAsia" w:cs="宋体" w:asciiTheme="minorEastAsia" w:hAnsiTheme="minorEastAsia" w:eastAsiaTheme="minorEastAsia"/>
                <w:b w:val="0"/>
                <w:bCs w:val="0"/>
                <w:color w:val="000000"/>
                <w:sz w:val="20"/>
                <w:szCs w:val="20"/>
                <w:lang w:val="en-US" w:eastAsia="zh-CN"/>
              </w:rPr>
              <w:t>文章作者的写作意图与技巧；</w:t>
            </w:r>
          </w:p>
          <w:p w14:paraId="76FFE34C">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2. 知道</w:t>
            </w:r>
            <w:r>
              <w:rPr>
                <w:rFonts w:hint="eastAsia" w:cs="宋体" w:asciiTheme="minorEastAsia" w:hAnsiTheme="minorEastAsia" w:eastAsiaTheme="minorEastAsia"/>
                <w:b w:val="0"/>
                <w:bCs w:val="0"/>
                <w:color w:val="000000"/>
                <w:sz w:val="20"/>
                <w:szCs w:val="20"/>
                <w:lang w:val="en-US" w:eastAsia="zh-CN"/>
              </w:rPr>
              <w:t>有一种反常的心态出现在人们对待疼痛的态度上，其次是医学，医疗工业在误导，迫使一般善良人民群众心存对药物的依靠越来越强烈。</w:t>
            </w:r>
          </w:p>
          <w:p w14:paraId="0B936DCC">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能力目标：</w:t>
            </w:r>
          </w:p>
          <w:p w14:paraId="199C87DF">
            <w:pPr>
              <w:numPr>
                <w:ilvl w:val="0"/>
                <w:numId w:val="6"/>
              </w:num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学会运用</w:t>
            </w:r>
            <w:r>
              <w:rPr>
                <w:rFonts w:hint="eastAsia" w:cs="宋体" w:asciiTheme="minorEastAsia" w:hAnsiTheme="minorEastAsia" w:eastAsiaTheme="minorEastAsia"/>
                <w:b w:val="0"/>
                <w:bCs w:val="0"/>
                <w:color w:val="000000"/>
                <w:sz w:val="20"/>
                <w:szCs w:val="20"/>
                <w:lang w:val="en-US" w:eastAsia="zh-CN"/>
              </w:rPr>
              <w:t>一般话题的叙述，紧扣读者的心弦；</w:t>
            </w:r>
          </w:p>
          <w:p w14:paraId="5C0C6EB5">
            <w:pPr>
              <w:numPr>
                <w:ilvl w:val="0"/>
                <w:numId w:val="6"/>
              </w:num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能将本单元学到的医疗常识</w:t>
            </w:r>
            <w:r>
              <w:rPr>
                <w:rFonts w:hint="eastAsia" w:cs="宋体" w:asciiTheme="minorEastAsia" w:hAnsiTheme="minorEastAsia" w:eastAsiaTheme="minorEastAsia"/>
                <w:b/>
                <w:bCs/>
                <w:color w:val="000000"/>
                <w:sz w:val="20"/>
                <w:szCs w:val="20"/>
                <w:lang w:val="en-US" w:eastAsia="zh-CN"/>
              </w:rPr>
              <w:t>运用</w:t>
            </w:r>
            <w:r>
              <w:rPr>
                <w:rFonts w:hint="eastAsia" w:cs="宋体" w:asciiTheme="minorEastAsia" w:hAnsiTheme="minorEastAsia" w:eastAsiaTheme="minorEastAsia"/>
                <w:b w:val="0"/>
                <w:bCs w:val="0"/>
                <w:color w:val="000000"/>
                <w:sz w:val="20"/>
                <w:szCs w:val="20"/>
                <w:lang w:val="en-US" w:eastAsia="zh-CN"/>
              </w:rPr>
              <w:t>到日常生活中。</w:t>
            </w:r>
          </w:p>
          <w:p w14:paraId="091830FA">
            <w:pPr>
              <w:numPr>
                <w:ilvl w:val="0"/>
                <w:numId w:val="0"/>
              </w:num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情感目标：</w:t>
            </w:r>
          </w:p>
          <w:p w14:paraId="76A90E34">
            <w:pPr>
              <w:numPr>
                <w:ilvl w:val="0"/>
                <w:numId w:val="7"/>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能批判性</w:t>
            </w:r>
            <w:r>
              <w:rPr>
                <w:rFonts w:hint="eastAsia" w:cs="宋体" w:asciiTheme="minorEastAsia" w:hAnsiTheme="minorEastAsia" w:eastAsiaTheme="minorEastAsia"/>
                <w:b/>
                <w:bCs/>
                <w:color w:val="000000"/>
                <w:sz w:val="20"/>
                <w:szCs w:val="20"/>
                <w:lang w:val="en-US" w:eastAsia="zh-CN"/>
              </w:rPr>
              <w:t>评价</w:t>
            </w:r>
            <w:r>
              <w:rPr>
                <w:rFonts w:hint="eastAsia" w:cs="宋体" w:asciiTheme="minorEastAsia" w:hAnsiTheme="minorEastAsia" w:eastAsiaTheme="minorEastAsia"/>
                <w:b w:val="0"/>
                <w:bCs w:val="0"/>
                <w:color w:val="000000"/>
                <w:sz w:val="20"/>
                <w:szCs w:val="20"/>
                <w:lang w:val="en-US" w:eastAsia="zh-CN"/>
              </w:rPr>
              <w:t>医药行业的宣传活动；</w:t>
            </w:r>
          </w:p>
          <w:p w14:paraId="5F3FA11F">
            <w:pPr>
              <w:numPr>
                <w:ilvl w:val="0"/>
                <w:numId w:val="7"/>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能</w:t>
            </w:r>
            <w:r>
              <w:rPr>
                <w:rFonts w:hint="eastAsia" w:cs="宋体" w:asciiTheme="minorEastAsia" w:hAnsiTheme="minorEastAsia" w:eastAsiaTheme="minorEastAsia"/>
                <w:b/>
                <w:bCs/>
                <w:color w:val="000000"/>
                <w:sz w:val="20"/>
                <w:szCs w:val="20"/>
                <w:lang w:val="en-US" w:eastAsia="zh-CN"/>
              </w:rPr>
              <w:t>分析运用</w:t>
            </w:r>
            <w:r>
              <w:rPr>
                <w:rFonts w:hint="eastAsia" w:cs="宋体" w:asciiTheme="minorEastAsia" w:hAnsiTheme="minorEastAsia" w:eastAsiaTheme="minorEastAsia"/>
                <w:b w:val="0"/>
                <w:bCs w:val="0"/>
                <w:color w:val="000000"/>
                <w:sz w:val="20"/>
                <w:szCs w:val="20"/>
                <w:lang w:val="en-US" w:eastAsia="zh-CN"/>
              </w:rPr>
              <w:t>科学的健康观。</w:t>
            </w:r>
          </w:p>
          <w:p w14:paraId="11B5641E">
            <w:pPr>
              <w:numPr>
                <w:ilvl w:val="0"/>
                <w:numId w:val="0"/>
              </w:num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思政目标：</w:t>
            </w:r>
          </w:p>
          <w:p w14:paraId="2E024E1C">
            <w:pPr>
              <w:numPr>
                <w:ilvl w:val="0"/>
                <w:numId w:val="0"/>
              </w:numPr>
              <w:snapToGrid w:val="0"/>
              <w:spacing w:line="300" w:lineRule="auto"/>
              <w:rPr>
                <w:rFonts w:hint="default" w:cs="宋体" w:asciiTheme="minorEastAsia" w:hAnsiTheme="minorEastAsia" w:eastAsiaTheme="minorEastAsia"/>
                <w:b w:val="0"/>
                <w:bCs w:val="0"/>
                <w:i w:val="0"/>
                <w:i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让学生</w:t>
            </w: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b w:val="0"/>
                <w:bCs w:val="0"/>
                <w:color w:val="000000"/>
                <w:sz w:val="20"/>
                <w:szCs w:val="20"/>
                <w:lang w:val="en-US" w:eastAsia="zh-CN"/>
              </w:rPr>
              <w:t>，普通人的疼痛大多是情绪上的，帮助学生关注自身身体强大的自愈能力。在面对疼痛时，不要盲目求助于药物，要先培养自制力。帮助学生</w:t>
            </w: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，自制力的培养在个人成才过程中十分重要。</w:t>
            </w:r>
            <w:r>
              <w:rPr>
                <w:rFonts w:hint="eastAsia" w:cs="宋体" w:asciiTheme="minorEastAsia" w:hAnsiTheme="minorEastAsia" w:eastAsiaTheme="minorEastAsia"/>
                <w:b w:val="0"/>
                <w:bCs w:val="0"/>
                <w:i w:val="0"/>
                <w:iCs w:val="0"/>
                <w:color w:val="000000"/>
                <w:sz w:val="20"/>
                <w:szCs w:val="20"/>
                <w:lang w:val="en-US" w:eastAsia="zh-CN"/>
              </w:rPr>
              <w:t xml:space="preserve"> </w:t>
            </w:r>
          </w:p>
          <w:p w14:paraId="47C154A2">
            <w:pPr>
              <w:snapToGrid w:val="0"/>
              <w:spacing w:line="300" w:lineRule="auto"/>
              <w:rPr>
                <w:rFonts w:hint="eastAsia" w:cs="宋体" w:asciiTheme="minorEastAsia" w:hAnsiTheme="minorEastAsia" w:eastAsiaTheme="minorEastAsia"/>
                <w:b w:val="0"/>
                <w:bCs w:val="0"/>
                <w:color w:val="000000"/>
                <w:sz w:val="20"/>
                <w:szCs w:val="20"/>
                <w:lang w:val="en-US" w:eastAsia="zh-CN"/>
              </w:rPr>
            </w:pPr>
          </w:p>
          <w:p w14:paraId="6BD126A3">
            <w:pPr>
              <w:snapToGrid w:val="0"/>
              <w:spacing w:line="300" w:lineRule="auto"/>
              <w:rPr>
                <w:rFonts w:hint="default" w:cs="宋体" w:asciiTheme="minorEastAsia" w:hAnsiTheme="minorEastAsia" w:eastAsiaTheme="minorEastAsia"/>
                <w:color w:val="000000"/>
                <w:sz w:val="20"/>
                <w:szCs w:val="20"/>
                <w:vertAlign w:val="baseline"/>
                <w:lang w:val="en-US" w:eastAsia="zh-CN"/>
              </w:rPr>
            </w:pPr>
          </w:p>
        </w:tc>
        <w:tc>
          <w:tcPr>
            <w:tcW w:w="1620" w:type="dxa"/>
          </w:tcPr>
          <w:p w14:paraId="5DCE3755">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理解</w:t>
            </w:r>
            <w:r>
              <w:rPr>
                <w:rFonts w:hint="eastAsia" w:cs="宋体" w:asciiTheme="minorEastAsia" w:hAnsiTheme="minorEastAsia" w:eastAsiaTheme="minorEastAsia"/>
                <w:color w:val="000000"/>
                <w:sz w:val="20"/>
                <w:szCs w:val="20"/>
                <w:vertAlign w:val="baseline"/>
                <w:lang w:val="en-US" w:eastAsia="zh-CN"/>
              </w:rPr>
              <w:t>止痛药的治病原理和身体的运行规律</w:t>
            </w:r>
          </w:p>
        </w:tc>
        <w:tc>
          <w:tcPr>
            <w:tcW w:w="797" w:type="dxa"/>
          </w:tcPr>
          <w:p w14:paraId="7893EA0C">
            <w:pPr>
              <w:snapToGrid w:val="0"/>
              <w:spacing w:line="288" w:lineRule="auto"/>
              <w:rPr>
                <w:rFonts w:ascii="宋体" w:hAnsi="宋体"/>
                <w:sz w:val="20"/>
                <w:szCs w:val="20"/>
              </w:rPr>
            </w:pPr>
            <w:r>
              <w:rPr>
                <w:rFonts w:hint="eastAsia" w:ascii="宋体" w:hAnsi="宋体"/>
                <w:sz w:val="20"/>
                <w:szCs w:val="20"/>
              </w:rPr>
              <w:t xml:space="preserve">理论 </w:t>
            </w:r>
          </w:p>
          <w:p w14:paraId="5AA85654">
            <w:pPr>
              <w:snapToGrid w:val="0"/>
              <w:spacing w:line="300" w:lineRule="auto"/>
              <w:rPr>
                <w:rFonts w:hint="eastAsia" w:cs="宋体" w:asciiTheme="minorEastAsia" w:hAnsiTheme="minorEastAsia" w:eastAsiaTheme="minorEastAsia"/>
                <w:b/>
                <w:bCs/>
                <w:color w:val="000000"/>
                <w:sz w:val="20"/>
                <w:szCs w:val="20"/>
                <w:vertAlign w:val="baseline"/>
                <w:lang w:val="en-US" w:eastAsia="zh-CN"/>
              </w:rPr>
            </w:pPr>
            <w:r>
              <w:rPr>
                <w:rFonts w:hint="eastAsia" w:ascii="宋体" w:hAnsi="宋体"/>
                <w:sz w:val="20"/>
                <w:szCs w:val="20"/>
                <w:lang w:val="en-US" w:eastAsia="zh-CN"/>
              </w:rPr>
              <w:t>6</w:t>
            </w:r>
            <w:r>
              <w:rPr>
                <w:rFonts w:hint="eastAsia" w:ascii="宋体" w:hAnsi="宋体"/>
                <w:sz w:val="20"/>
                <w:szCs w:val="20"/>
              </w:rPr>
              <w:t>课时</w:t>
            </w:r>
          </w:p>
        </w:tc>
      </w:tr>
      <w:tr w14:paraId="18A17F0C">
        <w:tc>
          <w:tcPr>
            <w:tcW w:w="403" w:type="dxa"/>
          </w:tcPr>
          <w:p w14:paraId="30162C27">
            <w:pPr>
              <w:numPr>
                <w:ilvl w:val="0"/>
                <w:numId w:val="0"/>
              </w:numPr>
              <w:snapToGrid w:val="0"/>
              <w:spacing w:line="300" w:lineRule="auto"/>
              <w:ind w:leftChars="0"/>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color w:val="000000"/>
                <w:sz w:val="20"/>
                <w:szCs w:val="20"/>
                <w:vertAlign w:val="baseline"/>
                <w:lang w:val="en-US" w:eastAsia="zh-CN"/>
              </w:rPr>
              <w:t>4</w:t>
            </w:r>
          </w:p>
        </w:tc>
        <w:tc>
          <w:tcPr>
            <w:tcW w:w="5700" w:type="dxa"/>
          </w:tcPr>
          <w:p w14:paraId="6A140C55">
            <w:pPr>
              <w:snapToGrid w:val="0"/>
              <w:spacing w:line="300" w:lineRule="auto"/>
              <w:rPr>
                <w:rFonts w:hint="default"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知识目标：</w:t>
            </w:r>
          </w:p>
          <w:p w14:paraId="334C5721">
            <w:pPr>
              <w:numPr>
                <w:ilvl w:val="0"/>
                <w:numId w:val="8"/>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文章作者煞费苦心表达出读者不所知、不所见的</w:t>
            </w:r>
            <w:r>
              <w:rPr>
                <w:rFonts w:asciiTheme="minorEastAsia" w:hAnsiTheme="minorEastAsia" w:eastAsiaTheme="minorEastAsia"/>
                <w:color w:val="000000"/>
                <w:sz w:val="20"/>
                <w:szCs w:val="20"/>
              </w:rPr>
              <w:t>Oxford</w:t>
            </w:r>
            <w:r>
              <w:rPr>
                <w:rFonts w:hint="eastAsia" w:cs="宋体" w:asciiTheme="minorEastAsia" w:hAnsiTheme="minorEastAsia" w:eastAsiaTheme="minorEastAsia"/>
                <w:color w:val="000000"/>
                <w:sz w:val="20"/>
                <w:szCs w:val="20"/>
              </w:rPr>
              <w:t>，作者不花费很多笔墨在对高楼深院的的描绘，而是对人文情感的理解花了重笔叙述；</w:t>
            </w:r>
          </w:p>
          <w:p w14:paraId="101FA79A">
            <w:pPr>
              <w:numPr>
                <w:ilvl w:val="0"/>
                <w:numId w:val="8"/>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color w:val="000000"/>
                <w:sz w:val="20"/>
                <w:szCs w:val="20"/>
                <w:lang w:val="en-US" w:eastAsia="zh-CN"/>
              </w:rPr>
              <w:t>牛津大学的建筑风格和人文风格。</w:t>
            </w:r>
          </w:p>
          <w:p w14:paraId="14C97558">
            <w:pPr>
              <w:numPr>
                <w:ilvl w:val="0"/>
                <w:numId w:val="0"/>
              </w:numPr>
              <w:snapToGrid w:val="0"/>
              <w:spacing w:line="300" w:lineRule="auto"/>
              <w:ind w:leftChars="0"/>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能力目标：</w:t>
            </w:r>
          </w:p>
          <w:p w14:paraId="5538576C">
            <w:pPr>
              <w:numPr>
                <w:ilvl w:val="0"/>
                <w:numId w:val="9"/>
              </w:numPr>
              <w:snapToGrid w:val="0"/>
              <w:spacing w:line="300" w:lineRule="auto"/>
              <w:ind w:left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rPr>
              <w:t>通过这些高楼深院来描绘精神的不可知</w:t>
            </w:r>
            <w:r>
              <w:rPr>
                <w:rFonts w:hint="eastAsia" w:cs="宋体" w:asciiTheme="minorEastAsia" w:hAnsiTheme="minorEastAsia" w:eastAsiaTheme="minorEastAsia"/>
                <w:b w:val="0"/>
                <w:bCs w:val="0"/>
                <w:color w:val="000000"/>
                <w:sz w:val="20"/>
                <w:szCs w:val="20"/>
                <w:lang w:eastAsia="zh-CN"/>
              </w:rPr>
              <w:t>和</w:t>
            </w:r>
            <w:r>
              <w:rPr>
                <w:rFonts w:hint="eastAsia" w:cs="宋体" w:asciiTheme="minorEastAsia" w:hAnsiTheme="minorEastAsia" w:eastAsiaTheme="minorEastAsia"/>
                <w:b w:val="0"/>
                <w:bCs w:val="0"/>
                <w:color w:val="000000"/>
                <w:sz w:val="20"/>
                <w:szCs w:val="20"/>
              </w:rPr>
              <w:t>不可测深深扎根于宗教信仰</w:t>
            </w:r>
            <w:r>
              <w:rPr>
                <w:rFonts w:hint="eastAsia" w:cs="宋体" w:asciiTheme="minorEastAsia" w:hAnsiTheme="minorEastAsia" w:eastAsiaTheme="minorEastAsia"/>
                <w:b w:val="0"/>
                <w:bCs w:val="0"/>
                <w:color w:val="000000"/>
                <w:sz w:val="20"/>
                <w:szCs w:val="20"/>
                <w:lang w:eastAsia="zh-CN"/>
              </w:rPr>
              <w:t>；</w:t>
            </w:r>
          </w:p>
          <w:p w14:paraId="5FA9C2A0">
            <w:pPr>
              <w:numPr>
                <w:ilvl w:val="0"/>
                <w:numId w:val="9"/>
              </w:numPr>
              <w:snapToGrid w:val="0"/>
              <w:spacing w:line="300" w:lineRule="auto"/>
              <w:ind w:left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牛津大学对英国文化的影响。</w:t>
            </w:r>
          </w:p>
          <w:p w14:paraId="711C6506">
            <w:pPr>
              <w:numPr>
                <w:ilvl w:val="0"/>
                <w:numId w:val="0"/>
              </w:num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情感目标：</w:t>
            </w:r>
          </w:p>
          <w:p w14:paraId="2228CD98">
            <w:pPr>
              <w:numPr>
                <w:ilvl w:val="0"/>
                <w:numId w:val="10"/>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大学在一个国家的历史发展中的作用；</w:t>
            </w:r>
          </w:p>
          <w:p w14:paraId="0AD0D9D0">
            <w:pPr>
              <w:numPr>
                <w:ilvl w:val="0"/>
                <w:numId w:val="10"/>
              </w:numPr>
              <w:snapToGrid w:val="0"/>
              <w:spacing w:line="300" w:lineRule="auto"/>
              <w:ind w:left="0" w:leftChars="0" w:firstLine="0" w:firstLine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val="0"/>
                <w:bCs w:val="0"/>
                <w:color w:val="000000"/>
                <w:sz w:val="20"/>
                <w:szCs w:val="20"/>
                <w:lang w:val="en-US" w:eastAsia="zh-CN"/>
              </w:rPr>
              <w:t>将大学的影响力</w:t>
            </w:r>
            <w:r>
              <w:rPr>
                <w:rFonts w:hint="eastAsia" w:cs="宋体" w:asciiTheme="minorEastAsia" w:hAnsiTheme="minorEastAsia" w:eastAsiaTheme="minorEastAsia"/>
                <w:b/>
                <w:bCs/>
                <w:color w:val="000000"/>
                <w:sz w:val="20"/>
                <w:szCs w:val="20"/>
                <w:lang w:val="en-US" w:eastAsia="zh-CN"/>
              </w:rPr>
              <w:t>运用</w:t>
            </w:r>
            <w:r>
              <w:rPr>
                <w:rFonts w:hint="eastAsia" w:cs="宋体" w:asciiTheme="minorEastAsia" w:hAnsiTheme="minorEastAsia" w:eastAsiaTheme="minorEastAsia"/>
                <w:b w:val="0"/>
                <w:bCs w:val="0"/>
                <w:color w:val="000000"/>
                <w:sz w:val="20"/>
                <w:szCs w:val="20"/>
                <w:lang w:val="en-US" w:eastAsia="zh-CN"/>
              </w:rPr>
              <w:t>到个人的完善成才上。</w:t>
            </w:r>
          </w:p>
          <w:p w14:paraId="25C6DB01">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思政目标：</w:t>
            </w:r>
          </w:p>
          <w:p w14:paraId="2BD9726F">
            <w:pPr>
              <w:snapToGrid w:val="0"/>
              <w:spacing w:line="300" w:lineRule="auto"/>
              <w:rPr>
                <w:rFonts w:hint="default"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大学的本质是不是大楼而是传播人文精神，是让知识分子有尊严。结合中国实际，帮助学生</w:t>
            </w: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大学在一个国家的文化传承和强国富民过程中的作用。</w:t>
            </w:r>
          </w:p>
          <w:p w14:paraId="6FD43C2C">
            <w:pPr>
              <w:snapToGrid w:val="0"/>
              <w:spacing w:line="300" w:lineRule="auto"/>
              <w:rPr>
                <w:rFonts w:hint="default" w:cs="宋体" w:asciiTheme="minorEastAsia" w:hAnsiTheme="minorEastAsia" w:eastAsiaTheme="minorEastAsia"/>
                <w:color w:val="000000"/>
                <w:sz w:val="20"/>
                <w:szCs w:val="20"/>
                <w:vertAlign w:val="baseline"/>
                <w:lang w:val="en-US" w:eastAsia="zh-CN"/>
              </w:rPr>
            </w:pPr>
          </w:p>
        </w:tc>
        <w:tc>
          <w:tcPr>
            <w:tcW w:w="1620" w:type="dxa"/>
          </w:tcPr>
          <w:p w14:paraId="024CCB40">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理解</w:t>
            </w:r>
            <w:r>
              <w:rPr>
                <w:rFonts w:hint="eastAsia" w:cs="宋体" w:asciiTheme="minorEastAsia" w:hAnsiTheme="minorEastAsia" w:eastAsiaTheme="minorEastAsia"/>
                <w:color w:val="000000"/>
                <w:sz w:val="20"/>
                <w:szCs w:val="20"/>
                <w:vertAlign w:val="baseline"/>
                <w:lang w:val="en-US" w:eastAsia="zh-CN"/>
              </w:rPr>
              <w:t>牛津大学蕴含的文化价值：古典和现代；喧嚣和宁静；包容和进取</w:t>
            </w:r>
          </w:p>
        </w:tc>
        <w:tc>
          <w:tcPr>
            <w:tcW w:w="797" w:type="dxa"/>
          </w:tcPr>
          <w:p w14:paraId="493C134A">
            <w:pPr>
              <w:snapToGrid w:val="0"/>
              <w:spacing w:line="288" w:lineRule="auto"/>
              <w:rPr>
                <w:rFonts w:ascii="宋体" w:hAnsi="宋体"/>
                <w:sz w:val="20"/>
                <w:szCs w:val="20"/>
              </w:rPr>
            </w:pPr>
            <w:r>
              <w:rPr>
                <w:rFonts w:hint="eastAsia" w:ascii="宋体" w:hAnsi="宋体"/>
                <w:sz w:val="20"/>
                <w:szCs w:val="20"/>
              </w:rPr>
              <w:t xml:space="preserve">理论 </w:t>
            </w:r>
          </w:p>
          <w:p w14:paraId="684F00B6">
            <w:pPr>
              <w:snapToGrid w:val="0"/>
              <w:spacing w:line="300" w:lineRule="auto"/>
              <w:rPr>
                <w:rFonts w:hint="eastAsia" w:cs="宋体" w:asciiTheme="minorEastAsia" w:hAnsiTheme="minorEastAsia" w:eastAsiaTheme="minorEastAsia"/>
                <w:b/>
                <w:bCs/>
                <w:color w:val="000000"/>
                <w:sz w:val="20"/>
                <w:szCs w:val="20"/>
                <w:vertAlign w:val="baseline"/>
                <w:lang w:val="en-US" w:eastAsia="zh-CN"/>
              </w:rPr>
            </w:pPr>
            <w:r>
              <w:rPr>
                <w:rFonts w:hint="eastAsia" w:ascii="宋体" w:hAnsi="宋体"/>
                <w:sz w:val="20"/>
                <w:szCs w:val="20"/>
                <w:lang w:val="en-US" w:eastAsia="zh-CN"/>
              </w:rPr>
              <w:t>7</w:t>
            </w:r>
            <w:r>
              <w:rPr>
                <w:rFonts w:hint="eastAsia" w:ascii="宋体" w:hAnsi="宋体"/>
                <w:sz w:val="20"/>
                <w:szCs w:val="20"/>
              </w:rPr>
              <w:t>课时</w:t>
            </w:r>
          </w:p>
        </w:tc>
      </w:tr>
      <w:tr w14:paraId="7552EFAE">
        <w:tc>
          <w:tcPr>
            <w:tcW w:w="403" w:type="dxa"/>
          </w:tcPr>
          <w:p w14:paraId="463AE394">
            <w:pPr>
              <w:numPr>
                <w:ilvl w:val="0"/>
                <w:numId w:val="11"/>
              </w:numPr>
              <w:snapToGrid w:val="0"/>
              <w:spacing w:line="300" w:lineRule="auto"/>
              <w:ind w:leftChars="0"/>
              <w:rPr>
                <w:rFonts w:hint="default" w:cs="宋体" w:asciiTheme="minorEastAsia" w:hAnsiTheme="minorEastAsia" w:eastAsiaTheme="minorEastAsia"/>
                <w:color w:val="000000"/>
                <w:sz w:val="20"/>
                <w:szCs w:val="20"/>
                <w:vertAlign w:val="baseline"/>
                <w:lang w:val="en-US" w:eastAsia="zh-CN"/>
              </w:rPr>
            </w:pPr>
          </w:p>
        </w:tc>
        <w:tc>
          <w:tcPr>
            <w:tcW w:w="5700" w:type="dxa"/>
          </w:tcPr>
          <w:p w14:paraId="636D6D8B">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知识目标：</w:t>
            </w:r>
          </w:p>
          <w:p w14:paraId="7583303A">
            <w:pPr>
              <w:numPr>
                <w:ilvl w:val="0"/>
                <w:numId w:val="12"/>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文章作者的写作意图；</w:t>
            </w:r>
          </w:p>
          <w:p w14:paraId="3100D2C7">
            <w:pPr>
              <w:numPr>
                <w:ilvl w:val="0"/>
                <w:numId w:val="12"/>
              </w:numPr>
              <w:snapToGrid w:val="0"/>
              <w:spacing w:line="300" w:lineRule="auto"/>
              <w:ind w:left="0" w:leftChars="0" w:firstLine="0" w:firstLineChars="0"/>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color w:val="000000"/>
                <w:sz w:val="20"/>
                <w:szCs w:val="20"/>
              </w:rPr>
              <w:t>现代生活方式的特点是以牺牲个人时间空间为代价，作者以</w:t>
            </w:r>
            <w:r>
              <w:rPr>
                <w:rFonts w:hint="eastAsia" w:cs="宋体" w:asciiTheme="minorEastAsia" w:hAnsiTheme="minorEastAsia" w:eastAsiaTheme="minorEastAsia"/>
                <w:color w:val="000000"/>
                <w:sz w:val="20"/>
                <w:szCs w:val="20"/>
                <w:lang w:val="en-US" w:eastAsia="zh-CN"/>
              </w:rPr>
              <w:t>细致</w:t>
            </w:r>
            <w:r>
              <w:rPr>
                <w:rFonts w:hint="eastAsia" w:cs="宋体" w:asciiTheme="minorEastAsia" w:hAnsiTheme="minorEastAsia" w:eastAsiaTheme="minorEastAsia"/>
                <w:color w:val="000000"/>
                <w:sz w:val="20"/>
                <w:szCs w:val="20"/>
              </w:rPr>
              <w:t>的文笔描绘普通人生活的重要性，也通过那些大人物的经历和传奇叙述让读者</w:t>
            </w:r>
            <w:r>
              <w:rPr>
                <w:rFonts w:hint="eastAsia" w:cs="宋体" w:asciiTheme="minorEastAsia" w:hAnsiTheme="minorEastAsia" w:eastAsiaTheme="minorEastAsia"/>
                <w:b/>
                <w:bCs/>
                <w:color w:val="000000"/>
                <w:sz w:val="20"/>
                <w:szCs w:val="20"/>
              </w:rPr>
              <w:t>体会</w:t>
            </w:r>
            <w:r>
              <w:rPr>
                <w:rFonts w:hint="eastAsia" w:cs="宋体" w:asciiTheme="minorEastAsia" w:hAnsiTheme="minorEastAsia" w:eastAsiaTheme="minorEastAsia"/>
                <w:color w:val="000000"/>
                <w:sz w:val="20"/>
                <w:szCs w:val="20"/>
              </w:rPr>
              <w:t>到那些大人物对生活的</w:t>
            </w:r>
            <w:r>
              <w:rPr>
                <w:rFonts w:hint="eastAsia" w:cs="宋体" w:asciiTheme="minorEastAsia" w:hAnsiTheme="minorEastAsia" w:eastAsiaTheme="minorEastAsia"/>
                <w:color w:val="000000"/>
                <w:sz w:val="20"/>
                <w:szCs w:val="20"/>
                <w:lang w:val="en-US" w:eastAsia="zh-CN"/>
              </w:rPr>
              <w:t>追</w:t>
            </w:r>
            <w:r>
              <w:rPr>
                <w:rFonts w:hint="eastAsia" w:cs="宋体" w:asciiTheme="minorEastAsia" w:hAnsiTheme="minorEastAsia" w:eastAsiaTheme="minorEastAsia"/>
                <w:color w:val="000000"/>
                <w:sz w:val="20"/>
                <w:szCs w:val="20"/>
              </w:rPr>
              <w:t>求也与一般普通人极为相近</w:t>
            </w:r>
            <w:r>
              <w:rPr>
                <w:rFonts w:hint="eastAsia" w:cs="宋体" w:asciiTheme="minorEastAsia" w:hAnsiTheme="minorEastAsia" w:eastAsiaTheme="minorEastAsia"/>
                <w:color w:val="000000"/>
                <w:sz w:val="20"/>
                <w:szCs w:val="20"/>
                <w:lang w:eastAsia="zh-CN"/>
              </w:rPr>
              <w:t>。</w:t>
            </w:r>
          </w:p>
          <w:p w14:paraId="2BA0089C">
            <w:pPr>
              <w:numPr>
                <w:ilvl w:val="0"/>
                <w:numId w:val="0"/>
              </w:numPr>
              <w:snapToGrid w:val="0"/>
              <w:spacing w:line="300" w:lineRule="auto"/>
              <w:ind w:leftChars="0"/>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能力目标：</w:t>
            </w:r>
          </w:p>
          <w:p w14:paraId="28E93F8A">
            <w:pPr>
              <w:numPr>
                <w:ilvl w:val="0"/>
                <w:numId w:val="13"/>
              </w:numPr>
              <w:snapToGrid w:val="0"/>
              <w:spacing w:line="300" w:lineRule="auto"/>
              <w:ind w:leftChars="0"/>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rPr>
              <w:t>大人物与小百姓要和睦相处，看淡冲突与地位上的差异</w:t>
            </w:r>
            <w:r>
              <w:rPr>
                <w:rFonts w:hint="eastAsia" w:cs="宋体" w:asciiTheme="minorEastAsia" w:hAnsiTheme="minorEastAsia" w:eastAsiaTheme="minorEastAsia"/>
                <w:b w:val="0"/>
                <w:bCs w:val="0"/>
                <w:color w:val="000000"/>
                <w:sz w:val="20"/>
                <w:szCs w:val="20"/>
                <w:lang w:eastAsia="zh-CN"/>
              </w:rPr>
              <w:t>；</w:t>
            </w:r>
          </w:p>
          <w:p w14:paraId="45F3D9B9">
            <w:pPr>
              <w:numPr>
                <w:ilvl w:val="0"/>
                <w:numId w:val="13"/>
              </w:numPr>
              <w:snapToGrid w:val="0"/>
              <w:spacing w:line="300" w:lineRule="auto"/>
              <w:ind w:leftChars="0"/>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人性共通的本质。</w:t>
            </w:r>
          </w:p>
          <w:p w14:paraId="44D53B47">
            <w:pPr>
              <w:numPr>
                <w:ilvl w:val="0"/>
                <w:numId w:val="0"/>
              </w:num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情感目标：</w:t>
            </w:r>
          </w:p>
          <w:p w14:paraId="20ADF327">
            <w:pPr>
              <w:numPr>
                <w:ilvl w:val="0"/>
                <w:numId w:val="14"/>
              </w:numPr>
              <w:snapToGrid w:val="0"/>
              <w:spacing w:line="300" w:lineRule="auto"/>
              <w:rPr>
                <w:rFonts w:asciiTheme="minorEastAsia" w:hAnsiTheme="minorEastAsia" w:eastAsiaTheme="minorEastAsia"/>
                <w:b w:val="0"/>
                <w:bCs w:val="0"/>
                <w:color w:val="000000"/>
                <w:sz w:val="20"/>
                <w:szCs w:val="20"/>
              </w:rPr>
            </w:pPr>
            <w:r>
              <w:rPr>
                <w:rFonts w:hint="eastAsia" w:asciiTheme="minorEastAsia" w:hAnsiTheme="minorEastAsia" w:eastAsiaTheme="minorEastAsia"/>
                <w:b w:val="0"/>
                <w:bCs w:val="0"/>
                <w:color w:val="000000"/>
                <w:sz w:val="20"/>
                <w:szCs w:val="20"/>
                <w:lang w:val="en-US" w:eastAsia="zh-CN"/>
              </w:rPr>
              <w:t>理解换位思考的重要性；</w:t>
            </w:r>
          </w:p>
          <w:p w14:paraId="3143CE11">
            <w:pPr>
              <w:numPr>
                <w:ilvl w:val="0"/>
                <w:numId w:val="14"/>
              </w:numPr>
              <w:snapToGrid w:val="0"/>
              <w:spacing w:line="300" w:lineRule="auto"/>
              <w:rPr>
                <w:rFonts w:asciiTheme="minorEastAsia" w:hAnsiTheme="minorEastAsia" w:eastAsiaTheme="minorEastAsia"/>
                <w:b w:val="0"/>
                <w:bCs w:val="0"/>
                <w:color w:val="000000"/>
                <w:sz w:val="20"/>
                <w:szCs w:val="20"/>
              </w:rPr>
            </w:pPr>
            <w:r>
              <w:rPr>
                <w:rFonts w:hint="eastAsia" w:asciiTheme="minorEastAsia" w:hAnsiTheme="minorEastAsia" w:eastAsiaTheme="minorEastAsia"/>
                <w:b w:val="0"/>
                <w:bCs w:val="0"/>
                <w:color w:val="000000"/>
                <w:sz w:val="20"/>
                <w:szCs w:val="20"/>
                <w:lang w:val="en-US" w:eastAsia="zh-CN"/>
              </w:rPr>
              <w:t>在人际交往中能灵活</w:t>
            </w:r>
            <w:r>
              <w:rPr>
                <w:rFonts w:hint="eastAsia" w:asciiTheme="minorEastAsia" w:hAnsiTheme="minorEastAsia" w:eastAsiaTheme="minorEastAsia"/>
                <w:b/>
                <w:bCs/>
                <w:color w:val="000000"/>
                <w:sz w:val="20"/>
                <w:szCs w:val="20"/>
                <w:lang w:val="en-US" w:eastAsia="zh-CN"/>
              </w:rPr>
              <w:t>运用</w:t>
            </w:r>
            <w:r>
              <w:rPr>
                <w:rFonts w:hint="eastAsia" w:asciiTheme="minorEastAsia" w:hAnsiTheme="minorEastAsia" w:eastAsiaTheme="minorEastAsia"/>
                <w:b w:val="0"/>
                <w:bCs w:val="0"/>
                <w:color w:val="000000"/>
                <w:sz w:val="20"/>
                <w:szCs w:val="20"/>
                <w:lang w:val="en-US" w:eastAsia="zh-CN"/>
              </w:rPr>
              <w:t>理智和情感的原则。</w:t>
            </w:r>
          </w:p>
          <w:p w14:paraId="601553B1">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思政目标：</w:t>
            </w:r>
          </w:p>
          <w:p w14:paraId="75A61A48">
            <w:pPr>
              <w:snapToGrid w:val="0"/>
              <w:spacing w:line="300" w:lineRule="auto"/>
              <w:rPr>
                <w:rFonts w:hint="default"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人与人之间的差异性是普遍存在的，求同存异是处理人际关系的前提。不对他人奢望过高会让关系更融洽，有时候沉默是金。</w:t>
            </w:r>
          </w:p>
          <w:p w14:paraId="6E4453AA">
            <w:pPr>
              <w:snapToGrid w:val="0"/>
              <w:spacing w:line="300" w:lineRule="auto"/>
              <w:rPr>
                <w:rFonts w:hint="default" w:cs="宋体" w:asciiTheme="minorEastAsia" w:hAnsiTheme="minorEastAsia" w:eastAsiaTheme="minorEastAsia"/>
                <w:color w:val="000000"/>
                <w:sz w:val="20"/>
                <w:szCs w:val="20"/>
                <w:vertAlign w:val="baseline"/>
                <w:lang w:val="en-US" w:eastAsia="zh-CN"/>
              </w:rPr>
            </w:pPr>
          </w:p>
        </w:tc>
        <w:tc>
          <w:tcPr>
            <w:tcW w:w="1620" w:type="dxa"/>
          </w:tcPr>
          <w:p w14:paraId="1635DB92">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理解</w:t>
            </w:r>
            <w:r>
              <w:rPr>
                <w:rFonts w:hint="eastAsia" w:cs="宋体" w:asciiTheme="minorEastAsia" w:hAnsiTheme="minorEastAsia" w:eastAsiaTheme="minorEastAsia"/>
                <w:color w:val="000000"/>
                <w:sz w:val="20"/>
                <w:szCs w:val="20"/>
                <w:vertAlign w:val="baseline"/>
                <w:lang w:val="en-US" w:eastAsia="zh-CN"/>
              </w:rPr>
              <w:t>保持个性和与人为善的辩证法</w:t>
            </w:r>
          </w:p>
        </w:tc>
        <w:tc>
          <w:tcPr>
            <w:tcW w:w="797" w:type="dxa"/>
          </w:tcPr>
          <w:p w14:paraId="52807877">
            <w:pPr>
              <w:snapToGrid w:val="0"/>
              <w:spacing w:line="288" w:lineRule="auto"/>
              <w:rPr>
                <w:rFonts w:ascii="宋体" w:hAnsi="宋体"/>
                <w:sz w:val="20"/>
                <w:szCs w:val="20"/>
              </w:rPr>
            </w:pPr>
            <w:r>
              <w:rPr>
                <w:rFonts w:hint="eastAsia" w:ascii="宋体" w:hAnsi="宋体"/>
                <w:sz w:val="20"/>
                <w:szCs w:val="20"/>
              </w:rPr>
              <w:t xml:space="preserve">理论 </w:t>
            </w:r>
          </w:p>
          <w:p w14:paraId="4CFD990E">
            <w:pPr>
              <w:snapToGrid w:val="0"/>
              <w:spacing w:line="300" w:lineRule="auto"/>
              <w:rPr>
                <w:rFonts w:hint="eastAsia" w:cs="宋体" w:asciiTheme="minorEastAsia" w:hAnsiTheme="minorEastAsia" w:eastAsiaTheme="minorEastAsia"/>
                <w:b/>
                <w:bCs/>
                <w:color w:val="000000"/>
                <w:sz w:val="20"/>
                <w:szCs w:val="20"/>
                <w:vertAlign w:val="baseline"/>
                <w:lang w:val="en-US" w:eastAsia="zh-CN"/>
              </w:rPr>
            </w:pPr>
            <w:r>
              <w:rPr>
                <w:rFonts w:hint="eastAsia" w:ascii="宋体" w:hAnsi="宋体"/>
                <w:sz w:val="20"/>
                <w:szCs w:val="20"/>
                <w:lang w:val="en-US" w:eastAsia="zh-CN"/>
              </w:rPr>
              <w:t>7</w:t>
            </w:r>
            <w:r>
              <w:rPr>
                <w:rFonts w:hint="eastAsia" w:ascii="宋体" w:hAnsi="宋体"/>
                <w:sz w:val="20"/>
                <w:szCs w:val="20"/>
              </w:rPr>
              <w:t>课时</w:t>
            </w:r>
          </w:p>
        </w:tc>
      </w:tr>
      <w:tr w14:paraId="362F7904">
        <w:tc>
          <w:tcPr>
            <w:tcW w:w="403" w:type="dxa"/>
          </w:tcPr>
          <w:p w14:paraId="3F87B335">
            <w:pPr>
              <w:numPr>
                <w:ilvl w:val="0"/>
                <w:numId w:val="11"/>
              </w:numPr>
              <w:snapToGrid w:val="0"/>
              <w:spacing w:line="300" w:lineRule="auto"/>
              <w:ind w:leftChars="0"/>
              <w:rPr>
                <w:rFonts w:hint="default" w:cs="宋体" w:asciiTheme="minorEastAsia" w:hAnsiTheme="minorEastAsia" w:eastAsiaTheme="minorEastAsia"/>
                <w:color w:val="000000"/>
                <w:sz w:val="20"/>
                <w:szCs w:val="20"/>
                <w:vertAlign w:val="baseline"/>
                <w:lang w:val="en-US" w:eastAsia="zh-CN"/>
              </w:rPr>
            </w:pPr>
          </w:p>
        </w:tc>
        <w:tc>
          <w:tcPr>
            <w:tcW w:w="5700" w:type="dxa"/>
          </w:tcPr>
          <w:p w14:paraId="564D9F53">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知识目标：</w:t>
            </w:r>
          </w:p>
          <w:p w14:paraId="74AC0889">
            <w:pPr>
              <w:numPr>
                <w:ilvl w:val="0"/>
                <w:numId w:val="15"/>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文章作者的写作意图与写作手法；</w:t>
            </w:r>
          </w:p>
          <w:p w14:paraId="0EB0C77F">
            <w:pPr>
              <w:numPr>
                <w:ilvl w:val="0"/>
                <w:numId w:val="15"/>
              </w:numPr>
              <w:snapToGrid w:val="0"/>
              <w:spacing w:line="300" w:lineRule="auto"/>
              <w:ind w:left="0" w:leftChars="0" w:firstLine="0" w:firstLineChars="0"/>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color w:val="000000"/>
                <w:sz w:val="20"/>
                <w:szCs w:val="20"/>
                <w:lang w:val="en-US" w:eastAsia="zh-CN"/>
              </w:rPr>
              <w:t>英法两国的重大历史事件和宗教事件。</w:t>
            </w:r>
          </w:p>
          <w:p w14:paraId="6669BF3D">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能力目标：</w:t>
            </w:r>
          </w:p>
          <w:p w14:paraId="64A9C926">
            <w:pPr>
              <w:numPr>
                <w:ilvl w:val="0"/>
                <w:numId w:val="16"/>
              </w:numPr>
              <w:snapToGrid w:val="0"/>
              <w:spacing w:line="300" w:lineRule="auto"/>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color w:val="000000"/>
                <w:sz w:val="20"/>
                <w:szCs w:val="20"/>
                <w:lang w:val="en-US" w:eastAsia="zh-CN"/>
              </w:rPr>
              <w:t>在实际生活中会</w:t>
            </w:r>
            <w:r>
              <w:rPr>
                <w:rFonts w:hint="eastAsia" w:cs="宋体" w:asciiTheme="minorEastAsia" w:hAnsiTheme="minorEastAsia" w:eastAsiaTheme="minorEastAsia"/>
                <w:b/>
                <w:bCs/>
                <w:color w:val="000000"/>
                <w:sz w:val="20"/>
                <w:szCs w:val="20"/>
                <w:lang w:val="en-US" w:eastAsia="zh-CN"/>
              </w:rPr>
              <w:t>运用</w:t>
            </w:r>
            <w:r>
              <w:rPr>
                <w:rFonts w:hint="eastAsia" w:cs="宋体" w:asciiTheme="minorEastAsia" w:hAnsiTheme="minorEastAsia" w:eastAsiaTheme="minorEastAsia"/>
                <w:color w:val="000000"/>
                <w:sz w:val="20"/>
                <w:szCs w:val="20"/>
                <w:lang w:val="en-US" w:eastAsia="zh-CN"/>
              </w:rPr>
              <w:t>，</w:t>
            </w:r>
            <w:r>
              <w:rPr>
                <w:rFonts w:hint="eastAsia" w:cs="宋体" w:asciiTheme="minorEastAsia" w:hAnsiTheme="minorEastAsia" w:eastAsiaTheme="minorEastAsia"/>
                <w:b w:val="0"/>
                <w:bCs w:val="0"/>
                <w:color w:val="000000"/>
                <w:sz w:val="20"/>
                <w:szCs w:val="20"/>
              </w:rPr>
              <w:t>不以自己的国家与民族的幸福感与标准去武断地排斥</w:t>
            </w:r>
            <w:r>
              <w:rPr>
                <w:rFonts w:hint="eastAsia" w:cs="宋体" w:asciiTheme="minorEastAsia" w:hAnsiTheme="minorEastAsia" w:eastAsiaTheme="minorEastAsia"/>
                <w:b w:val="0"/>
                <w:bCs w:val="0"/>
                <w:color w:val="000000"/>
                <w:sz w:val="20"/>
                <w:szCs w:val="20"/>
                <w:lang w:eastAsia="zh-CN"/>
              </w:rPr>
              <w:t>、</w:t>
            </w:r>
            <w:r>
              <w:rPr>
                <w:rFonts w:hint="eastAsia" w:cs="宋体" w:asciiTheme="minorEastAsia" w:hAnsiTheme="minorEastAsia" w:eastAsiaTheme="minorEastAsia"/>
                <w:b w:val="0"/>
                <w:bCs w:val="0"/>
                <w:color w:val="000000"/>
                <w:sz w:val="20"/>
                <w:szCs w:val="20"/>
              </w:rPr>
              <w:t>评估其他民族的风俗。</w:t>
            </w:r>
          </w:p>
          <w:p w14:paraId="483F53E8">
            <w:pPr>
              <w:numPr>
                <w:ilvl w:val="0"/>
                <w:numId w:val="16"/>
              </w:numPr>
              <w:snapToGrid w:val="0"/>
              <w:spacing w:line="300" w:lineRule="auto"/>
              <w:ind w:left="0" w:leftChars="0" w:firstLine="0" w:firstLineChars="0"/>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法国和英国民族特性产生的原因。</w:t>
            </w:r>
          </w:p>
          <w:p w14:paraId="27171201">
            <w:pPr>
              <w:numPr>
                <w:ilvl w:val="0"/>
                <w:numId w:val="0"/>
              </w:numPr>
              <w:snapToGrid w:val="0"/>
              <w:spacing w:line="300" w:lineRule="auto"/>
              <w:ind w:leftChars="0"/>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情感目标：</w:t>
            </w:r>
          </w:p>
          <w:p w14:paraId="610985F5">
            <w:pPr>
              <w:numPr>
                <w:ilvl w:val="0"/>
                <w:numId w:val="17"/>
              </w:numPr>
              <w:snapToGrid w:val="0"/>
              <w:spacing w:line="300" w:lineRule="auto"/>
              <w:ind w:leftChars="0"/>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综合</w:t>
            </w:r>
            <w:r>
              <w:rPr>
                <w:rFonts w:hint="eastAsia" w:cs="宋体" w:asciiTheme="minorEastAsia" w:hAnsiTheme="minorEastAsia" w:eastAsiaTheme="minorEastAsia"/>
                <w:b/>
                <w:bCs/>
                <w:color w:val="000000"/>
                <w:sz w:val="20"/>
                <w:szCs w:val="20"/>
                <w:lang w:val="en-US" w:eastAsia="zh-CN"/>
              </w:rPr>
              <w:t>评价</w:t>
            </w:r>
            <w:r>
              <w:rPr>
                <w:rFonts w:hint="eastAsia" w:cs="宋体" w:asciiTheme="minorEastAsia" w:hAnsiTheme="minorEastAsia" w:eastAsiaTheme="minorEastAsia"/>
                <w:b w:val="0"/>
                <w:bCs w:val="0"/>
                <w:color w:val="000000"/>
                <w:sz w:val="20"/>
                <w:szCs w:val="20"/>
                <w:lang w:val="en-US" w:eastAsia="zh-CN"/>
              </w:rPr>
              <w:t>民族性和世界性的关系；</w:t>
            </w:r>
          </w:p>
          <w:p w14:paraId="2A7B5BB3">
            <w:pPr>
              <w:numPr>
                <w:ilvl w:val="0"/>
                <w:numId w:val="17"/>
              </w:numPr>
              <w:snapToGrid w:val="0"/>
              <w:spacing w:line="300" w:lineRule="auto"/>
              <w:ind w:leftChars="0"/>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学习语言最重要的学习文化。</w:t>
            </w:r>
          </w:p>
          <w:p w14:paraId="6A3BE33D">
            <w:pPr>
              <w:snapToGrid w:val="0"/>
              <w:spacing w:line="300" w:lineRule="auto"/>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思政目标：</w:t>
            </w:r>
          </w:p>
          <w:p w14:paraId="08107920">
            <w:p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借助这个话题，帮助学生</w:t>
            </w:r>
            <w:r>
              <w:rPr>
                <w:rFonts w:hint="eastAsia" w:cs="宋体" w:asciiTheme="minorEastAsia" w:hAnsiTheme="minorEastAsia" w:eastAsiaTheme="minorEastAsia"/>
                <w:b/>
                <w:bCs/>
                <w:color w:val="000000"/>
                <w:sz w:val="20"/>
                <w:szCs w:val="20"/>
                <w:lang w:val="en-US" w:eastAsia="zh-CN"/>
              </w:rPr>
              <w:t>理解国际</w:t>
            </w:r>
            <w:r>
              <w:rPr>
                <w:rFonts w:hint="eastAsia" w:cs="宋体" w:asciiTheme="minorEastAsia" w:hAnsiTheme="minorEastAsia" w:eastAsiaTheme="minorEastAsia"/>
                <w:b w:val="0"/>
                <w:bCs w:val="0"/>
                <w:color w:val="000000"/>
                <w:sz w:val="20"/>
                <w:szCs w:val="20"/>
                <w:lang w:val="en-US" w:eastAsia="zh-CN"/>
              </w:rPr>
              <w:t>关系的中的焦点问题，</w:t>
            </w: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中西文化差异的根源。</w:t>
            </w:r>
          </w:p>
          <w:p w14:paraId="1EF94B64">
            <w:pPr>
              <w:snapToGrid w:val="0"/>
              <w:spacing w:line="300" w:lineRule="auto"/>
              <w:rPr>
                <w:rFonts w:hint="default" w:cs="宋体" w:asciiTheme="minorEastAsia" w:hAnsiTheme="minorEastAsia" w:eastAsiaTheme="minorEastAsia"/>
                <w:color w:val="000000"/>
                <w:sz w:val="20"/>
                <w:szCs w:val="20"/>
                <w:vertAlign w:val="baseline"/>
                <w:lang w:val="en-US" w:eastAsia="zh-CN"/>
              </w:rPr>
            </w:pPr>
          </w:p>
        </w:tc>
        <w:tc>
          <w:tcPr>
            <w:tcW w:w="1620" w:type="dxa"/>
          </w:tcPr>
          <w:p w14:paraId="48D0E2C1">
            <w:p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bCs/>
                <w:color w:val="000000"/>
                <w:sz w:val="20"/>
                <w:szCs w:val="20"/>
                <w:vertAlign w:val="baseline"/>
                <w:lang w:val="en-US" w:eastAsia="zh-CN"/>
              </w:rPr>
              <w:t>理解</w:t>
            </w:r>
            <w:r>
              <w:rPr>
                <w:rFonts w:hint="eastAsia" w:cs="宋体" w:asciiTheme="minorEastAsia" w:hAnsiTheme="minorEastAsia" w:eastAsiaTheme="minorEastAsia"/>
                <w:color w:val="000000"/>
                <w:sz w:val="20"/>
                <w:szCs w:val="20"/>
                <w:vertAlign w:val="baseline"/>
                <w:lang w:val="en-US" w:eastAsia="zh-CN"/>
              </w:rPr>
              <w:t>民族的个性是历史、地理和制度长期作用的产物，简单模仿只会东施效颦。</w:t>
            </w:r>
          </w:p>
        </w:tc>
        <w:tc>
          <w:tcPr>
            <w:tcW w:w="797" w:type="dxa"/>
          </w:tcPr>
          <w:p w14:paraId="48FD4DAE">
            <w:pPr>
              <w:snapToGrid w:val="0"/>
              <w:spacing w:line="288" w:lineRule="auto"/>
              <w:rPr>
                <w:rFonts w:ascii="宋体" w:hAnsi="宋体"/>
                <w:sz w:val="20"/>
                <w:szCs w:val="20"/>
              </w:rPr>
            </w:pPr>
            <w:r>
              <w:rPr>
                <w:rFonts w:hint="eastAsia" w:ascii="宋体" w:hAnsi="宋体"/>
                <w:sz w:val="20"/>
                <w:szCs w:val="20"/>
              </w:rPr>
              <w:t xml:space="preserve">理论 </w:t>
            </w:r>
          </w:p>
          <w:p w14:paraId="54E1F9A7">
            <w:pPr>
              <w:snapToGrid w:val="0"/>
              <w:spacing w:line="300" w:lineRule="auto"/>
              <w:rPr>
                <w:rFonts w:hint="eastAsia" w:cs="宋体" w:asciiTheme="minorEastAsia" w:hAnsiTheme="minorEastAsia" w:eastAsiaTheme="minorEastAsia"/>
                <w:b/>
                <w:bCs/>
                <w:color w:val="000000"/>
                <w:sz w:val="20"/>
                <w:szCs w:val="20"/>
                <w:vertAlign w:val="baseline"/>
                <w:lang w:val="en-US" w:eastAsia="zh-CN"/>
              </w:rPr>
            </w:pPr>
            <w:r>
              <w:rPr>
                <w:rFonts w:hint="eastAsia" w:ascii="宋体" w:hAnsi="宋体"/>
                <w:sz w:val="20"/>
                <w:szCs w:val="20"/>
                <w:lang w:val="en-US" w:eastAsia="zh-CN"/>
              </w:rPr>
              <w:t>6</w:t>
            </w:r>
            <w:r>
              <w:rPr>
                <w:rFonts w:hint="eastAsia" w:ascii="宋体" w:hAnsi="宋体"/>
                <w:sz w:val="20"/>
                <w:szCs w:val="20"/>
              </w:rPr>
              <w:t>课时</w:t>
            </w:r>
          </w:p>
        </w:tc>
      </w:tr>
    </w:tbl>
    <w:p w14:paraId="1E96F10F">
      <w:pPr>
        <w:snapToGrid w:val="0"/>
        <w:spacing w:line="300" w:lineRule="auto"/>
        <w:rPr>
          <w:rFonts w:asciiTheme="minorEastAsia" w:hAnsiTheme="minorEastAsia" w:eastAsiaTheme="minorEastAsia"/>
          <w:color w:val="000000"/>
          <w:sz w:val="20"/>
          <w:szCs w:val="20"/>
        </w:rPr>
      </w:pPr>
    </w:p>
    <w:p w14:paraId="4316B9C2">
      <w:pPr>
        <w:snapToGrid w:val="0"/>
        <w:spacing w:line="288" w:lineRule="auto"/>
        <w:ind w:left="2186" w:leftChars="191" w:hanging="1785" w:hangingChars="850"/>
        <w:rPr>
          <w:rFonts w:asciiTheme="minorEastAsia" w:hAnsiTheme="minorEastAsia" w:eastAsiaTheme="minorEastAsia"/>
          <w:color w:val="000000"/>
          <w:szCs w:val="21"/>
        </w:rPr>
      </w:pPr>
    </w:p>
    <w:p w14:paraId="65126551">
      <w:pPr>
        <w:snapToGrid w:val="0"/>
        <w:spacing w:line="288" w:lineRule="auto"/>
        <w:ind w:right="2520" w:firstLine="315" w:firstLineChars="150"/>
        <w:rPr>
          <w:rFonts w:asciiTheme="minorEastAsia" w:hAnsiTheme="minorEastAsia" w:eastAsiaTheme="minorEastAsia"/>
          <w:b/>
          <w:szCs w:val="21"/>
        </w:rPr>
      </w:pPr>
      <w:r>
        <w:rPr>
          <w:rFonts w:hint="eastAsia" w:asciiTheme="minorEastAsia" w:hAnsiTheme="minorEastAsia" w:eastAsiaTheme="minorEastAsia"/>
          <w:b/>
          <w:szCs w:val="21"/>
          <w:lang w:val="en-US" w:eastAsia="zh-CN"/>
        </w:rPr>
        <w:t>七</w:t>
      </w:r>
      <w:r>
        <w:rPr>
          <w:rFonts w:hint="eastAsia" w:asciiTheme="minorEastAsia" w:hAnsiTheme="minorEastAsia" w:eastAsiaTheme="minorEastAsia"/>
          <w:b/>
          <w:szCs w:val="21"/>
        </w:rPr>
        <w:t>、评价方式与成绩</w:t>
      </w:r>
      <w:r>
        <w:rPr>
          <w:rFonts w:asciiTheme="minorEastAsia" w:hAnsiTheme="minorEastAsia" w:eastAsiaTheme="minorEastAsia"/>
          <w:b/>
          <w:szCs w:val="21"/>
        </w:rPr>
        <w:t>（必填项）</w:t>
      </w:r>
    </w:p>
    <w:tbl>
      <w:tblPr>
        <w:tblStyle w:val="5"/>
        <w:tblpPr w:leftFromText="180" w:rightFromText="180" w:vertAnchor="text" w:horzAnchor="margin" w:tblpXSpec="center" w:tblpY="224"/>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14:paraId="3EDBD2AA">
        <w:trPr>
          <w:trHeight w:val="420" w:hRule="atLeast"/>
        </w:trPr>
        <w:tc>
          <w:tcPr>
            <w:tcW w:w="1809" w:type="dxa"/>
            <w:shd w:val="clear" w:color="auto" w:fill="auto"/>
          </w:tcPr>
          <w:p w14:paraId="101D6514">
            <w:pPr>
              <w:snapToGrid w:val="0"/>
              <w:spacing w:before="156" w:beforeLines="50" w:after="156" w:afterLines="5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总评构成（1+</w:t>
            </w:r>
            <w:r>
              <w:rPr>
                <w:rFonts w:asciiTheme="minorEastAsia" w:hAnsiTheme="minorEastAsia" w:eastAsiaTheme="minorEastAsia"/>
                <w:bCs/>
                <w:color w:val="000000"/>
                <w:szCs w:val="21"/>
              </w:rPr>
              <w:t>X</w:t>
            </w:r>
            <w:r>
              <w:rPr>
                <w:rFonts w:hint="eastAsia" w:asciiTheme="minorEastAsia" w:hAnsiTheme="minorEastAsia" w:eastAsiaTheme="minorEastAsia"/>
                <w:bCs/>
                <w:color w:val="000000"/>
                <w:szCs w:val="21"/>
              </w:rPr>
              <w:t>）</w:t>
            </w:r>
          </w:p>
        </w:tc>
        <w:tc>
          <w:tcPr>
            <w:tcW w:w="5103" w:type="dxa"/>
            <w:shd w:val="clear" w:color="auto" w:fill="auto"/>
          </w:tcPr>
          <w:p w14:paraId="33674389">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评价方式</w:t>
            </w:r>
          </w:p>
        </w:tc>
        <w:tc>
          <w:tcPr>
            <w:tcW w:w="1843" w:type="dxa"/>
            <w:shd w:val="clear" w:color="auto" w:fill="auto"/>
          </w:tcPr>
          <w:p w14:paraId="1C8F5766">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占比</w:t>
            </w:r>
          </w:p>
        </w:tc>
      </w:tr>
      <w:tr w14:paraId="5EDA1251">
        <w:trPr>
          <w:trHeight w:val="400" w:hRule="atLeast"/>
        </w:trPr>
        <w:tc>
          <w:tcPr>
            <w:tcW w:w="1809" w:type="dxa"/>
            <w:shd w:val="clear" w:color="auto" w:fill="auto"/>
          </w:tcPr>
          <w:p w14:paraId="020A350F">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w:t>
            </w:r>
          </w:p>
        </w:tc>
        <w:tc>
          <w:tcPr>
            <w:tcW w:w="5103" w:type="dxa"/>
            <w:shd w:val="clear" w:color="auto" w:fill="auto"/>
          </w:tcPr>
          <w:p w14:paraId="58F19EBD">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期末考试</w:t>
            </w:r>
          </w:p>
        </w:tc>
        <w:tc>
          <w:tcPr>
            <w:tcW w:w="1843" w:type="dxa"/>
            <w:shd w:val="clear" w:color="auto" w:fill="auto"/>
          </w:tcPr>
          <w:p w14:paraId="5462FC6E">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lang w:val="en-US" w:eastAsia="zh-CN"/>
              </w:rPr>
              <w:t>60</w:t>
            </w:r>
            <w:r>
              <w:rPr>
                <w:rFonts w:hint="eastAsia" w:asciiTheme="minorEastAsia" w:hAnsiTheme="minorEastAsia" w:eastAsiaTheme="minorEastAsia"/>
                <w:bCs/>
                <w:color w:val="000000"/>
                <w:szCs w:val="21"/>
              </w:rPr>
              <w:t>%</w:t>
            </w:r>
          </w:p>
        </w:tc>
      </w:tr>
      <w:tr w14:paraId="5260E097">
        <w:tc>
          <w:tcPr>
            <w:tcW w:w="1809" w:type="dxa"/>
            <w:shd w:val="clear" w:color="auto" w:fill="auto"/>
          </w:tcPr>
          <w:p w14:paraId="79A8FFE2">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X1</w:t>
            </w:r>
          </w:p>
        </w:tc>
        <w:tc>
          <w:tcPr>
            <w:tcW w:w="5103" w:type="dxa"/>
            <w:shd w:val="clear" w:color="auto" w:fill="auto"/>
          </w:tcPr>
          <w:p w14:paraId="31547B24">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纸笔测验</w:t>
            </w:r>
          </w:p>
        </w:tc>
        <w:tc>
          <w:tcPr>
            <w:tcW w:w="1843" w:type="dxa"/>
            <w:shd w:val="clear" w:color="auto" w:fill="auto"/>
          </w:tcPr>
          <w:p w14:paraId="38C6103E">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lang w:val="en-US" w:eastAsia="zh-CN"/>
              </w:rPr>
              <w:t>20</w:t>
            </w:r>
            <w:r>
              <w:rPr>
                <w:rFonts w:hint="eastAsia" w:asciiTheme="minorEastAsia" w:hAnsiTheme="minorEastAsia" w:eastAsiaTheme="minorEastAsia"/>
                <w:bCs/>
                <w:color w:val="000000"/>
                <w:szCs w:val="21"/>
              </w:rPr>
              <w:t>%</w:t>
            </w:r>
          </w:p>
        </w:tc>
      </w:tr>
      <w:tr w14:paraId="40F81F10">
        <w:tc>
          <w:tcPr>
            <w:tcW w:w="1809" w:type="dxa"/>
            <w:shd w:val="clear" w:color="auto" w:fill="auto"/>
          </w:tcPr>
          <w:p w14:paraId="41EE033A">
            <w:pPr>
              <w:snapToGrid w:val="0"/>
              <w:spacing w:before="156" w:beforeLines="50" w:after="156" w:afterLines="50"/>
              <w:jc w:val="center"/>
              <w:rPr>
                <w:rFonts w:hint="eastAsia" w:asciiTheme="minorEastAsia" w:hAnsiTheme="minorEastAsia" w:eastAsiaTheme="minorEastAsia"/>
                <w:bCs/>
                <w:color w:val="000000"/>
                <w:szCs w:val="21"/>
                <w:lang w:eastAsia="zh-CN"/>
              </w:rPr>
            </w:pPr>
            <w:r>
              <w:rPr>
                <w:rFonts w:hint="eastAsia" w:asciiTheme="minorEastAsia" w:hAnsiTheme="minorEastAsia" w:eastAsiaTheme="minorEastAsia"/>
                <w:bCs/>
                <w:color w:val="000000"/>
                <w:szCs w:val="21"/>
              </w:rPr>
              <w:t>X</w:t>
            </w:r>
            <w:r>
              <w:rPr>
                <w:rFonts w:hint="eastAsia" w:asciiTheme="minorEastAsia" w:hAnsiTheme="minorEastAsia" w:eastAsiaTheme="minorEastAsia"/>
                <w:bCs/>
                <w:color w:val="000000"/>
                <w:szCs w:val="21"/>
                <w:lang w:val="en-US" w:eastAsia="zh-CN"/>
              </w:rPr>
              <w:t>2</w:t>
            </w:r>
          </w:p>
        </w:tc>
        <w:tc>
          <w:tcPr>
            <w:tcW w:w="5103" w:type="dxa"/>
            <w:shd w:val="clear" w:color="auto" w:fill="auto"/>
          </w:tcPr>
          <w:p w14:paraId="5BAFFD6F">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课堂表现</w:t>
            </w:r>
          </w:p>
        </w:tc>
        <w:tc>
          <w:tcPr>
            <w:tcW w:w="1843" w:type="dxa"/>
            <w:shd w:val="clear" w:color="auto" w:fill="auto"/>
          </w:tcPr>
          <w:p w14:paraId="55E218F4">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lang w:val="en-US" w:eastAsia="zh-CN"/>
              </w:rPr>
              <w:t>20</w:t>
            </w:r>
            <w:r>
              <w:rPr>
                <w:rFonts w:hint="eastAsia" w:asciiTheme="minorEastAsia" w:hAnsiTheme="minorEastAsia" w:eastAsiaTheme="minorEastAsia"/>
                <w:bCs/>
                <w:color w:val="000000"/>
                <w:szCs w:val="21"/>
              </w:rPr>
              <w:t>%</w:t>
            </w:r>
          </w:p>
        </w:tc>
      </w:tr>
    </w:tbl>
    <w:p w14:paraId="1835365F">
      <w:pPr>
        <w:widowControl/>
        <w:spacing w:before="156" w:beforeLines="50" w:after="156" w:afterLines="50" w:line="288" w:lineRule="auto"/>
        <w:jc w:val="left"/>
        <w:rPr>
          <w:rFonts w:cs="宋体" w:asciiTheme="minorEastAsia" w:hAnsiTheme="minorEastAsia" w:eastAsiaTheme="minorEastAsia"/>
          <w:szCs w:val="21"/>
        </w:rPr>
      </w:pP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撰写人：</w:t>
      </w:r>
      <w:r>
        <w:rPr>
          <w:rFonts w:hint="eastAsia" w:cs="宋体" w:asciiTheme="minorEastAsia" w:hAnsiTheme="minorEastAsia" w:eastAsiaTheme="minorEastAsia"/>
          <w:szCs w:val="21"/>
          <w:lang w:eastAsia="zh-CN"/>
        </w:rPr>
        <w:t>刘丽霞</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drawing>
          <wp:inline distT="0" distB="0" distL="114300" distR="114300">
            <wp:extent cx="488315" cy="248920"/>
            <wp:effectExtent l="0" t="0" r="14605" b="10160"/>
            <wp:docPr id="2" name="图片 2" descr="d9dacfecc7ed4926c2f057a3b3a2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dacfecc7ed4926c2f057a3b3a289e"/>
                    <pic:cNvPicPr>
                      <a:picLocks noChangeAspect="1"/>
                    </pic:cNvPicPr>
                  </pic:nvPicPr>
                  <pic:blipFill>
                    <a:blip r:embed="rId6"/>
                    <a:stretch>
                      <a:fillRect/>
                    </a:stretch>
                  </pic:blipFill>
                  <pic:spPr>
                    <a:xfrm>
                      <a:off x="0" y="0"/>
                      <a:ext cx="488315" cy="248920"/>
                    </a:xfrm>
                    <a:prstGeom prst="rect">
                      <a:avLst/>
                    </a:prstGeom>
                  </pic:spPr>
                </pic:pic>
              </a:graphicData>
            </a:graphic>
          </wp:inline>
        </w:drawing>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cs="宋体" w:asciiTheme="minorEastAsia" w:hAnsiTheme="minorEastAsia" w:eastAsiaTheme="minorEastAsia"/>
          <w:szCs w:val="21"/>
        </w:rPr>
        <w:t>系主任审核签名：</w:t>
      </w:r>
      <w:r>
        <w:drawing>
          <wp:inline distT="0" distB="0" distL="114300" distR="114300">
            <wp:extent cx="944880" cy="63246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944880" cy="632460"/>
                    </a:xfrm>
                    <a:prstGeom prst="rect">
                      <a:avLst/>
                    </a:prstGeom>
                    <a:noFill/>
                    <a:ln>
                      <a:noFill/>
                    </a:ln>
                  </pic:spPr>
                </pic:pic>
              </a:graphicData>
            </a:graphic>
          </wp:inline>
        </w:drawing>
      </w:r>
    </w:p>
    <w:p w14:paraId="762DD7F7">
      <w:pPr>
        <w:widowControl/>
        <w:spacing w:before="156" w:beforeLines="50" w:after="156" w:afterLines="50" w:line="288" w:lineRule="auto"/>
        <w:jc w:val="left"/>
        <w:rPr>
          <w:rFonts w:cs="宋体" w:asciiTheme="minorEastAsia" w:hAnsiTheme="minorEastAsia" w:eastAsiaTheme="minorEastAsia"/>
          <w:szCs w:val="21"/>
        </w:rPr>
      </w:pPr>
    </w:p>
    <w:p w14:paraId="1E64E809">
      <w:pPr>
        <w:widowControl/>
        <w:spacing w:before="156" w:beforeLines="50" w:after="156" w:afterLines="50" w:line="288" w:lineRule="auto"/>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审核时间：</w:t>
      </w:r>
      <w:r>
        <w:rPr>
          <w:rFonts w:hint="eastAsia" w:cs="宋体" w:asciiTheme="minorEastAsia" w:hAnsiTheme="minorEastAsia" w:eastAsiaTheme="minorEastAsia"/>
          <w:szCs w:val="21"/>
          <w:lang w:val="en-US" w:eastAsia="zh-CN"/>
        </w:rPr>
        <w:t>2024.9.1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60665"/>
      <w:docPartObj>
        <w:docPartGallery w:val="autotext"/>
      </w:docPartObj>
    </w:sdtPr>
    <w:sdtContent>
      <w:p w14:paraId="387963B3">
        <w:pPr>
          <w:pStyle w:val="2"/>
          <w:jc w:val="center"/>
        </w:pPr>
        <w:r>
          <w:fldChar w:fldCharType="begin"/>
        </w:r>
        <w:r>
          <w:instrText xml:space="preserve">PAGE   \* MERGEFORMAT</w:instrText>
        </w:r>
        <w:r>
          <w:fldChar w:fldCharType="separate"/>
        </w:r>
        <w:r>
          <w:rPr>
            <w:lang w:val="zh-CN"/>
          </w:rPr>
          <w:t>1</w:t>
        </w:r>
        <w:r>
          <w:fldChar w:fldCharType="end"/>
        </w:r>
      </w:p>
    </w:sdtContent>
  </w:sdt>
  <w:p w14:paraId="361DFFB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BDD45">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D594F"/>
    <w:multiLevelType w:val="singleLevel"/>
    <w:tmpl w:val="80FD594F"/>
    <w:lvl w:ilvl="0" w:tentative="0">
      <w:start w:val="1"/>
      <w:numFmt w:val="decimal"/>
      <w:suff w:val="space"/>
      <w:lvlText w:val="%1."/>
      <w:lvlJc w:val="left"/>
    </w:lvl>
  </w:abstractNum>
  <w:abstractNum w:abstractNumId="1">
    <w:nsid w:val="9D2B9157"/>
    <w:multiLevelType w:val="singleLevel"/>
    <w:tmpl w:val="9D2B9157"/>
    <w:lvl w:ilvl="0" w:tentative="0">
      <w:start w:val="1"/>
      <w:numFmt w:val="decimal"/>
      <w:suff w:val="space"/>
      <w:lvlText w:val="%1."/>
      <w:lvlJc w:val="left"/>
    </w:lvl>
  </w:abstractNum>
  <w:abstractNum w:abstractNumId="2">
    <w:nsid w:val="A1813DE1"/>
    <w:multiLevelType w:val="singleLevel"/>
    <w:tmpl w:val="A1813DE1"/>
    <w:lvl w:ilvl="0" w:tentative="0">
      <w:start w:val="1"/>
      <w:numFmt w:val="decimal"/>
      <w:suff w:val="space"/>
      <w:lvlText w:val="%1."/>
      <w:lvlJc w:val="left"/>
    </w:lvl>
  </w:abstractNum>
  <w:abstractNum w:abstractNumId="3">
    <w:nsid w:val="AEFDCB51"/>
    <w:multiLevelType w:val="singleLevel"/>
    <w:tmpl w:val="AEFDCB51"/>
    <w:lvl w:ilvl="0" w:tentative="0">
      <w:start w:val="1"/>
      <w:numFmt w:val="decimal"/>
      <w:suff w:val="space"/>
      <w:lvlText w:val="%1."/>
      <w:lvlJc w:val="left"/>
    </w:lvl>
  </w:abstractNum>
  <w:abstractNum w:abstractNumId="4">
    <w:nsid w:val="CAAEBA18"/>
    <w:multiLevelType w:val="singleLevel"/>
    <w:tmpl w:val="CAAEBA18"/>
    <w:lvl w:ilvl="0" w:tentative="0">
      <w:start w:val="1"/>
      <w:numFmt w:val="decimal"/>
      <w:suff w:val="space"/>
      <w:lvlText w:val="%1."/>
      <w:lvlJc w:val="left"/>
    </w:lvl>
  </w:abstractNum>
  <w:abstractNum w:abstractNumId="5">
    <w:nsid w:val="E03176B3"/>
    <w:multiLevelType w:val="singleLevel"/>
    <w:tmpl w:val="E03176B3"/>
    <w:lvl w:ilvl="0" w:tentative="0">
      <w:start w:val="1"/>
      <w:numFmt w:val="decimal"/>
      <w:suff w:val="space"/>
      <w:lvlText w:val="%1."/>
      <w:lvlJc w:val="left"/>
    </w:lvl>
  </w:abstractNum>
  <w:abstractNum w:abstractNumId="6">
    <w:nsid w:val="F61B3CF7"/>
    <w:multiLevelType w:val="singleLevel"/>
    <w:tmpl w:val="F61B3CF7"/>
    <w:lvl w:ilvl="0" w:tentative="0">
      <w:start w:val="1"/>
      <w:numFmt w:val="decimal"/>
      <w:suff w:val="space"/>
      <w:lvlText w:val="%1."/>
      <w:lvlJc w:val="left"/>
    </w:lvl>
  </w:abstractNum>
  <w:abstractNum w:abstractNumId="7">
    <w:nsid w:val="F6CCE15E"/>
    <w:multiLevelType w:val="singleLevel"/>
    <w:tmpl w:val="F6CCE15E"/>
    <w:lvl w:ilvl="0" w:tentative="0">
      <w:start w:val="1"/>
      <w:numFmt w:val="decimal"/>
      <w:suff w:val="space"/>
      <w:lvlText w:val="%1."/>
      <w:lvlJc w:val="left"/>
    </w:lvl>
  </w:abstractNum>
  <w:abstractNum w:abstractNumId="8">
    <w:nsid w:val="36AC80C4"/>
    <w:multiLevelType w:val="singleLevel"/>
    <w:tmpl w:val="36AC80C4"/>
    <w:lvl w:ilvl="0" w:tentative="0">
      <w:start w:val="1"/>
      <w:numFmt w:val="decimal"/>
      <w:suff w:val="space"/>
      <w:lvlText w:val="%1."/>
      <w:lvlJc w:val="left"/>
    </w:lvl>
  </w:abstractNum>
  <w:abstractNum w:abstractNumId="9">
    <w:nsid w:val="44B67A78"/>
    <w:multiLevelType w:val="singleLevel"/>
    <w:tmpl w:val="44B67A78"/>
    <w:lvl w:ilvl="0" w:tentative="0">
      <w:start w:val="6"/>
      <w:numFmt w:val="decimal"/>
      <w:suff w:val="space"/>
      <w:lvlText w:val="%1."/>
      <w:lvlJc w:val="left"/>
    </w:lvl>
  </w:abstractNum>
  <w:abstractNum w:abstractNumId="10">
    <w:nsid w:val="54EB499E"/>
    <w:multiLevelType w:val="singleLevel"/>
    <w:tmpl w:val="54EB499E"/>
    <w:lvl w:ilvl="0" w:tentative="0">
      <w:start w:val="1"/>
      <w:numFmt w:val="decimal"/>
      <w:lvlText w:val="%1."/>
      <w:lvlJc w:val="left"/>
      <w:pPr>
        <w:tabs>
          <w:tab w:val="left" w:pos="312"/>
        </w:tabs>
      </w:pPr>
    </w:lvl>
  </w:abstractNum>
  <w:abstractNum w:abstractNumId="11">
    <w:nsid w:val="62B37500"/>
    <w:multiLevelType w:val="singleLevel"/>
    <w:tmpl w:val="62B37500"/>
    <w:lvl w:ilvl="0" w:tentative="0">
      <w:start w:val="1"/>
      <w:numFmt w:val="decimal"/>
      <w:suff w:val="space"/>
      <w:lvlText w:val="%1."/>
      <w:lvlJc w:val="left"/>
    </w:lvl>
  </w:abstractNum>
  <w:abstractNum w:abstractNumId="12">
    <w:nsid w:val="62F4C801"/>
    <w:multiLevelType w:val="singleLevel"/>
    <w:tmpl w:val="62F4C801"/>
    <w:lvl w:ilvl="0" w:tentative="0">
      <w:start w:val="1"/>
      <w:numFmt w:val="decimal"/>
      <w:suff w:val="space"/>
      <w:lvlText w:val="%1."/>
      <w:lvlJc w:val="left"/>
    </w:lvl>
  </w:abstractNum>
  <w:abstractNum w:abstractNumId="13">
    <w:nsid w:val="634A01E9"/>
    <w:multiLevelType w:val="singleLevel"/>
    <w:tmpl w:val="634A01E9"/>
    <w:lvl w:ilvl="0" w:tentative="0">
      <w:start w:val="1"/>
      <w:numFmt w:val="decimal"/>
      <w:suff w:val="space"/>
      <w:lvlText w:val="%1."/>
      <w:lvlJc w:val="left"/>
    </w:lvl>
  </w:abstractNum>
  <w:abstractNum w:abstractNumId="14">
    <w:nsid w:val="65195823"/>
    <w:multiLevelType w:val="singleLevel"/>
    <w:tmpl w:val="65195823"/>
    <w:lvl w:ilvl="0" w:tentative="0">
      <w:start w:val="1"/>
      <w:numFmt w:val="decimal"/>
      <w:suff w:val="space"/>
      <w:lvlText w:val="%1."/>
      <w:lvlJc w:val="left"/>
    </w:lvl>
  </w:abstractNum>
  <w:abstractNum w:abstractNumId="15">
    <w:nsid w:val="6C4390DD"/>
    <w:multiLevelType w:val="singleLevel"/>
    <w:tmpl w:val="6C4390DD"/>
    <w:lvl w:ilvl="0" w:tentative="0">
      <w:start w:val="1"/>
      <w:numFmt w:val="decimal"/>
      <w:suff w:val="space"/>
      <w:lvlText w:val="%1."/>
      <w:lvlJc w:val="left"/>
    </w:lvl>
  </w:abstractNum>
  <w:abstractNum w:abstractNumId="16">
    <w:nsid w:val="75C48EEE"/>
    <w:multiLevelType w:val="singleLevel"/>
    <w:tmpl w:val="75C48EEE"/>
    <w:lvl w:ilvl="0" w:tentative="0">
      <w:start w:val="1"/>
      <w:numFmt w:val="decimal"/>
      <w:suff w:val="space"/>
      <w:lvlText w:val="%1."/>
      <w:lvlJc w:val="left"/>
    </w:lvl>
  </w:abstractNum>
  <w:num w:numId="1">
    <w:abstractNumId w:val="11"/>
  </w:num>
  <w:num w:numId="2">
    <w:abstractNumId w:val="15"/>
  </w:num>
  <w:num w:numId="3">
    <w:abstractNumId w:val="0"/>
  </w:num>
  <w:num w:numId="4">
    <w:abstractNumId w:val="4"/>
  </w:num>
  <w:num w:numId="5">
    <w:abstractNumId w:val="6"/>
  </w:num>
  <w:num w:numId="6">
    <w:abstractNumId w:val="10"/>
  </w:num>
  <w:num w:numId="7">
    <w:abstractNumId w:val="5"/>
  </w:num>
  <w:num w:numId="8">
    <w:abstractNumId w:val="7"/>
  </w:num>
  <w:num w:numId="9">
    <w:abstractNumId w:val="2"/>
  </w:num>
  <w:num w:numId="10">
    <w:abstractNumId w:val="1"/>
  </w:num>
  <w:num w:numId="11">
    <w:abstractNumId w:val="9"/>
  </w:num>
  <w:num w:numId="12">
    <w:abstractNumId w:val="14"/>
  </w:num>
  <w:num w:numId="13">
    <w:abstractNumId w:val="8"/>
  </w:num>
  <w:num w:numId="14">
    <w:abstractNumId w:val="13"/>
  </w:num>
  <w:num w:numId="15">
    <w:abstractNumId w:val="3"/>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wMDc1MTW2MDMzMDRV0lEKTi0uzszPAykwrAUACu2e/SwAAAA="/>
    <w:docVar w:name="commondata" w:val="eyJoZGlkIjoiZGFjZjcyZmNlNTNjNGU4MGRkZDE1ZTc0NTIyNWUwMjAifQ=="/>
  </w:docVars>
  <w:rsids>
    <w:rsidRoot w:val="00B7651F"/>
    <w:rsid w:val="001072BC"/>
    <w:rsid w:val="00127C02"/>
    <w:rsid w:val="001306CA"/>
    <w:rsid w:val="00147D50"/>
    <w:rsid w:val="00256B39"/>
    <w:rsid w:val="0026033C"/>
    <w:rsid w:val="00262651"/>
    <w:rsid w:val="002E3115"/>
    <w:rsid w:val="002E3721"/>
    <w:rsid w:val="002E6CB4"/>
    <w:rsid w:val="00313BBA"/>
    <w:rsid w:val="0032602E"/>
    <w:rsid w:val="003367AE"/>
    <w:rsid w:val="003B0D15"/>
    <w:rsid w:val="003B1258"/>
    <w:rsid w:val="0040092F"/>
    <w:rsid w:val="004100B0"/>
    <w:rsid w:val="004420AD"/>
    <w:rsid w:val="004C1777"/>
    <w:rsid w:val="004E1DE8"/>
    <w:rsid w:val="00520550"/>
    <w:rsid w:val="005467DC"/>
    <w:rsid w:val="005504CA"/>
    <w:rsid w:val="00550FCB"/>
    <w:rsid w:val="00553D03"/>
    <w:rsid w:val="00590730"/>
    <w:rsid w:val="00592F19"/>
    <w:rsid w:val="005B2B6D"/>
    <w:rsid w:val="005B4B4E"/>
    <w:rsid w:val="00624FE1"/>
    <w:rsid w:val="00700A36"/>
    <w:rsid w:val="007208D6"/>
    <w:rsid w:val="007A3037"/>
    <w:rsid w:val="007A6499"/>
    <w:rsid w:val="007D7D05"/>
    <w:rsid w:val="007E193E"/>
    <w:rsid w:val="008B397C"/>
    <w:rsid w:val="008B47F4"/>
    <w:rsid w:val="00900019"/>
    <w:rsid w:val="009247D6"/>
    <w:rsid w:val="0099063E"/>
    <w:rsid w:val="009D1F2B"/>
    <w:rsid w:val="009E52DA"/>
    <w:rsid w:val="00A319F2"/>
    <w:rsid w:val="00A769B1"/>
    <w:rsid w:val="00A837D5"/>
    <w:rsid w:val="00AC020B"/>
    <w:rsid w:val="00AC4C45"/>
    <w:rsid w:val="00AE2F09"/>
    <w:rsid w:val="00AF4C0A"/>
    <w:rsid w:val="00B024A3"/>
    <w:rsid w:val="00B430ED"/>
    <w:rsid w:val="00B46F21"/>
    <w:rsid w:val="00B511A5"/>
    <w:rsid w:val="00B736A7"/>
    <w:rsid w:val="00B7651F"/>
    <w:rsid w:val="00C56E09"/>
    <w:rsid w:val="00CF096B"/>
    <w:rsid w:val="00D27A09"/>
    <w:rsid w:val="00D30AF8"/>
    <w:rsid w:val="00D61CB9"/>
    <w:rsid w:val="00D7067C"/>
    <w:rsid w:val="00D755AE"/>
    <w:rsid w:val="00E062B0"/>
    <w:rsid w:val="00E16D30"/>
    <w:rsid w:val="00E33169"/>
    <w:rsid w:val="00E70904"/>
    <w:rsid w:val="00EA086B"/>
    <w:rsid w:val="00EA7022"/>
    <w:rsid w:val="00ED14C6"/>
    <w:rsid w:val="00EF44B1"/>
    <w:rsid w:val="00F1651E"/>
    <w:rsid w:val="00F35AA0"/>
    <w:rsid w:val="00F45F0C"/>
    <w:rsid w:val="00F93EC4"/>
    <w:rsid w:val="00F95418"/>
    <w:rsid w:val="016E63C2"/>
    <w:rsid w:val="024B0C39"/>
    <w:rsid w:val="05A84572"/>
    <w:rsid w:val="0A8128A6"/>
    <w:rsid w:val="0BF32A1B"/>
    <w:rsid w:val="0F34531C"/>
    <w:rsid w:val="10BD2C22"/>
    <w:rsid w:val="1BE225E0"/>
    <w:rsid w:val="22987C80"/>
    <w:rsid w:val="238D507B"/>
    <w:rsid w:val="24192CCC"/>
    <w:rsid w:val="28C44538"/>
    <w:rsid w:val="39A66CD4"/>
    <w:rsid w:val="3C7544A7"/>
    <w:rsid w:val="3CD52CE1"/>
    <w:rsid w:val="3DC2124D"/>
    <w:rsid w:val="3EC528AA"/>
    <w:rsid w:val="40C7589A"/>
    <w:rsid w:val="410F2E6A"/>
    <w:rsid w:val="41CF613D"/>
    <w:rsid w:val="4430136C"/>
    <w:rsid w:val="45E03BB3"/>
    <w:rsid w:val="4AB0382B"/>
    <w:rsid w:val="569868B5"/>
    <w:rsid w:val="5E3A1A80"/>
    <w:rsid w:val="611F6817"/>
    <w:rsid w:val="66CA1754"/>
    <w:rsid w:val="6E287AD5"/>
    <w:rsid w:val="6EAC2FC3"/>
    <w:rsid w:val="6F1E65D4"/>
    <w:rsid w:val="6F266C86"/>
    <w:rsid w:val="6F5042C2"/>
    <w:rsid w:val="74316312"/>
    <w:rsid w:val="75F512F7"/>
    <w:rsid w:val="780F13C8"/>
    <w:rsid w:val="7C385448"/>
    <w:rsid w:val="7C7B171A"/>
    <w:rsid w:val="7CB3663D"/>
    <w:rsid w:val="7F10433E"/>
    <w:rsid w:val="FB3F1B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1259</Words>
  <Characters>1373</Characters>
  <Lines>20</Lines>
  <Paragraphs>5</Paragraphs>
  <TotalTime>15</TotalTime>
  <ScaleCrop>false</ScaleCrop>
  <LinksUpToDate>false</LinksUpToDate>
  <CharactersWithSpaces>1380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2019-09-01T18:33:00Z</dcterms:created>
  <dc:creator>juvg</dc:creator>
  <cp:lastModifiedBy>奶茶</cp:lastModifiedBy>
  <cp:lastPrinted>2019-11-14T14:28:00Z</cp:lastPrinted>
  <dcterms:modified xsi:type="dcterms:W3CDTF">2025-02-20T18:51:37Z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B266DE6F0CF045339C1348DCE356A3E0_13</vt:lpwstr>
  </property>
</Properties>
</file>