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cs="黑体"/>
          <w:bCs/>
          <w:color w:val="auto"/>
          <w:sz w:val="32"/>
          <w:szCs w:val="32"/>
          <w:lang w:val="en-US" w:eastAsia="zh-CN"/>
        </w:rPr>
        <w:t>国际商法</w:t>
      </w:r>
      <w:r>
        <w:rPr>
          <w:rFonts w:hint="eastAsia" w:ascii="黑体" w:hAnsi="黑体" w:eastAsia="黑体"/>
          <w:bCs/>
          <w:color w:val="BFBFBF" w:themeColor="background1" w:themeShade="BF"/>
          <w:sz w:val="32"/>
          <w:szCs w:val="32"/>
        </w:rPr>
        <w:t xml:space="preserve"> </w:t>
      </w:r>
      <w:r>
        <w:rPr>
          <w:rFonts w:hint="eastAsia" w:ascii="黑体" w:hAnsi="黑体" w:eastAsia="黑体"/>
          <w:bCs/>
          <w:sz w:val="32"/>
          <w:szCs w:val="32"/>
        </w:rPr>
        <w:t>》本科课程教学大纲</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国际商法</w:t>
            </w:r>
          </w:p>
        </w:tc>
      </w:tr>
      <w:tr>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International Commercial Law</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w:t>
            </w:r>
            <w:r>
              <w:rPr>
                <w:rFonts w:ascii="黑体" w:hAnsi="黑体" w:eastAsia="黑体"/>
                <w:color w:val="000000" w:themeColor="text1"/>
                <w:sz w:val="21"/>
                <w:szCs w:val="21"/>
                <w14:textFill>
                  <w14:solidFill>
                    <w14:schemeClr w14:val="tx1"/>
                  </w14:solidFill>
                </w14:textFill>
              </w:rPr>
              <w:t>060</w:t>
            </w:r>
            <w:r>
              <w:rPr>
                <w:rFonts w:hint="eastAsia" w:ascii="黑体" w:hAnsi="黑体" w:eastAsia="黑体"/>
                <w:color w:val="000000" w:themeColor="text1"/>
                <w:sz w:val="21"/>
                <w:szCs w:val="21"/>
                <w14:textFill>
                  <w14:solidFill>
                    <w14:schemeClr w14:val="tx1"/>
                  </w14:solidFill>
                </w14:textFill>
              </w:rPr>
              <w:t>227</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外国语学</w:t>
            </w:r>
            <w:r>
              <w:rPr>
                <w:rFonts w:hint="eastAsia" w:ascii="黑体" w:hAnsi="黑体" w:eastAsia="黑体"/>
                <w:color w:val="000000" w:themeColor="text1"/>
                <w:sz w:val="21"/>
                <w:szCs w:val="21"/>
                <w14:textFill>
                  <w14:solidFill>
                    <w14:schemeClr w14:val="tx1"/>
                  </w14:solidFill>
                </w14:textFill>
              </w:rPr>
              <w:t>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英语</w:t>
            </w:r>
            <w:r>
              <w:rPr>
                <w:rFonts w:hint="eastAsia"/>
                <w:color w:val="000000" w:themeColor="text1"/>
                <w:sz w:val="21"/>
                <w:szCs w:val="21"/>
                <w14:textFill>
                  <w14:solidFill>
                    <w14:schemeClr w14:val="tx1"/>
                  </w14:solidFill>
                </w14:textFill>
              </w:rPr>
              <w:t>专业三年级及以上学生</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val="en-US" w:eastAsia="zh-CN"/>
                <w14:textFill>
                  <w14:solidFill>
                    <w14:schemeClr w14:val="tx1"/>
                  </w14:solidFill>
                </w14:textFill>
              </w:rPr>
              <w:t>试</w:t>
            </w:r>
            <w:bookmarkStart w:id="10" w:name="_GoBack"/>
            <w:bookmarkEnd w:id="10"/>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《国际商法》</w:t>
            </w:r>
            <w:r>
              <w:rPr>
                <w:rFonts w:ascii="Times New Roman" w:hAnsi="Times New Roman"/>
                <w:color w:val="000000" w:themeColor="text1"/>
                <w:sz w:val="21"/>
                <w:szCs w:val="21"/>
                <w14:textFill>
                  <w14:solidFill>
                    <w14:schemeClr w14:val="tx1"/>
                  </w14:solidFill>
                </w14:textFill>
              </w:rPr>
              <w:t>宁烨</w:t>
            </w:r>
            <w:r>
              <w:rPr>
                <w:rFonts w:hint="eastAsia" w:ascii="Times New Roman" w:hAnsi="Times New Roman"/>
                <w:color w:val="000000" w:themeColor="text1"/>
                <w:sz w:val="21"/>
                <w:szCs w:val="21"/>
                <w14:textFill>
                  <w14:solidFill>
                    <w14:schemeClr w14:val="tx1"/>
                  </w14:solidFill>
                </w14:textFill>
              </w:rPr>
              <w:t>、杜晓君</w:t>
            </w:r>
            <w:r>
              <w:rPr>
                <w:rFonts w:ascii="Times New Roman" w:hAnsi="Times New Roman"/>
                <w:color w:val="000000" w:themeColor="text1"/>
                <w:sz w:val="21"/>
                <w:szCs w:val="21"/>
                <w14:textFill>
                  <w14:solidFill>
                    <w14:schemeClr w14:val="tx1"/>
                  </w14:solidFill>
                </w14:textFill>
              </w:rPr>
              <w:t>，ISBN：9787111</w:t>
            </w:r>
            <w:r>
              <w:rPr>
                <w:rFonts w:hint="eastAsia" w:ascii="Times New Roman" w:hAnsi="Times New Roman"/>
                <w:color w:val="000000" w:themeColor="text1"/>
                <w:sz w:val="21"/>
                <w:szCs w:val="21"/>
                <w:lang w:val="en-US" w:eastAsia="zh-CN"/>
                <w14:textFill>
                  <w14:solidFill>
                    <w14:schemeClr w14:val="tx1"/>
                  </w14:solidFill>
                </w14:textFill>
              </w:rPr>
              <w:t>765783</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机械工业出版社，第</w:t>
            </w:r>
            <w:r>
              <w:rPr>
                <w:rFonts w:hint="eastAsia" w:ascii="Times New Roman" w:hAnsi="Times New Roman"/>
                <w:color w:val="000000" w:themeColor="text1"/>
                <w:sz w:val="21"/>
                <w:szCs w:val="21"/>
                <w:lang w:val="en-US" w:eastAsia="zh-CN"/>
                <w14:textFill>
                  <w14:solidFill>
                    <w14:schemeClr w14:val="tx1"/>
                  </w14:solidFill>
                </w14:textFill>
              </w:rPr>
              <w:t>四</w:t>
            </w:r>
            <w:r>
              <w:rPr>
                <w:rFonts w:ascii="Times New Roman" w:hAnsi="Times New Roman"/>
                <w:color w:val="000000" w:themeColor="text1"/>
                <w:sz w:val="21"/>
                <w:szCs w:val="21"/>
                <w14:textFill>
                  <w14:solidFill>
                    <w14:schemeClr w14:val="tx1"/>
                  </w14:solidFill>
                </w14:textFill>
              </w:rPr>
              <w:t>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pPr>
            <w:r>
              <w:rPr>
                <w:rFonts w:hint="eastAsia"/>
                <w:color w:val="000000" w:themeColor="text1"/>
                <w:sz w:val="20"/>
                <w:szCs w:val="20"/>
                <w14:textFill>
                  <w14:solidFill>
                    <w14:schemeClr w14:val="tx1"/>
                  </w14:solidFill>
                </w14:textFill>
              </w:rPr>
              <w:t>国际贸易实务</w:t>
            </w:r>
            <w:r>
              <w:rPr>
                <w:color w:val="000000" w:themeColor="text1"/>
                <w:sz w:val="20"/>
                <w:szCs w:val="20"/>
                <w14:textFill>
                  <w14:solidFill>
                    <w14:schemeClr w14:val="tx1"/>
                  </w14:solidFill>
                </w14:textFill>
              </w:rPr>
              <w:t>2060</w:t>
            </w:r>
            <w:r>
              <w:rPr>
                <w:rFonts w:hint="eastAsia"/>
                <w:color w:val="000000" w:themeColor="text1"/>
                <w:sz w:val="20"/>
                <w:szCs w:val="20"/>
                <w14:textFill>
                  <w14:solidFill>
                    <w14:schemeClr w14:val="tx1"/>
                  </w14:solidFill>
                </w14:textFill>
              </w:rPr>
              <w:t>901（3）</w:t>
            </w:r>
          </w:p>
        </w:tc>
      </w:tr>
      <w:tr>
        <w:trPr>
          <w:trHeight w:val="377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15"/>
              <w:widowControl w:val="0"/>
              <w:ind w:firstLine="420" w:firstLineChars="200"/>
              <w:jc w:val="both"/>
            </w:pPr>
            <w:r>
              <w:rPr>
                <w:rFonts w:hint="eastAsia"/>
              </w:rPr>
              <w:t>国际商法课程是</w:t>
            </w:r>
            <w:r>
              <w:rPr>
                <w:rFonts w:hint="eastAsia"/>
                <w:lang w:val="en-US" w:eastAsia="zh-CN"/>
              </w:rPr>
              <w:t>英语</w:t>
            </w:r>
            <w:r>
              <w:rPr>
                <w:rFonts w:hint="eastAsia"/>
              </w:rPr>
              <w:t>专业的核心课程之一。国际贸易对全球经济的发展起着重要作用，在国际贸易中，国际商法扮演着关键角色，它规范了各国之间贸易活动的法律关系，确保贸易的顺利进行，并保护各国的合法权益。本课程主要研究国际间货物买卖的有关理论和实际业务，是一门法律惯例与业务技术相结合、理论与实际相结合的应用性很强的课程。课程主要研究有关国际商事法律的基本知识，包括世界两大法律体系、合同法、国际货物买卖法、国际商事组织法、代理法、产品责任法、国际商事仲裁法等内容。</w:t>
            </w:r>
            <w:r>
              <w:rPr>
                <w:rFonts w:hint="eastAsia"/>
                <w:color w:val="000000" w:themeColor="text1"/>
                <w:sz w:val="20"/>
                <w:szCs w:val="20"/>
                <w14:textFill>
                  <w14:solidFill>
                    <w14:schemeClr w14:val="tx1"/>
                  </w14:solidFill>
                </w14:textFill>
              </w:rPr>
              <w:t>使学生对国际商事的基本规则具备良好的认知，对基本的国际商事法律制度能够有较为专业的理解，并且能够初步运用有关的国际商事规则分析和解决国际商事中的种种现象，为将来在国际商事实践中，明确国际商事主体的权利义务，防范风险、实现合法权益打下扎实的基础。</w:t>
            </w:r>
          </w:p>
        </w:tc>
      </w:tr>
      <w:tr>
        <w:trPr>
          <w:trHeight w:val="612"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5"/>
              <w:widowControl w:val="0"/>
              <w:ind w:firstLine="420" w:firstLineChars="200"/>
              <w:jc w:val="both"/>
            </w:pPr>
            <w:r>
              <w:rPr>
                <w:rFonts w:hint="eastAsia"/>
              </w:rPr>
              <w:t>本课程适合</w:t>
            </w:r>
            <w:r>
              <w:rPr>
                <w:rFonts w:hint="eastAsia"/>
                <w:lang w:val="en-US" w:eastAsia="zh-CN"/>
              </w:rPr>
              <w:t>英语专业</w:t>
            </w:r>
            <w:r>
              <w:rPr>
                <w:rFonts w:hint="eastAsia"/>
              </w:rPr>
              <w:t>三年级及以上学生，学生应具备</w:t>
            </w:r>
            <w:r>
              <w:rPr>
                <w:rFonts w:hint="eastAsia"/>
                <w:color w:val="000000" w:themeColor="text1"/>
                <w:sz w:val="20"/>
                <w:szCs w:val="20"/>
                <w14:textFill>
                  <w14:solidFill>
                    <w14:schemeClr w14:val="tx1"/>
                  </w14:solidFill>
                </w14:textFill>
              </w:rPr>
              <w:t>一定的国际贸易基础知识</w:t>
            </w:r>
            <w:r>
              <w:rPr>
                <w:rFonts w:hint="eastAsia"/>
              </w:rPr>
              <w:t>。</w:t>
            </w:r>
          </w:p>
        </w:tc>
      </w:tr>
      <w:tr>
        <w:trPr>
          <w:trHeight w:val="704"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1270</wp:posOffset>
                  </wp:positionH>
                  <wp:positionV relativeFrom="paragraph">
                    <wp:posOffset>-107950</wp:posOffset>
                  </wp:positionV>
                  <wp:extent cx="995045" cy="473710"/>
                  <wp:effectExtent l="0" t="0" r="20955" b="8890"/>
                  <wp:wrapSquare wrapText="bothSides"/>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5"/>
                          <a:stretch>
                            <a:fillRect/>
                          </a:stretch>
                        </pic:blipFill>
                        <pic:spPr>
                          <a:xfrm>
                            <a:off x="0" y="0"/>
                            <a:ext cx="995045" cy="473710"/>
                          </a:xfrm>
                          <a:prstGeom prst="rect">
                            <a:avLst/>
                          </a:prstGeom>
                        </pic:spPr>
                      </pic:pic>
                    </a:graphicData>
                  </a:graphic>
                </wp:anchor>
              </w:drawing>
            </w:r>
            <w:r>
              <w:rPr>
                <w:rFonts w:hint="eastAsia"/>
                <w:sz w:val="21"/>
                <w:szCs w:val="21"/>
              </w:rPr>
              <w:drawing>
                <wp:anchor distT="0" distB="0" distL="114300" distR="114300" simplePos="0" relativeHeight="251659264" behindDoc="0" locked="0" layoutInCell="1" allowOverlap="1">
                  <wp:simplePos x="0" y="0"/>
                  <wp:positionH relativeFrom="column">
                    <wp:posOffset>255270</wp:posOffset>
                  </wp:positionH>
                  <wp:positionV relativeFrom="paragraph">
                    <wp:posOffset>45720</wp:posOffset>
                  </wp:positionV>
                  <wp:extent cx="555625" cy="276225"/>
                  <wp:effectExtent l="0" t="0" r="3175" b="3175"/>
                  <wp:wrapSquare wrapText="bothSides"/>
                  <wp:docPr id="1" name="图片 1"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ame"/>
                          <pic:cNvPicPr>
                            <a:picLocks noChangeAspect="1"/>
                          </pic:cNvPicPr>
                        </pic:nvPicPr>
                        <pic:blipFill>
                          <a:blip r:embed="rId6"/>
                          <a:stretch>
                            <a:fillRect/>
                          </a:stretch>
                        </pic:blipFill>
                        <pic:spPr>
                          <a:xfrm>
                            <a:off x="0" y="0"/>
                            <a:ext cx="555625" cy="276225"/>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both"/>
              <w:rPr>
                <w:rFonts w:hint="default" w:ascii="Times New Roman" w:hAnsi="Times New Roman" w:eastAsia="宋体"/>
                <w:color w:val="000000"/>
                <w:sz w:val="21"/>
                <w:szCs w:val="21"/>
                <w:lang w:val="en-US" w:eastAsia="zh-CN"/>
              </w:rPr>
            </w:pPr>
            <w:r>
              <w:rPr>
                <w:rFonts w:hint="default" w:ascii="Times New Roman" w:hAnsi="Times New Roman"/>
                <w:color w:val="000000"/>
                <w:sz w:val="21"/>
                <w:szCs w:val="21"/>
                <w:lang w:val="en-US"/>
              </w:rPr>
              <w:t>202</w:t>
            </w:r>
            <w:r>
              <w:rPr>
                <w:rFonts w:hint="eastAsia" w:ascii="Times New Roman" w:hAnsi="Times New Roman"/>
                <w:color w:val="000000"/>
                <w:sz w:val="21"/>
                <w:szCs w:val="21"/>
                <w:lang w:val="en-US" w:eastAsia="zh-CN"/>
              </w:rPr>
              <w:t>6、3</w:t>
            </w:r>
          </w:p>
        </w:tc>
      </w:tr>
      <w:tr>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p>
        </w:tc>
      </w:tr>
      <w:tr>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7"/>
        <w:spacing w:before="326" w:beforeLines="100" w:line="360" w:lineRule="auto"/>
        <w:rPr>
          <w:rFonts w:ascii="黑体" w:hAnsi="宋体"/>
        </w:rPr>
      </w:pPr>
      <w:r>
        <w:rPr>
          <w:rFonts w:hint="eastAsia" w:ascii="黑体" w:hAnsi="宋体"/>
        </w:rPr>
        <w:t>二、课程目标与毕业要求</w:t>
      </w:r>
    </w:p>
    <w:p>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rPr>
          <w:trHeight w:val="454" w:hRule="atLeast"/>
          <w:jc w:val="center"/>
        </w:trPr>
        <w:tc>
          <w:tcPr>
            <w:tcW w:w="1206" w:type="dxa"/>
            <w:vAlign w:val="center"/>
          </w:tcPr>
          <w:p>
            <w:pPr>
              <w:snapToGrid w:val="0"/>
              <w:jc w:val="center"/>
              <w:rPr>
                <w:rFonts w:ascii="黑体" w:hAnsi="黑体" w:eastAsia="黑体"/>
                <w:bCs/>
                <w:color w:val="000000"/>
                <w:sz w:val="21"/>
                <w:szCs w:val="18"/>
              </w:rPr>
            </w:pPr>
            <w:bookmarkStart w:id="0" w:name="_Hlk159413602"/>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5"/>
              <w:jc w:val="left"/>
              <w:rPr>
                <w:rFonts w:hint="eastAsia" w:ascii="宋体" w:hAnsi="宋体" w:eastAsia="宋体"/>
                <w:bCs/>
                <w:lang w:eastAsia="zh-CN"/>
              </w:rPr>
            </w:pPr>
            <w:r>
              <w:rPr>
                <w:rFonts w:hint="eastAsia" w:ascii="宋体" w:hAnsi="宋体"/>
                <w:bCs/>
              </w:rPr>
              <w:t>记忆并理解国际商事法律制度中重要专业术语的含义。</w:t>
            </w:r>
          </w:p>
        </w:tc>
      </w:tr>
      <w:tr>
        <w:trPr>
          <w:trHeight w:val="340" w:hRule="atLeast"/>
          <w:jc w:val="center"/>
        </w:trPr>
        <w:tc>
          <w:tcPr>
            <w:tcW w:w="1206" w:type="dxa"/>
            <w:vMerge w:val="continue"/>
            <w:vAlign w:val="center"/>
          </w:tcPr>
          <w:p>
            <w:pPr>
              <w:pStyle w:val="15"/>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5"/>
              <w:jc w:val="left"/>
              <w:rPr>
                <w:rFonts w:ascii="宋体" w:hAnsi="宋体"/>
                <w:bCs/>
              </w:rPr>
            </w:pPr>
            <w:r>
              <w:rPr>
                <w:rFonts w:hint="eastAsia" w:ascii="宋体" w:hAnsi="宋体"/>
                <w:bCs/>
              </w:rPr>
              <w:t>描述并归纳各国际商事活动运行的法律规则。</w:t>
            </w:r>
          </w:p>
        </w:tc>
      </w:tr>
      <w:tr>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5"/>
              <w:jc w:val="left"/>
              <w:rPr>
                <w:rFonts w:ascii="宋体" w:hAnsi="宋体"/>
                <w:bCs/>
              </w:rPr>
            </w:pPr>
            <w:r>
              <w:rPr>
                <w:rFonts w:hint="eastAsia" w:ascii="宋体" w:hAnsi="宋体"/>
                <w:bCs/>
              </w:rPr>
              <w:t>能运用国际商事活动法律规则，初步解决国际商事活动纠纷。</w:t>
            </w:r>
          </w:p>
        </w:tc>
      </w:tr>
      <w:tr>
        <w:trPr>
          <w:trHeight w:val="340" w:hRule="atLeast"/>
          <w:jc w:val="center"/>
        </w:trPr>
        <w:tc>
          <w:tcPr>
            <w:tcW w:w="1206" w:type="dxa"/>
            <w:vMerge w:val="continue"/>
            <w:vAlign w:val="center"/>
          </w:tcPr>
          <w:p>
            <w:pPr>
              <w:pStyle w:val="15"/>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pStyle w:val="15"/>
              <w:jc w:val="left"/>
              <w:rPr>
                <w:rFonts w:ascii="宋体" w:hAnsi="宋体"/>
                <w:bCs/>
              </w:rPr>
            </w:pPr>
            <w:r>
              <w:rPr>
                <w:rFonts w:hint="eastAsia" w:ascii="宋体" w:hAnsi="宋体"/>
                <w:bCs/>
              </w:rPr>
              <w:t>能初步评价有关国际商事案件的裁决或判决。</w:t>
            </w:r>
          </w:p>
        </w:tc>
      </w:tr>
      <w:tr>
        <w:trPr>
          <w:trHeight w:val="340" w:hRule="atLeast"/>
          <w:jc w:val="center"/>
        </w:trPr>
        <w:tc>
          <w:tcPr>
            <w:tcW w:w="1206"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5"/>
              <w:jc w:val="left"/>
              <w:rPr>
                <w:rFonts w:ascii="宋体" w:hAnsi="宋体"/>
                <w:bCs/>
              </w:rPr>
            </w:pPr>
            <w:r>
              <w:rPr>
                <w:rFonts w:hint="eastAsia" w:ascii="宋体" w:hAnsi="宋体"/>
                <w:bCs/>
              </w:rPr>
              <w:t>树立法制观念和意识，养成遵纪守法习惯，形成诚实守信职业素养，维护国家、企业和自身权益。</w:t>
            </w:r>
          </w:p>
        </w:tc>
      </w:tr>
      <w:bookmarkEnd w:id="0"/>
    </w:tbl>
    <w:p>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tc>
          <w:tcPr>
            <w:tcW w:w="8276" w:type="dxa"/>
          </w:tcPr>
          <w:p>
            <w:pPr>
              <w:pStyle w:val="15"/>
              <w:widowControl w:val="0"/>
              <w:rPr>
                <w:rFonts w:ascii="宋体" w:hAnsi="宋体"/>
                <w:bCs/>
              </w:rPr>
            </w:pPr>
            <w:r>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pStyle w:val="15"/>
              <w:widowControl w:val="0"/>
              <w:jc w:val="left"/>
              <w:rPr>
                <w:rFonts w:hint="eastAsia" w:ascii="宋体" w:hAnsi="宋体"/>
                <w:bCs/>
              </w:rPr>
            </w:pPr>
            <w:r>
              <w:rPr>
                <w:rFonts w:hint="eastAsia" w:ascii="宋体" w:hAnsi="宋体" w:cs="宋体"/>
                <w:bCs/>
                <w:kern w:val="0"/>
                <w:sz w:val="21"/>
                <w:szCs w:val="21"/>
              </w:rPr>
              <w:t>⑤</w:t>
            </w:r>
            <w:r>
              <w:rPr>
                <w:rFonts w:ascii="宋体" w:hAnsi="宋体" w:cs="宋体"/>
                <w:bCs/>
                <w:kern w:val="0"/>
                <w:sz w:val="21"/>
                <w:szCs w:val="21"/>
              </w:rPr>
              <w:t>爱岗敬业，热爱所学专业，勤学多练，锤炼技能。熟悉本专业相关的法律法规，在实习实践中自觉遵守职业规范，具备职业道德操守。</w:t>
            </w:r>
          </w:p>
        </w:tc>
      </w:tr>
      <w:tr>
        <w:tc>
          <w:tcPr>
            <w:tcW w:w="8276" w:type="dxa"/>
          </w:tcPr>
          <w:p>
            <w:pPr>
              <w:pStyle w:val="15"/>
              <w:widowControl w:val="0"/>
              <w:jc w:val="left"/>
              <w:rPr>
                <w:rFonts w:ascii="宋体" w:hAnsi="宋体"/>
                <w:bCs/>
              </w:rPr>
            </w:pPr>
            <w:r>
              <w:rPr>
                <w:rFonts w:ascii="宋体" w:hAnsi="宋体"/>
                <w:bCs/>
              </w:rPr>
              <w:t>LO2专业能力：具有人文科学素养，具备从事对外贸易业务、国际市场营销等工作的理论知识、实践能力。</w:t>
            </w:r>
          </w:p>
          <w:p>
            <w:pPr>
              <w:pStyle w:val="15"/>
              <w:widowControl w:val="0"/>
              <w:jc w:val="left"/>
              <w:rPr>
                <w:rFonts w:ascii="宋体" w:hAnsi="宋体"/>
                <w:bCs/>
              </w:rPr>
            </w:pPr>
            <w:r>
              <w:rPr>
                <w:rFonts w:hint="eastAsia" w:ascii="宋体" w:hAnsi="宋体" w:cs="宋体"/>
                <w:bCs/>
                <w:kern w:val="0"/>
                <w:sz w:val="21"/>
                <w:szCs w:val="21"/>
              </w:rPr>
              <w:t>⑤掌握商务实践知识，具有较强的外贸实务操作能力（国际商务方向）；熟悉教育教学法规,掌握中、小学英语教育基础知识和教学理论，具备开展英语教学的基本能力（英语教育方向）。</w:t>
            </w:r>
          </w:p>
        </w:tc>
      </w:tr>
      <w:tr>
        <w:tc>
          <w:tcPr>
            <w:tcW w:w="8276" w:type="dxa"/>
          </w:tcPr>
          <w:p>
            <w:pPr>
              <w:widowControl/>
              <w:tabs>
                <w:tab w:val="left" w:pos="4200"/>
              </w:tabs>
              <w:spacing w:line="440" w:lineRule="exact"/>
              <w:jc w:val="left"/>
              <w:rPr>
                <w:rFonts w:ascii="宋体" w:hAnsi="宋体" w:cs="宋体"/>
                <w:bCs/>
                <w:kern w:val="0"/>
                <w:sz w:val="21"/>
                <w:szCs w:val="21"/>
              </w:rPr>
            </w:pPr>
            <w:r>
              <w:rPr>
                <w:rFonts w:ascii="宋体" w:hAnsi="宋体"/>
                <w:bCs/>
                <w:sz w:val="21"/>
                <w:szCs w:val="21"/>
              </w:rPr>
              <w:t>LO</w:t>
            </w:r>
            <w:r>
              <w:rPr>
                <w:rFonts w:hint="eastAsia"/>
                <w:bCs/>
                <w:sz w:val="21"/>
                <w:szCs w:val="21"/>
                <w:lang w:val="en-US" w:eastAsia="zh-CN"/>
              </w:rPr>
              <w:t>4自主学习</w:t>
            </w:r>
            <w:r>
              <w:rPr>
                <w:bCs/>
                <w:sz w:val="21"/>
                <w:szCs w:val="21"/>
              </w:rPr>
              <w:t>：</w:t>
            </w:r>
            <w:r>
              <w:rPr>
                <w:rFonts w:ascii="宋体" w:hAnsi="宋体" w:cs="宋体"/>
                <w:bCs/>
                <w:kern w:val="0"/>
                <w:sz w:val="21"/>
                <w:szCs w:val="21"/>
              </w:rPr>
              <w:t>能根据环境需要确定自己的学习目标，并主动地通过搜集信息、分析信息、讨论、实践、质疑、创造等方法来实现学习目标。</w:t>
            </w:r>
          </w:p>
          <w:p>
            <w:pPr>
              <w:widowControl/>
              <w:tabs>
                <w:tab w:val="left" w:pos="4200"/>
              </w:tabs>
              <w:spacing w:line="440" w:lineRule="exact"/>
              <w:jc w:val="left"/>
              <w:rPr>
                <w:rFonts w:hint="eastAsia" w:ascii="宋体" w:hAnsi="宋体"/>
                <w:bCs/>
              </w:rPr>
            </w:pPr>
            <w:r>
              <w:rPr>
                <w:rFonts w:hint="eastAsia" w:ascii="宋体" w:hAnsi="宋体" w:cs="宋体"/>
                <w:bCs/>
                <w:kern w:val="0"/>
                <w:sz w:val="21"/>
                <w:szCs w:val="21"/>
              </w:rPr>
              <w:t>②</w:t>
            </w:r>
            <w:r>
              <w:rPr>
                <w:rFonts w:ascii="宋体" w:hAnsi="宋体" w:cs="宋体"/>
                <w:bCs/>
                <w:kern w:val="0"/>
                <w:sz w:val="21"/>
                <w:szCs w:val="21"/>
              </w:rPr>
              <w:t>能搜集、获取达到目标所需要的学习资源，实施学习计划、反思学习计划、持续改进，达到学习目标。</w:t>
            </w:r>
          </w:p>
        </w:tc>
      </w:tr>
      <w:tr>
        <w:tc>
          <w:tcPr>
            <w:tcW w:w="8276" w:type="dxa"/>
          </w:tcPr>
          <w:p>
            <w:pPr>
              <w:widowControl/>
              <w:tabs>
                <w:tab w:val="left" w:pos="4200"/>
              </w:tabs>
              <w:spacing w:line="440" w:lineRule="exact"/>
              <w:jc w:val="left"/>
              <w:rPr>
                <w:rFonts w:ascii="宋体" w:hAnsi="宋体" w:cs="宋体"/>
                <w:bCs/>
                <w:kern w:val="0"/>
                <w:sz w:val="24"/>
              </w:rPr>
            </w:pPr>
            <w:r>
              <w:rPr>
                <w:rFonts w:ascii="宋体" w:hAnsi="宋体"/>
                <w:bCs/>
                <w:sz w:val="21"/>
                <w:szCs w:val="21"/>
              </w:rPr>
              <w:t>LO</w:t>
            </w:r>
            <w:r>
              <w:rPr>
                <w:rFonts w:hint="eastAsia"/>
                <w:bCs/>
                <w:sz w:val="21"/>
                <w:szCs w:val="21"/>
                <w:lang w:val="en-US" w:eastAsia="zh-CN"/>
              </w:rPr>
              <w:t>7</w:t>
            </w:r>
            <w:r>
              <w:rPr>
                <w:rFonts w:ascii="宋体" w:hAnsi="宋体"/>
                <w:bCs/>
                <w:sz w:val="21"/>
                <w:szCs w:val="21"/>
              </w:rPr>
              <w:t>协同创新：</w:t>
            </w:r>
            <w:r>
              <w:rPr>
                <w:rFonts w:ascii="宋体" w:hAnsi="宋体" w:cs="宋体"/>
                <w:bCs/>
                <w:kern w:val="0"/>
                <w:sz w:val="21"/>
                <w:szCs w:val="21"/>
              </w:rPr>
              <w:t>具备一定的信息素养，并能在工作中应用信息技术和工具解决问题。</w:t>
            </w:r>
          </w:p>
          <w:p>
            <w:pPr>
              <w:widowControl/>
              <w:tabs>
                <w:tab w:val="left" w:pos="4200"/>
              </w:tabs>
              <w:spacing w:line="440" w:lineRule="exact"/>
              <w:jc w:val="left"/>
              <w:rPr>
                <w:rFonts w:hint="eastAsia" w:ascii="宋体" w:hAnsi="宋体"/>
                <w:bCs/>
              </w:rPr>
            </w:pPr>
            <w:r>
              <w:rPr>
                <w:rFonts w:hint="eastAsia" w:ascii="宋体" w:hAnsi="宋体" w:cs="宋体"/>
                <w:bCs/>
                <w:kern w:val="0"/>
                <w:sz w:val="21"/>
                <w:szCs w:val="21"/>
              </w:rPr>
              <w:t>②</w:t>
            </w:r>
            <w:r>
              <w:rPr>
                <w:rFonts w:ascii="宋体" w:hAnsi="宋体" w:cs="宋体"/>
                <w:bCs/>
                <w:kern w:val="0"/>
                <w:sz w:val="21"/>
                <w:szCs w:val="21"/>
              </w:rPr>
              <w:t>能够使用适合的工具来搜集信息，并对信息加以分析、鉴别、判断与整合。</w:t>
            </w:r>
          </w:p>
        </w:tc>
      </w:tr>
    </w:tbl>
    <w:p>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4"/>
              <w:rPr>
                <w:szCs w:val="16"/>
              </w:rPr>
            </w:pPr>
            <w:bookmarkStart w:id="1" w:name="_Hlk159400849"/>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763" w:type="dxa"/>
            <w:tcBorders>
              <w:top w:val="single" w:color="auto" w:sz="12" w:space="0"/>
            </w:tcBorders>
            <w:vAlign w:val="center"/>
          </w:tcPr>
          <w:p>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rPr>
          <w:trHeight w:val="340" w:hRule="atLeast"/>
          <w:jc w:val="center"/>
        </w:trPr>
        <w:tc>
          <w:tcPr>
            <w:tcW w:w="777" w:type="dxa"/>
            <w:tcBorders>
              <w:left w:val="single" w:color="auto" w:sz="12" w:space="0"/>
              <w:right w:val="single" w:color="auto" w:sz="4" w:space="0"/>
            </w:tcBorders>
            <w:shd w:val="clear" w:color="auto" w:fill="auto"/>
            <w:vAlign w:val="center"/>
          </w:tcPr>
          <w:p>
            <w:pPr>
              <w:pStyle w:val="15"/>
              <w:rPr>
                <w:rFonts w:hint="eastAsia" w:eastAsia="宋体"/>
                <w:lang w:val="en-US" w:eastAsia="zh-CN"/>
              </w:rPr>
            </w:pPr>
            <w:r>
              <w:t>LO</w:t>
            </w:r>
            <w:r>
              <w:rPr>
                <w:rFonts w:hint="eastAsia"/>
                <w:lang w:val="en-US" w:eastAsia="zh-CN"/>
              </w:rPr>
              <w:t>1</w:t>
            </w:r>
          </w:p>
        </w:tc>
        <w:tc>
          <w:tcPr>
            <w:tcW w:w="794" w:type="dxa"/>
            <w:tcBorders>
              <w:left w:val="single" w:color="auto" w:sz="4" w:space="0"/>
            </w:tcBorders>
            <w:vAlign w:val="center"/>
          </w:tcPr>
          <w:p>
            <w:pPr>
              <w:pStyle w:val="15"/>
              <w:rPr>
                <w:rFonts w:hint="eastAsia" w:cs="Times New Roman"/>
                <w:bCs/>
              </w:rPr>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p>
        </w:tc>
        <w:tc>
          <w:tcPr>
            <w:tcW w:w="794" w:type="dxa"/>
            <w:tcBorders>
              <w:right w:val="double" w:color="auto" w:sz="4" w:space="0"/>
            </w:tcBorders>
            <w:shd w:val="clear" w:color="auto" w:fill="auto"/>
            <w:vAlign w:val="center"/>
          </w:tcPr>
          <w:p>
            <w:pPr>
              <w:pStyle w:val="15"/>
              <w:rPr>
                <w:rFonts w:cs="Times New Roman"/>
              </w:rPr>
            </w:pPr>
            <w:r>
              <w:rPr>
                <w:rFonts w:hint="eastAsia" w:cs="Times New Roman"/>
              </w:rPr>
              <w:t>M</w:t>
            </w:r>
          </w:p>
        </w:tc>
        <w:tc>
          <w:tcPr>
            <w:tcW w:w="4763" w:type="dxa"/>
            <w:vAlign w:val="center"/>
          </w:tcPr>
          <w:p>
            <w:pPr>
              <w:pStyle w:val="15"/>
              <w:numPr>
                <w:ilvl w:val="0"/>
                <w:numId w:val="0"/>
              </w:numPr>
              <w:jc w:val="left"/>
              <w:rPr>
                <w:rFonts w:hint="eastAsia" w:ascii="宋体" w:hAnsi="宋体"/>
                <w:bCs/>
              </w:rPr>
            </w:pPr>
            <w:r>
              <w:rPr>
                <w:rFonts w:hint="eastAsia" w:ascii="宋体" w:hAnsi="宋体"/>
                <w:bCs/>
                <w:lang w:val="en-US" w:eastAsia="zh-CN"/>
              </w:rPr>
              <w:t>5、</w:t>
            </w:r>
            <w:r>
              <w:rPr>
                <w:rFonts w:hint="eastAsia" w:ascii="宋体" w:hAnsi="宋体"/>
                <w:bCs/>
              </w:rPr>
              <w:t>树立法制观念和意识，养成遵纪守法习惯，形成诚实守信职业素养，维护国家、企业和自身权益。</w:t>
            </w:r>
          </w:p>
        </w:tc>
        <w:tc>
          <w:tcPr>
            <w:tcW w:w="1348" w:type="dxa"/>
            <w:tcBorders>
              <w:right w:val="single" w:color="auto" w:sz="12" w:space="0"/>
            </w:tcBorders>
            <w:vAlign w:val="center"/>
          </w:tcPr>
          <w:p>
            <w:pPr>
              <w:pStyle w:val="15"/>
              <w:rPr>
                <w:rFonts w:hint="eastAsia" w:ascii="宋体" w:hAnsi="宋体"/>
                <w:bCs/>
              </w:rPr>
            </w:pPr>
            <w:r>
              <w:rPr>
                <w:rFonts w:hint="eastAsia" w:ascii="宋体" w:hAnsi="宋体"/>
                <w:bCs/>
                <w:lang w:val="en-US" w:eastAsia="zh-CN"/>
              </w:rPr>
              <w:t>10</w:t>
            </w:r>
            <w:r>
              <w:rPr>
                <w:rFonts w:hint="eastAsia" w:ascii="宋体" w:hAnsi="宋体"/>
                <w:bCs/>
              </w:rPr>
              <w:t>0%</w:t>
            </w:r>
          </w:p>
        </w:tc>
      </w:tr>
      <w:tr>
        <w:trPr>
          <w:trHeight w:val="340" w:hRule="atLeast"/>
          <w:jc w:val="center"/>
        </w:trPr>
        <w:tc>
          <w:tcPr>
            <w:tcW w:w="777" w:type="dxa"/>
            <w:tcBorders>
              <w:left w:val="single" w:color="auto" w:sz="12" w:space="0"/>
              <w:right w:val="single" w:color="auto" w:sz="4" w:space="0"/>
            </w:tcBorders>
            <w:shd w:val="clear" w:color="auto" w:fill="auto"/>
            <w:vAlign w:val="center"/>
          </w:tcPr>
          <w:p>
            <w:pPr>
              <w:pStyle w:val="15"/>
            </w:pPr>
            <w:r>
              <w:t>LO2</w:t>
            </w:r>
          </w:p>
        </w:tc>
        <w:tc>
          <w:tcPr>
            <w:tcW w:w="794" w:type="dxa"/>
            <w:tcBorders>
              <w:left w:val="single" w:color="auto" w:sz="4" w:space="0"/>
            </w:tcBorders>
            <w:vAlign w:val="center"/>
          </w:tcPr>
          <w:p>
            <w:pPr>
              <w:pStyle w:val="15"/>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p>
        </w:tc>
        <w:tc>
          <w:tcPr>
            <w:tcW w:w="794" w:type="dxa"/>
            <w:tcBorders>
              <w:right w:val="double" w:color="auto" w:sz="4" w:space="0"/>
            </w:tcBorders>
            <w:shd w:val="clear" w:color="auto" w:fill="auto"/>
            <w:vAlign w:val="center"/>
          </w:tcPr>
          <w:p>
            <w:pPr>
              <w:pStyle w:val="15"/>
              <w:rPr>
                <w:rFonts w:hint="eastAsia" w:cs="Times New Roman"/>
              </w:rPr>
            </w:pPr>
            <w:r>
              <w:rPr>
                <w:rFonts w:hint="eastAsia" w:cs="Times New Roman"/>
              </w:rPr>
              <w:t>M</w:t>
            </w:r>
          </w:p>
        </w:tc>
        <w:tc>
          <w:tcPr>
            <w:tcW w:w="4763" w:type="dxa"/>
            <w:vAlign w:val="center"/>
          </w:tcPr>
          <w:p>
            <w:pPr>
              <w:pStyle w:val="15"/>
              <w:numPr>
                <w:ilvl w:val="0"/>
                <w:numId w:val="1"/>
              </w:numPr>
              <w:jc w:val="left"/>
              <w:rPr>
                <w:rFonts w:hint="eastAsia" w:ascii="宋体" w:hAnsi="宋体"/>
                <w:bCs/>
              </w:rPr>
            </w:pPr>
            <w:r>
              <w:rPr>
                <w:rFonts w:hint="eastAsia" w:ascii="宋体" w:hAnsi="宋体"/>
                <w:bCs/>
              </w:rPr>
              <w:t>记忆并理解国际商事法律制度中重要专业术语的含义。</w:t>
            </w:r>
          </w:p>
        </w:tc>
        <w:tc>
          <w:tcPr>
            <w:tcW w:w="1348" w:type="dxa"/>
            <w:tcBorders>
              <w:right w:val="single" w:color="auto" w:sz="12" w:space="0"/>
            </w:tcBorders>
            <w:vAlign w:val="center"/>
          </w:tcPr>
          <w:p>
            <w:pPr>
              <w:pStyle w:val="15"/>
              <w:rPr>
                <w:rFonts w:hint="eastAsia" w:ascii="宋体" w:hAnsi="宋体"/>
                <w:bCs/>
                <w:lang w:val="en-US" w:eastAsia="zh-CN"/>
              </w:rPr>
            </w:pPr>
            <w:r>
              <w:rPr>
                <w:rFonts w:hint="eastAsia" w:ascii="宋体" w:hAnsi="宋体"/>
                <w:bCs/>
                <w:lang w:val="en-US" w:eastAsia="zh-CN"/>
              </w:rPr>
              <w:t>10</w:t>
            </w:r>
            <w:r>
              <w:rPr>
                <w:rFonts w:hint="eastAsia" w:ascii="宋体" w:hAnsi="宋体"/>
                <w:bCs/>
              </w:rPr>
              <w:t>0%</w:t>
            </w:r>
          </w:p>
        </w:tc>
      </w:tr>
      <w:tr>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5"/>
              <w:rPr>
                <w:rFonts w:hint="eastAsia" w:eastAsia="宋体"/>
                <w:lang w:val="en-US" w:eastAsia="zh-CN"/>
              </w:rPr>
            </w:pPr>
            <w:r>
              <w:t>LO</w:t>
            </w:r>
            <w:r>
              <w:rPr>
                <w:rFonts w:hint="eastAsia"/>
                <w:lang w:val="en-US" w:eastAsia="zh-CN"/>
              </w:rPr>
              <w:t>4</w:t>
            </w:r>
          </w:p>
        </w:tc>
        <w:tc>
          <w:tcPr>
            <w:tcW w:w="794" w:type="dxa"/>
            <w:vMerge w:val="restart"/>
            <w:tcBorders>
              <w:left w:val="single" w:color="auto" w:sz="4" w:space="0"/>
            </w:tcBorders>
            <w:vAlign w:val="center"/>
          </w:tcPr>
          <w:p>
            <w:pPr>
              <w:pStyle w:val="15"/>
              <w:rPr>
                <w:rFonts w:cs="Times New Roman"/>
                <w:bCs/>
              </w:rPr>
            </w:pPr>
            <w:r>
              <w:rPr>
                <w:rFonts w:hint="eastAsia" w:cs="Times New Roman"/>
                <w:bCs/>
              </w:rPr>
              <w:t>②</w:t>
            </w:r>
          </w:p>
        </w:tc>
        <w:tc>
          <w:tcPr>
            <w:tcW w:w="794" w:type="dxa"/>
            <w:vMerge w:val="restart"/>
            <w:tcBorders>
              <w:right w:val="double" w:color="auto" w:sz="4" w:space="0"/>
            </w:tcBorders>
            <w:shd w:val="clear" w:color="auto" w:fill="auto"/>
            <w:vAlign w:val="center"/>
          </w:tcPr>
          <w:p>
            <w:pPr>
              <w:pStyle w:val="15"/>
              <w:rPr>
                <w:rFonts w:ascii="宋体" w:hAnsi="宋体"/>
              </w:rPr>
            </w:pPr>
            <w:r>
              <w:rPr>
                <w:rFonts w:cs="Times New Roman"/>
              </w:rPr>
              <w:t>H</w:t>
            </w:r>
          </w:p>
        </w:tc>
        <w:tc>
          <w:tcPr>
            <w:tcW w:w="4763" w:type="dxa"/>
            <w:vAlign w:val="center"/>
          </w:tcPr>
          <w:p>
            <w:pPr>
              <w:pStyle w:val="15"/>
              <w:jc w:val="left"/>
              <w:rPr>
                <w:rFonts w:ascii="宋体" w:hAnsi="宋体"/>
                <w:bCs/>
              </w:rPr>
            </w:pPr>
            <w:r>
              <w:rPr>
                <w:rFonts w:hint="eastAsia" w:ascii="宋体" w:hAnsi="宋体"/>
                <w:bCs/>
                <w:lang w:val="en-US" w:eastAsia="zh-CN"/>
              </w:rPr>
              <w:t>2、</w:t>
            </w:r>
            <w:r>
              <w:rPr>
                <w:rFonts w:hint="eastAsia" w:ascii="宋体" w:hAnsi="宋体"/>
                <w:bCs/>
              </w:rPr>
              <w:t>描述并归纳各国际商事活动运行的法律规则。</w:t>
            </w:r>
          </w:p>
        </w:tc>
        <w:tc>
          <w:tcPr>
            <w:tcW w:w="1348" w:type="dxa"/>
            <w:tcBorders>
              <w:right w:val="single" w:color="auto" w:sz="12" w:space="0"/>
            </w:tcBorders>
            <w:vAlign w:val="center"/>
          </w:tcPr>
          <w:p>
            <w:pPr>
              <w:pStyle w:val="15"/>
              <w:rPr>
                <w:rFonts w:ascii="宋体" w:hAnsi="宋体"/>
                <w:bCs/>
              </w:rPr>
            </w:pPr>
            <w:r>
              <w:rPr>
                <w:rFonts w:hint="eastAsia" w:ascii="宋体" w:hAnsi="宋体"/>
                <w:bCs/>
                <w:lang w:val="en-US" w:eastAsia="zh-CN"/>
              </w:rPr>
              <w:t>5</w:t>
            </w:r>
            <w:r>
              <w:rPr>
                <w:rFonts w:hint="eastAsia" w:ascii="宋体" w:hAnsi="宋体"/>
                <w:bCs/>
              </w:rPr>
              <w:t>0%</w:t>
            </w:r>
          </w:p>
        </w:tc>
      </w:tr>
      <w:tr>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794" w:type="dxa"/>
            <w:vMerge w:val="continue"/>
            <w:tcBorders>
              <w:left w:val="single" w:color="auto" w:sz="4" w:space="0"/>
            </w:tcBorders>
            <w:vAlign w:val="center"/>
          </w:tcPr>
          <w:p>
            <w:pPr>
              <w:pStyle w:val="15"/>
              <w:rPr>
                <w:rFonts w:cs="Times New Roman"/>
                <w:bCs/>
              </w:rPr>
            </w:pPr>
          </w:p>
        </w:tc>
        <w:tc>
          <w:tcPr>
            <w:tcW w:w="794" w:type="dxa"/>
            <w:vMerge w:val="continue"/>
            <w:tcBorders>
              <w:right w:val="double" w:color="auto" w:sz="4" w:space="0"/>
            </w:tcBorders>
            <w:shd w:val="clear" w:color="auto" w:fill="auto"/>
            <w:vAlign w:val="center"/>
          </w:tcPr>
          <w:p>
            <w:pPr>
              <w:pStyle w:val="15"/>
              <w:rPr>
                <w:rFonts w:ascii="宋体" w:hAnsi="宋体"/>
              </w:rPr>
            </w:pPr>
          </w:p>
        </w:tc>
        <w:tc>
          <w:tcPr>
            <w:tcW w:w="4763" w:type="dxa"/>
            <w:vAlign w:val="center"/>
          </w:tcPr>
          <w:p>
            <w:pPr>
              <w:pStyle w:val="15"/>
              <w:jc w:val="left"/>
              <w:rPr>
                <w:rFonts w:ascii="宋体" w:hAnsi="宋体"/>
                <w:bCs/>
              </w:rPr>
            </w:pPr>
            <w:r>
              <w:rPr>
                <w:rFonts w:hint="eastAsia" w:ascii="宋体" w:hAnsi="宋体"/>
                <w:bCs/>
                <w:lang w:val="en-US" w:eastAsia="zh-CN"/>
              </w:rPr>
              <w:t>3、</w:t>
            </w:r>
            <w:r>
              <w:rPr>
                <w:rFonts w:hint="eastAsia" w:ascii="宋体" w:hAnsi="宋体"/>
                <w:bCs/>
              </w:rPr>
              <w:t>能运用国际商事活动法律规则，初步解决国际商事活动纠纷。</w:t>
            </w:r>
          </w:p>
        </w:tc>
        <w:tc>
          <w:tcPr>
            <w:tcW w:w="1348" w:type="dxa"/>
            <w:tcBorders>
              <w:right w:val="single" w:color="auto" w:sz="12" w:space="0"/>
            </w:tcBorders>
            <w:vAlign w:val="center"/>
          </w:tcPr>
          <w:p>
            <w:pPr>
              <w:pStyle w:val="15"/>
              <w:rPr>
                <w:rFonts w:ascii="宋体" w:hAnsi="宋体"/>
                <w:bCs/>
              </w:rPr>
            </w:pPr>
            <w:r>
              <w:rPr>
                <w:rFonts w:hint="eastAsia" w:ascii="宋体" w:hAnsi="宋体"/>
                <w:bCs/>
              </w:rPr>
              <w:t>50%</w:t>
            </w:r>
          </w:p>
        </w:tc>
      </w:tr>
      <w:tr>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pPr>
              <w:pStyle w:val="15"/>
              <w:rPr>
                <w:rFonts w:hint="eastAsia" w:eastAsia="宋体"/>
                <w:color w:val="auto"/>
                <w:lang w:val="en-US" w:eastAsia="zh-CN"/>
              </w:rPr>
            </w:pPr>
            <w:r>
              <w:rPr>
                <w:color w:val="auto"/>
              </w:rPr>
              <w:t>LO</w:t>
            </w:r>
            <w:r>
              <w:rPr>
                <w:rFonts w:hint="eastAsia"/>
                <w:color w:val="auto"/>
                <w:lang w:val="en-US" w:eastAsia="zh-CN"/>
              </w:rPr>
              <w:t>7</w:t>
            </w:r>
          </w:p>
        </w:tc>
        <w:tc>
          <w:tcPr>
            <w:tcW w:w="794" w:type="dxa"/>
            <w:tcBorders>
              <w:left w:val="single" w:color="auto" w:sz="4" w:space="0"/>
              <w:bottom w:val="single" w:color="auto" w:sz="12" w:space="0"/>
            </w:tcBorders>
            <w:vAlign w:val="center"/>
          </w:tcPr>
          <w:p>
            <w:pPr>
              <w:pStyle w:val="15"/>
              <w:rPr>
                <w:rFonts w:hint="eastAsia" w:cs="Times New Roman"/>
                <w:bCs/>
                <w:color w:val="auto"/>
              </w:rPr>
            </w:pPr>
            <w:r>
              <w:rPr>
                <w:rFonts w:hint="eastAsia" w:cs="Times New Roman"/>
                <w:bCs/>
              </w:rPr>
              <w:t>②</w:t>
            </w:r>
          </w:p>
        </w:tc>
        <w:tc>
          <w:tcPr>
            <w:tcW w:w="794" w:type="dxa"/>
            <w:tcBorders>
              <w:bottom w:val="single" w:color="auto" w:sz="12" w:space="0"/>
              <w:right w:val="double" w:color="auto" w:sz="4" w:space="0"/>
            </w:tcBorders>
            <w:shd w:val="clear" w:color="auto" w:fill="auto"/>
            <w:vAlign w:val="center"/>
          </w:tcPr>
          <w:p>
            <w:pPr>
              <w:pStyle w:val="15"/>
              <w:rPr>
                <w:rFonts w:hint="eastAsia" w:cs="Times New Roman"/>
                <w:color w:val="auto"/>
              </w:rPr>
            </w:pPr>
            <w:r>
              <w:rPr>
                <w:rFonts w:hint="eastAsia" w:cs="Times New Roman"/>
                <w:color w:val="auto"/>
              </w:rPr>
              <w:t>L</w:t>
            </w:r>
          </w:p>
        </w:tc>
        <w:tc>
          <w:tcPr>
            <w:tcW w:w="4763" w:type="dxa"/>
            <w:tcBorders>
              <w:bottom w:val="single" w:color="auto" w:sz="12" w:space="0"/>
            </w:tcBorders>
            <w:vAlign w:val="center"/>
          </w:tcPr>
          <w:p>
            <w:pPr>
              <w:pStyle w:val="15"/>
              <w:jc w:val="left"/>
              <w:rPr>
                <w:rFonts w:hint="eastAsia" w:ascii="宋体" w:hAnsi="宋体"/>
                <w:bCs/>
              </w:rPr>
            </w:pPr>
            <w:r>
              <w:rPr>
                <w:rFonts w:hint="eastAsia" w:ascii="宋体" w:hAnsi="宋体"/>
                <w:bCs/>
                <w:lang w:val="en-US" w:eastAsia="zh-CN"/>
              </w:rPr>
              <w:t>4、</w:t>
            </w:r>
            <w:r>
              <w:rPr>
                <w:rFonts w:hint="eastAsia" w:ascii="宋体" w:hAnsi="宋体"/>
                <w:bCs/>
              </w:rPr>
              <w:t>能初步评价有关国际商事案件的裁决或判决。</w:t>
            </w:r>
          </w:p>
        </w:tc>
        <w:tc>
          <w:tcPr>
            <w:tcW w:w="1348" w:type="dxa"/>
            <w:tcBorders>
              <w:bottom w:val="single" w:color="auto" w:sz="12" w:space="0"/>
              <w:right w:val="single" w:color="auto" w:sz="12" w:space="0"/>
            </w:tcBorders>
            <w:vAlign w:val="center"/>
          </w:tcPr>
          <w:p>
            <w:pPr>
              <w:pStyle w:val="15"/>
              <w:rPr>
                <w:rFonts w:hint="eastAsia" w:ascii="宋体" w:hAnsi="宋体"/>
                <w:bCs/>
              </w:rPr>
            </w:pPr>
            <w:r>
              <w:rPr>
                <w:rFonts w:hint="eastAsia" w:ascii="宋体" w:hAnsi="宋体"/>
                <w:bCs/>
              </w:rPr>
              <w:t>100%</w:t>
            </w:r>
          </w:p>
        </w:tc>
      </w:tr>
      <w:bookmarkEnd w:id="1"/>
    </w:tbl>
    <w:p>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c>
          <w:tcPr>
            <w:tcW w:w="8296" w:type="dxa"/>
          </w:tcPr>
          <w:p>
            <w:pPr>
              <w:pStyle w:val="15"/>
              <w:widowControl w:val="0"/>
              <w:jc w:val="left"/>
              <w:rPr>
                <w:rFonts w:ascii="宋体" w:hAnsi="宋体"/>
                <w:bCs/>
              </w:rPr>
            </w:pPr>
            <w:bookmarkStart w:id="2" w:name="_Hlk159409883"/>
            <w:bookmarkStart w:id="3" w:name="OLE_LINK5"/>
            <w:bookmarkStart w:id="4" w:name="OLE_LINK6"/>
            <w:r>
              <w:rPr>
                <w:rFonts w:hint="eastAsia" w:ascii="宋体" w:hAnsi="宋体"/>
                <w:bCs/>
              </w:rPr>
              <w:t>第</w:t>
            </w:r>
            <w:r>
              <w:rPr>
                <w:rFonts w:ascii="宋体" w:hAnsi="宋体"/>
                <w:bCs/>
              </w:rPr>
              <w:t xml:space="preserve">1单元  导论            </w:t>
            </w:r>
          </w:p>
          <w:p>
            <w:pPr>
              <w:pStyle w:val="15"/>
              <w:widowControl w:val="0"/>
              <w:jc w:val="left"/>
              <w:rPr>
                <w:rFonts w:ascii="宋体" w:hAnsi="宋体"/>
                <w:bCs/>
              </w:rPr>
            </w:pPr>
            <w:r>
              <w:rPr>
                <w:rFonts w:hint="eastAsia" w:ascii="宋体" w:hAnsi="宋体"/>
                <w:bCs/>
              </w:rPr>
              <w:t>教学内容：</w:t>
            </w:r>
          </w:p>
          <w:p>
            <w:pPr>
              <w:pStyle w:val="15"/>
              <w:widowControl w:val="0"/>
              <w:jc w:val="left"/>
              <w:rPr>
                <w:rFonts w:ascii="宋体" w:hAnsi="宋体"/>
                <w:bCs/>
              </w:rPr>
            </w:pPr>
            <w:r>
              <w:rPr>
                <w:rFonts w:ascii="宋体" w:hAnsi="宋体"/>
                <w:bCs/>
              </w:rPr>
              <w:t>1.1国际商法的概念</w:t>
            </w:r>
          </w:p>
          <w:p>
            <w:pPr>
              <w:pStyle w:val="15"/>
              <w:widowControl w:val="0"/>
              <w:jc w:val="left"/>
              <w:rPr>
                <w:rFonts w:ascii="宋体" w:hAnsi="宋体"/>
                <w:bCs/>
              </w:rPr>
            </w:pPr>
            <w:r>
              <w:rPr>
                <w:rFonts w:ascii="宋体" w:hAnsi="宋体"/>
                <w:bCs/>
              </w:rPr>
              <w:t>1.2国际商法的产生与发展</w:t>
            </w:r>
          </w:p>
          <w:p>
            <w:pPr>
              <w:pStyle w:val="15"/>
              <w:widowControl w:val="0"/>
              <w:jc w:val="left"/>
              <w:rPr>
                <w:rFonts w:ascii="宋体" w:hAnsi="宋体"/>
                <w:bCs/>
              </w:rPr>
            </w:pPr>
            <w:r>
              <w:rPr>
                <w:rFonts w:ascii="宋体" w:hAnsi="宋体"/>
                <w:bCs/>
              </w:rPr>
              <w:t>1.3国际商法的渊源</w:t>
            </w:r>
          </w:p>
          <w:p>
            <w:pPr>
              <w:pStyle w:val="15"/>
              <w:widowControl w:val="0"/>
              <w:jc w:val="left"/>
              <w:rPr>
                <w:rFonts w:ascii="宋体" w:hAnsi="宋体"/>
                <w:bCs/>
              </w:rPr>
            </w:pPr>
            <w:r>
              <w:rPr>
                <w:rFonts w:ascii="宋体" w:hAnsi="宋体"/>
                <w:bCs/>
              </w:rPr>
              <w:t>1.4世界两大主要的法律</w:t>
            </w:r>
          </w:p>
          <w:p>
            <w:pPr>
              <w:pStyle w:val="15"/>
              <w:widowControl w:val="0"/>
              <w:jc w:val="left"/>
              <w:rPr>
                <w:rFonts w:ascii="宋体" w:hAnsi="宋体"/>
                <w:bCs/>
              </w:rPr>
            </w:pPr>
            <w:r>
              <w:rPr>
                <w:rFonts w:hint="eastAsia" w:ascii="宋体" w:hAnsi="宋体"/>
                <w:bCs/>
              </w:rPr>
              <w:t>知识点：</w:t>
            </w:r>
          </w:p>
          <w:p>
            <w:pPr>
              <w:pStyle w:val="15"/>
              <w:widowControl w:val="0"/>
              <w:jc w:val="left"/>
              <w:rPr>
                <w:rFonts w:ascii="宋体" w:hAnsi="宋体"/>
                <w:bCs/>
              </w:rPr>
            </w:pPr>
            <w:r>
              <w:rPr>
                <w:rFonts w:hint="eastAsia" w:ascii="宋体" w:hAnsi="宋体"/>
                <w:bCs/>
              </w:rPr>
              <w:t>①知道国际商法的基本含义和主要内容国际商法的概念；</w:t>
            </w:r>
          </w:p>
          <w:p>
            <w:pPr>
              <w:pStyle w:val="15"/>
              <w:widowControl w:val="0"/>
              <w:jc w:val="left"/>
              <w:rPr>
                <w:rFonts w:ascii="宋体" w:hAnsi="宋体"/>
                <w:bCs/>
              </w:rPr>
            </w:pPr>
            <w:r>
              <w:rPr>
                <w:rFonts w:hint="eastAsia" w:ascii="宋体" w:hAnsi="宋体"/>
                <w:bCs/>
              </w:rPr>
              <w:t>②理解国际商法的渊源；</w:t>
            </w:r>
          </w:p>
          <w:p>
            <w:pPr>
              <w:pStyle w:val="15"/>
              <w:widowControl w:val="0"/>
              <w:jc w:val="left"/>
              <w:rPr>
                <w:rFonts w:ascii="宋体" w:hAnsi="宋体"/>
                <w:bCs/>
              </w:rPr>
            </w:pPr>
            <w:r>
              <w:rPr>
                <w:rFonts w:hint="eastAsia" w:ascii="宋体" w:hAnsi="宋体"/>
                <w:bCs/>
              </w:rPr>
              <w:t>③知道国际商法的历史沿革；</w:t>
            </w:r>
          </w:p>
          <w:p>
            <w:pPr>
              <w:pStyle w:val="15"/>
              <w:widowControl w:val="0"/>
              <w:jc w:val="left"/>
              <w:rPr>
                <w:rFonts w:ascii="宋体" w:hAnsi="宋体"/>
                <w:bCs/>
              </w:rPr>
            </w:pPr>
            <w:r>
              <w:rPr>
                <w:rFonts w:hint="eastAsia" w:ascii="宋体" w:hAnsi="宋体"/>
                <w:bCs/>
              </w:rPr>
              <w:t>④会运用国际商法的基本原则。</w:t>
            </w:r>
          </w:p>
          <w:p>
            <w:pPr>
              <w:pStyle w:val="15"/>
              <w:widowControl w:val="0"/>
              <w:jc w:val="left"/>
              <w:rPr>
                <w:rFonts w:ascii="宋体" w:hAnsi="宋体"/>
                <w:bCs/>
              </w:rPr>
            </w:pPr>
            <w:r>
              <w:rPr>
                <w:rFonts w:hint="eastAsia" w:ascii="宋体" w:hAnsi="宋体"/>
                <w:bCs/>
              </w:rPr>
              <w:t>能力要求：</w:t>
            </w:r>
          </w:p>
          <w:p>
            <w:pPr>
              <w:pStyle w:val="15"/>
              <w:widowControl w:val="0"/>
              <w:jc w:val="left"/>
              <w:rPr>
                <w:rFonts w:ascii="宋体" w:hAnsi="宋体"/>
                <w:bCs/>
              </w:rPr>
            </w:pPr>
            <w:r>
              <w:rPr>
                <w:rFonts w:hint="eastAsia" w:ascii="宋体" w:hAnsi="宋体"/>
                <w:bCs/>
              </w:rPr>
              <w:t>①能够理解法律冲突对于国际商务活动的影响；</w:t>
            </w:r>
          </w:p>
          <w:p>
            <w:pPr>
              <w:pStyle w:val="15"/>
              <w:widowControl w:val="0"/>
              <w:jc w:val="left"/>
              <w:rPr>
                <w:rFonts w:ascii="宋体" w:hAnsi="宋体"/>
                <w:bCs/>
              </w:rPr>
            </w:pPr>
            <w:r>
              <w:rPr>
                <w:rFonts w:hint="eastAsia" w:ascii="宋体" w:hAnsi="宋体"/>
                <w:bCs/>
              </w:rPr>
              <w:t>②能够运用商法的基本原则解决商务纠纷。</w:t>
            </w:r>
          </w:p>
          <w:p>
            <w:pPr>
              <w:pStyle w:val="15"/>
              <w:widowControl w:val="0"/>
              <w:jc w:val="left"/>
              <w:rPr>
                <w:rFonts w:ascii="宋体" w:hAnsi="宋体"/>
                <w:bCs/>
              </w:rPr>
            </w:pPr>
            <w:r>
              <w:rPr>
                <w:rFonts w:hint="eastAsia" w:ascii="宋体" w:hAnsi="宋体"/>
                <w:bCs/>
              </w:rPr>
              <w:t>教学重点：</w:t>
            </w:r>
          </w:p>
          <w:p>
            <w:pPr>
              <w:pStyle w:val="15"/>
              <w:widowControl w:val="0"/>
              <w:jc w:val="left"/>
              <w:rPr>
                <w:rFonts w:ascii="宋体" w:hAnsi="宋体"/>
                <w:bCs/>
              </w:rPr>
            </w:pPr>
            <w:r>
              <w:rPr>
                <w:rFonts w:hint="eastAsia" w:ascii="宋体" w:hAnsi="宋体"/>
                <w:bCs/>
              </w:rPr>
              <w:t>国际商法的渊源；</w:t>
            </w:r>
            <w:r>
              <w:rPr>
                <w:rFonts w:ascii="宋体" w:hAnsi="宋体"/>
                <w:bCs/>
              </w:rPr>
              <w:t>国际商法的基本原则</w:t>
            </w:r>
            <w:r>
              <w:rPr>
                <w:rFonts w:hint="eastAsia" w:ascii="宋体" w:hAnsi="宋体"/>
                <w:bCs/>
              </w:rPr>
              <w:t>；</w:t>
            </w:r>
            <w:r>
              <w:rPr>
                <w:rFonts w:ascii="宋体" w:hAnsi="宋体"/>
                <w:bCs/>
              </w:rPr>
              <w:t>西方两大法系主要特点和区别</w:t>
            </w:r>
            <w:r>
              <w:rPr>
                <w:rFonts w:hint="eastAsia" w:ascii="宋体" w:hAnsi="宋体"/>
                <w:bCs/>
              </w:rPr>
              <w:t>。</w:t>
            </w:r>
          </w:p>
          <w:p>
            <w:pPr>
              <w:pStyle w:val="15"/>
              <w:widowControl w:val="0"/>
              <w:jc w:val="left"/>
              <w:rPr>
                <w:rFonts w:hint="eastAsia" w:ascii="宋体" w:hAnsi="宋体"/>
                <w:bCs/>
              </w:rPr>
            </w:pPr>
            <w:r>
              <w:rPr>
                <w:rFonts w:hint="eastAsia" w:ascii="宋体" w:hAnsi="宋体"/>
                <w:bCs/>
              </w:rPr>
              <w:t>第</w:t>
            </w:r>
            <w:r>
              <w:rPr>
                <w:rFonts w:ascii="宋体" w:hAnsi="宋体"/>
                <w:bCs/>
              </w:rPr>
              <w:t xml:space="preserve">2单元  合同法      </w:t>
            </w:r>
          </w:p>
          <w:p>
            <w:pPr>
              <w:pStyle w:val="15"/>
              <w:widowControl w:val="0"/>
              <w:jc w:val="left"/>
              <w:rPr>
                <w:rFonts w:ascii="宋体" w:hAnsi="宋体"/>
                <w:bCs/>
              </w:rPr>
            </w:pPr>
            <w:r>
              <w:rPr>
                <w:rFonts w:hint="eastAsia" w:ascii="宋体" w:hAnsi="宋体"/>
                <w:bCs/>
              </w:rPr>
              <w:t>教学内容：</w:t>
            </w:r>
          </w:p>
          <w:p>
            <w:pPr>
              <w:pStyle w:val="15"/>
              <w:widowControl w:val="0"/>
              <w:jc w:val="left"/>
              <w:rPr>
                <w:rFonts w:ascii="宋体" w:hAnsi="宋体"/>
                <w:bCs/>
              </w:rPr>
            </w:pPr>
            <w:r>
              <w:rPr>
                <w:rFonts w:ascii="宋体" w:hAnsi="宋体"/>
                <w:bCs/>
              </w:rPr>
              <w:t>2.1 合同法概述</w:t>
            </w:r>
          </w:p>
          <w:p>
            <w:pPr>
              <w:pStyle w:val="15"/>
              <w:widowControl w:val="0"/>
              <w:jc w:val="left"/>
              <w:rPr>
                <w:rFonts w:ascii="宋体" w:hAnsi="宋体"/>
                <w:bCs/>
              </w:rPr>
            </w:pPr>
            <w:r>
              <w:rPr>
                <w:rFonts w:ascii="宋体" w:hAnsi="宋体"/>
                <w:bCs/>
              </w:rPr>
              <w:t>2.2 合同的成立</w:t>
            </w:r>
          </w:p>
          <w:p>
            <w:pPr>
              <w:pStyle w:val="15"/>
              <w:widowControl w:val="0"/>
              <w:jc w:val="left"/>
              <w:rPr>
                <w:rFonts w:ascii="宋体" w:hAnsi="宋体"/>
                <w:bCs/>
              </w:rPr>
            </w:pPr>
            <w:r>
              <w:rPr>
                <w:rFonts w:ascii="宋体" w:hAnsi="宋体"/>
                <w:bCs/>
              </w:rPr>
              <w:t>2.3 合同的生效</w:t>
            </w:r>
          </w:p>
          <w:p>
            <w:pPr>
              <w:pStyle w:val="15"/>
              <w:widowControl w:val="0"/>
              <w:jc w:val="left"/>
              <w:rPr>
                <w:rFonts w:ascii="宋体" w:hAnsi="宋体"/>
                <w:bCs/>
              </w:rPr>
            </w:pPr>
            <w:r>
              <w:rPr>
                <w:rFonts w:ascii="宋体" w:hAnsi="宋体"/>
                <w:bCs/>
              </w:rPr>
              <w:t>2.4 合同的变更和合同的转让</w:t>
            </w:r>
          </w:p>
          <w:p>
            <w:pPr>
              <w:pStyle w:val="15"/>
              <w:widowControl w:val="0"/>
              <w:jc w:val="left"/>
              <w:rPr>
                <w:rFonts w:ascii="宋体" w:hAnsi="宋体"/>
                <w:bCs/>
              </w:rPr>
            </w:pPr>
            <w:r>
              <w:rPr>
                <w:rFonts w:ascii="宋体" w:hAnsi="宋体"/>
                <w:bCs/>
              </w:rPr>
              <w:t>2.5 合同的保全</w:t>
            </w:r>
          </w:p>
          <w:p>
            <w:pPr>
              <w:pStyle w:val="15"/>
              <w:widowControl w:val="0"/>
              <w:jc w:val="left"/>
              <w:rPr>
                <w:rFonts w:ascii="宋体" w:hAnsi="宋体"/>
                <w:bCs/>
              </w:rPr>
            </w:pPr>
            <w:r>
              <w:rPr>
                <w:rFonts w:ascii="宋体" w:hAnsi="宋体"/>
                <w:bCs/>
              </w:rPr>
              <w:t>2.6 合同的终止</w:t>
            </w:r>
          </w:p>
          <w:p>
            <w:pPr>
              <w:pStyle w:val="15"/>
              <w:widowControl w:val="0"/>
              <w:jc w:val="left"/>
              <w:rPr>
                <w:rFonts w:ascii="宋体" w:hAnsi="宋体"/>
                <w:bCs/>
              </w:rPr>
            </w:pPr>
            <w:r>
              <w:rPr>
                <w:rFonts w:ascii="宋体" w:hAnsi="宋体"/>
                <w:bCs/>
              </w:rPr>
              <w:t>2.7 违约责任</w:t>
            </w:r>
          </w:p>
          <w:p>
            <w:pPr>
              <w:pStyle w:val="15"/>
              <w:widowControl w:val="0"/>
              <w:jc w:val="left"/>
              <w:rPr>
                <w:rFonts w:ascii="宋体" w:hAnsi="宋体"/>
                <w:bCs/>
              </w:rPr>
            </w:pPr>
            <w:r>
              <w:rPr>
                <w:rFonts w:ascii="宋体" w:hAnsi="宋体"/>
                <w:bCs/>
              </w:rPr>
              <w:t>2.8双方合同履行中的抗辩权</w:t>
            </w:r>
          </w:p>
          <w:p>
            <w:pPr>
              <w:pStyle w:val="15"/>
              <w:widowControl w:val="0"/>
              <w:jc w:val="left"/>
              <w:rPr>
                <w:rFonts w:ascii="宋体" w:hAnsi="宋体"/>
                <w:bCs/>
              </w:rPr>
            </w:pPr>
            <w:r>
              <w:rPr>
                <w:rFonts w:hint="eastAsia" w:ascii="宋体" w:hAnsi="宋体"/>
                <w:bCs/>
              </w:rPr>
              <w:t>知识点：</w:t>
            </w:r>
          </w:p>
          <w:p>
            <w:pPr>
              <w:pStyle w:val="15"/>
              <w:widowControl w:val="0"/>
              <w:jc w:val="left"/>
              <w:rPr>
                <w:rFonts w:ascii="宋体" w:hAnsi="宋体"/>
                <w:bCs/>
              </w:rPr>
            </w:pPr>
            <w:r>
              <w:rPr>
                <w:rFonts w:hint="eastAsia" w:ascii="宋体" w:hAnsi="宋体"/>
                <w:bCs/>
              </w:rPr>
              <w:t>①理解合同的基本概念和一般法律原则；</w:t>
            </w:r>
          </w:p>
          <w:p>
            <w:pPr>
              <w:pStyle w:val="15"/>
              <w:widowControl w:val="0"/>
              <w:jc w:val="left"/>
              <w:rPr>
                <w:rFonts w:ascii="宋体" w:hAnsi="宋体"/>
                <w:bCs/>
              </w:rPr>
            </w:pPr>
            <w:r>
              <w:rPr>
                <w:rFonts w:hint="eastAsia" w:ascii="宋体" w:hAnsi="宋体"/>
                <w:bCs/>
              </w:rPr>
              <w:t>②理解合同成立的基本程序；</w:t>
            </w:r>
          </w:p>
          <w:p>
            <w:pPr>
              <w:pStyle w:val="15"/>
              <w:widowControl w:val="0"/>
              <w:jc w:val="left"/>
              <w:rPr>
                <w:rFonts w:ascii="宋体" w:hAnsi="宋体"/>
                <w:bCs/>
              </w:rPr>
            </w:pPr>
            <w:r>
              <w:rPr>
                <w:rFonts w:hint="eastAsia" w:ascii="宋体" w:hAnsi="宋体"/>
                <w:bCs/>
              </w:rPr>
              <w:t>③知道影响合同效力的主要因素；</w:t>
            </w:r>
          </w:p>
          <w:p>
            <w:pPr>
              <w:pStyle w:val="15"/>
              <w:widowControl w:val="0"/>
              <w:jc w:val="left"/>
              <w:rPr>
                <w:rFonts w:ascii="宋体" w:hAnsi="宋体"/>
                <w:bCs/>
              </w:rPr>
            </w:pPr>
            <w:r>
              <w:rPr>
                <w:rFonts w:hint="eastAsia" w:ascii="宋体" w:hAnsi="宋体"/>
                <w:bCs/>
              </w:rPr>
              <w:t>④运用合同履行中的抗辩权及保全措施；</w:t>
            </w:r>
          </w:p>
          <w:p>
            <w:pPr>
              <w:pStyle w:val="15"/>
              <w:widowControl w:val="0"/>
              <w:jc w:val="left"/>
              <w:rPr>
                <w:rFonts w:ascii="宋体" w:hAnsi="宋体"/>
                <w:bCs/>
              </w:rPr>
            </w:pPr>
            <w:r>
              <w:rPr>
                <w:rFonts w:hint="eastAsia" w:ascii="宋体" w:hAnsi="宋体"/>
                <w:bCs/>
              </w:rPr>
              <w:t>⑤理解合同变更、转让和解除的基本规则及法律后果；</w:t>
            </w:r>
          </w:p>
          <w:p>
            <w:pPr>
              <w:pStyle w:val="15"/>
              <w:widowControl w:val="0"/>
              <w:jc w:val="left"/>
              <w:rPr>
                <w:rFonts w:ascii="宋体" w:hAnsi="宋体"/>
                <w:bCs/>
              </w:rPr>
            </w:pPr>
            <w:r>
              <w:rPr>
                <w:rFonts w:hint="eastAsia" w:ascii="宋体" w:hAnsi="宋体"/>
                <w:bCs/>
              </w:rPr>
              <w:t>⑥分析合同终止的原因及法律后果；</w:t>
            </w:r>
          </w:p>
          <w:p>
            <w:pPr>
              <w:pStyle w:val="15"/>
              <w:widowControl w:val="0"/>
              <w:jc w:val="left"/>
              <w:rPr>
                <w:rFonts w:ascii="宋体" w:hAnsi="宋体"/>
                <w:bCs/>
              </w:rPr>
            </w:pPr>
            <w:r>
              <w:rPr>
                <w:rFonts w:hint="eastAsia" w:ascii="宋体" w:hAnsi="宋体"/>
                <w:bCs/>
              </w:rPr>
              <w:t>⑦知道违约的归责原则，能运用主要的违约救济方法。</w:t>
            </w:r>
          </w:p>
          <w:p>
            <w:pPr>
              <w:pStyle w:val="15"/>
              <w:widowControl w:val="0"/>
              <w:jc w:val="left"/>
              <w:rPr>
                <w:rFonts w:ascii="宋体" w:hAnsi="宋体"/>
                <w:bCs/>
              </w:rPr>
            </w:pPr>
            <w:r>
              <w:rPr>
                <w:rFonts w:hint="eastAsia" w:ascii="宋体" w:hAnsi="宋体"/>
                <w:bCs/>
              </w:rPr>
              <w:t>能力要求：</w:t>
            </w:r>
          </w:p>
          <w:p>
            <w:pPr>
              <w:pStyle w:val="15"/>
              <w:widowControl w:val="0"/>
              <w:jc w:val="left"/>
              <w:rPr>
                <w:rFonts w:ascii="宋体" w:hAnsi="宋体"/>
                <w:bCs/>
              </w:rPr>
            </w:pPr>
            <w:r>
              <w:rPr>
                <w:rFonts w:hint="eastAsia" w:ascii="宋体" w:hAnsi="宋体"/>
                <w:bCs/>
              </w:rPr>
              <w:t>①能够判断合同是否成立；</w:t>
            </w:r>
          </w:p>
          <w:p>
            <w:pPr>
              <w:pStyle w:val="15"/>
              <w:widowControl w:val="0"/>
              <w:jc w:val="left"/>
              <w:rPr>
                <w:rFonts w:ascii="宋体" w:hAnsi="宋体"/>
                <w:bCs/>
              </w:rPr>
            </w:pPr>
            <w:r>
              <w:rPr>
                <w:rFonts w:hint="eastAsia" w:ascii="宋体" w:hAnsi="宋体"/>
                <w:bCs/>
              </w:rPr>
              <w:t>②能够依照法律程序订立合同；</w:t>
            </w:r>
          </w:p>
          <w:p>
            <w:pPr>
              <w:pStyle w:val="15"/>
              <w:widowControl w:val="0"/>
              <w:jc w:val="left"/>
              <w:rPr>
                <w:rFonts w:ascii="宋体" w:hAnsi="宋体"/>
                <w:bCs/>
              </w:rPr>
            </w:pPr>
            <w:r>
              <w:rPr>
                <w:rFonts w:hint="eastAsia" w:ascii="宋体" w:hAnsi="宋体"/>
                <w:bCs/>
              </w:rPr>
              <w:t>③能够较准确地判断合同是否有效；</w:t>
            </w:r>
          </w:p>
          <w:p>
            <w:pPr>
              <w:pStyle w:val="15"/>
              <w:widowControl w:val="0"/>
              <w:jc w:val="left"/>
              <w:rPr>
                <w:rFonts w:ascii="宋体" w:hAnsi="宋体"/>
                <w:bCs/>
              </w:rPr>
            </w:pPr>
            <w:r>
              <w:rPr>
                <w:rFonts w:hint="eastAsia" w:ascii="宋体" w:hAnsi="宋体"/>
                <w:bCs/>
              </w:rPr>
              <w:t>④能够依法适当履行合同；</w:t>
            </w:r>
          </w:p>
          <w:p>
            <w:pPr>
              <w:pStyle w:val="15"/>
              <w:widowControl w:val="0"/>
              <w:jc w:val="left"/>
              <w:rPr>
                <w:rFonts w:ascii="宋体" w:hAnsi="宋体"/>
                <w:bCs/>
              </w:rPr>
            </w:pPr>
            <w:r>
              <w:rPr>
                <w:rFonts w:hint="eastAsia" w:ascii="宋体" w:hAnsi="宋体"/>
                <w:bCs/>
              </w:rPr>
              <w:t>⑤能够依法确定合同条款约定不明确时的履行方案；</w:t>
            </w:r>
          </w:p>
          <w:p>
            <w:pPr>
              <w:pStyle w:val="15"/>
              <w:widowControl w:val="0"/>
              <w:jc w:val="left"/>
              <w:rPr>
                <w:rFonts w:ascii="宋体" w:hAnsi="宋体"/>
                <w:bCs/>
              </w:rPr>
            </w:pPr>
            <w:r>
              <w:rPr>
                <w:rFonts w:hint="eastAsia" w:ascii="宋体" w:hAnsi="宋体"/>
                <w:bCs/>
              </w:rPr>
              <w:t>⑥能够正确运用抗辩权、合同保全措施，保护自身合法权益；</w:t>
            </w:r>
          </w:p>
          <w:p>
            <w:pPr>
              <w:pStyle w:val="15"/>
              <w:widowControl w:val="0"/>
              <w:jc w:val="left"/>
              <w:rPr>
                <w:rFonts w:ascii="宋体" w:hAnsi="宋体"/>
                <w:bCs/>
              </w:rPr>
            </w:pPr>
            <w:r>
              <w:rPr>
                <w:rFonts w:hint="eastAsia" w:ascii="宋体" w:hAnsi="宋体"/>
                <w:bCs/>
              </w:rPr>
              <w:t>⑦能够依法正确处理合同变更、转让、解除等问题，防范其中的法律风险；</w:t>
            </w:r>
          </w:p>
          <w:p>
            <w:pPr>
              <w:pStyle w:val="15"/>
              <w:widowControl w:val="0"/>
              <w:jc w:val="left"/>
              <w:rPr>
                <w:rFonts w:ascii="宋体" w:hAnsi="宋体"/>
                <w:bCs/>
              </w:rPr>
            </w:pPr>
            <w:r>
              <w:rPr>
                <w:rFonts w:hint="eastAsia" w:ascii="宋体" w:hAnsi="宋体"/>
                <w:bCs/>
              </w:rPr>
              <w:t>⑧能够正确处理违约事件，选择适当的救济方法。</w:t>
            </w:r>
          </w:p>
          <w:p>
            <w:pPr>
              <w:pStyle w:val="15"/>
              <w:widowControl w:val="0"/>
              <w:jc w:val="left"/>
              <w:rPr>
                <w:rFonts w:ascii="宋体" w:hAnsi="宋体"/>
                <w:bCs/>
              </w:rPr>
            </w:pPr>
            <w:r>
              <w:rPr>
                <w:rFonts w:hint="eastAsia" w:ascii="宋体" w:hAnsi="宋体"/>
                <w:bCs/>
              </w:rPr>
              <w:t>教学重点：</w:t>
            </w:r>
          </w:p>
          <w:p>
            <w:pPr>
              <w:pStyle w:val="15"/>
              <w:widowControl w:val="0"/>
              <w:jc w:val="left"/>
              <w:rPr>
                <w:rFonts w:ascii="宋体" w:hAnsi="宋体"/>
                <w:bCs/>
              </w:rPr>
            </w:pPr>
            <w:r>
              <w:rPr>
                <w:rFonts w:hint="eastAsia" w:ascii="宋体" w:hAnsi="宋体"/>
                <w:bCs/>
              </w:rPr>
              <w:t>①合同、联系国国际货物销售合同公约、要约、承诺、对价和约因、合同错误、欺诈、胁迫、误解、显失公平、合同终止、违约、违约救济、违约免责的概念；</w:t>
            </w:r>
            <w:r>
              <w:rPr>
                <w:rFonts w:ascii="宋体" w:hAnsi="宋体"/>
                <w:bCs/>
              </w:rPr>
              <w:t xml:space="preserve">  </w:t>
            </w:r>
          </w:p>
          <w:p>
            <w:pPr>
              <w:pStyle w:val="15"/>
              <w:widowControl w:val="0"/>
              <w:jc w:val="left"/>
              <w:rPr>
                <w:rFonts w:ascii="宋体" w:hAnsi="宋体"/>
                <w:bCs/>
              </w:rPr>
            </w:pPr>
            <w:r>
              <w:rPr>
                <w:rFonts w:hint="eastAsia" w:ascii="宋体" w:hAnsi="宋体"/>
                <w:bCs/>
              </w:rPr>
              <w:t>②合同的一般法律原则；</w:t>
            </w:r>
            <w:r>
              <w:rPr>
                <w:rFonts w:ascii="宋体" w:hAnsi="宋体"/>
                <w:bCs/>
              </w:rPr>
              <w:t xml:space="preserve">  </w:t>
            </w:r>
          </w:p>
          <w:p>
            <w:pPr>
              <w:pStyle w:val="15"/>
              <w:widowControl w:val="0"/>
              <w:jc w:val="left"/>
              <w:rPr>
                <w:rFonts w:ascii="宋体" w:hAnsi="宋体"/>
                <w:bCs/>
              </w:rPr>
            </w:pPr>
            <w:r>
              <w:rPr>
                <w:rFonts w:hint="eastAsia" w:ascii="宋体" w:hAnsi="宋体"/>
                <w:bCs/>
              </w:rPr>
              <w:t>③合同订立及有效成立的要件以及各国法律、公约、中国法律、国际惯例不同的处理方式；</w:t>
            </w:r>
          </w:p>
          <w:p>
            <w:pPr>
              <w:pStyle w:val="15"/>
              <w:widowControl w:val="0"/>
              <w:jc w:val="left"/>
              <w:rPr>
                <w:rFonts w:ascii="宋体" w:hAnsi="宋体"/>
                <w:bCs/>
              </w:rPr>
            </w:pPr>
            <w:r>
              <w:rPr>
                <w:rFonts w:hint="eastAsia" w:ascii="宋体" w:hAnsi="宋体"/>
                <w:bCs/>
              </w:rPr>
              <w:t>④合同履行的一般规则及各国法律、公约、中国法律、国际惯例不同的处理方式；</w:t>
            </w:r>
          </w:p>
          <w:p>
            <w:pPr>
              <w:pStyle w:val="15"/>
              <w:widowControl w:val="0"/>
              <w:jc w:val="left"/>
              <w:rPr>
                <w:rFonts w:ascii="宋体" w:hAnsi="宋体"/>
                <w:bCs/>
              </w:rPr>
            </w:pPr>
            <w:r>
              <w:rPr>
                <w:rFonts w:hint="eastAsia" w:ascii="宋体" w:hAnsi="宋体"/>
                <w:bCs/>
              </w:rPr>
              <w:t>⑤各国法律、公约、中国法律、国际惯例对违约的形式、违约责任、违约救济与违约免责不同的处理方式。</w:t>
            </w:r>
          </w:p>
          <w:p>
            <w:pPr>
              <w:pStyle w:val="15"/>
              <w:widowControl w:val="0"/>
              <w:jc w:val="left"/>
              <w:rPr>
                <w:rFonts w:ascii="宋体" w:hAnsi="宋体"/>
                <w:bCs/>
              </w:rPr>
            </w:pPr>
            <w:r>
              <w:rPr>
                <w:rFonts w:hint="eastAsia" w:ascii="宋体" w:hAnsi="宋体"/>
                <w:bCs/>
              </w:rPr>
              <w:t>教学难点：</w:t>
            </w:r>
          </w:p>
          <w:p>
            <w:pPr>
              <w:pStyle w:val="15"/>
              <w:widowControl w:val="0"/>
              <w:ind w:firstLine="420" w:firstLineChars="200"/>
              <w:jc w:val="left"/>
              <w:rPr>
                <w:rFonts w:hint="eastAsia" w:ascii="宋体" w:hAnsi="宋体"/>
                <w:bCs/>
              </w:rPr>
            </w:pPr>
            <w:r>
              <w:rPr>
                <w:rFonts w:hint="eastAsia" w:ascii="宋体" w:hAnsi="宋体"/>
                <w:bCs/>
              </w:rPr>
              <w:t>各国法律、公约、中国法律、国际惯例对违约的形式、违约责任、违约救济与违约免责不同的处理方式。</w:t>
            </w:r>
          </w:p>
          <w:p>
            <w:pPr>
              <w:pStyle w:val="15"/>
              <w:widowControl w:val="0"/>
              <w:jc w:val="left"/>
              <w:rPr>
                <w:rFonts w:ascii="宋体" w:hAnsi="宋体"/>
                <w:bCs/>
              </w:rPr>
            </w:pPr>
            <w:r>
              <w:rPr>
                <w:rFonts w:hint="eastAsia" w:ascii="宋体" w:hAnsi="宋体"/>
                <w:bCs/>
              </w:rPr>
              <w:t>第</w:t>
            </w:r>
            <w:r>
              <w:rPr>
                <w:rFonts w:ascii="宋体" w:hAnsi="宋体"/>
                <w:bCs/>
              </w:rPr>
              <w:t xml:space="preserve">3单元  国际货物买卖法      </w:t>
            </w:r>
          </w:p>
          <w:p>
            <w:pPr>
              <w:pStyle w:val="15"/>
              <w:widowControl w:val="0"/>
              <w:jc w:val="left"/>
              <w:rPr>
                <w:rFonts w:ascii="宋体" w:hAnsi="宋体"/>
                <w:bCs/>
              </w:rPr>
            </w:pPr>
            <w:r>
              <w:rPr>
                <w:rFonts w:hint="eastAsia" w:ascii="宋体" w:hAnsi="宋体"/>
                <w:bCs/>
              </w:rPr>
              <w:t>教学内容：</w:t>
            </w:r>
          </w:p>
          <w:p>
            <w:pPr>
              <w:pStyle w:val="15"/>
              <w:widowControl w:val="0"/>
              <w:jc w:val="left"/>
              <w:rPr>
                <w:rFonts w:ascii="宋体" w:hAnsi="宋体"/>
                <w:bCs/>
              </w:rPr>
            </w:pPr>
            <w:r>
              <w:rPr>
                <w:rFonts w:hint="eastAsia" w:ascii="宋体" w:hAnsi="宋体"/>
                <w:bCs/>
              </w:rPr>
              <w:t>3</w:t>
            </w:r>
            <w:r>
              <w:rPr>
                <w:rFonts w:ascii="宋体" w:hAnsi="宋体"/>
                <w:bCs/>
              </w:rPr>
              <w:t>.1 国际货物买卖合同的卖方的义务</w:t>
            </w:r>
          </w:p>
          <w:p>
            <w:pPr>
              <w:pStyle w:val="15"/>
              <w:widowControl w:val="0"/>
              <w:jc w:val="left"/>
              <w:rPr>
                <w:rFonts w:ascii="宋体" w:hAnsi="宋体"/>
                <w:bCs/>
              </w:rPr>
            </w:pPr>
            <w:r>
              <w:rPr>
                <w:rFonts w:hint="eastAsia" w:ascii="宋体" w:hAnsi="宋体"/>
                <w:bCs/>
              </w:rPr>
              <w:t>3</w:t>
            </w:r>
            <w:r>
              <w:rPr>
                <w:rFonts w:ascii="宋体" w:hAnsi="宋体"/>
                <w:bCs/>
              </w:rPr>
              <w:t>.2 国际货物买卖合同的买方的义务</w:t>
            </w:r>
          </w:p>
          <w:p>
            <w:pPr>
              <w:pStyle w:val="15"/>
              <w:widowControl w:val="0"/>
              <w:jc w:val="left"/>
              <w:rPr>
                <w:rFonts w:ascii="宋体" w:hAnsi="宋体"/>
                <w:bCs/>
              </w:rPr>
            </w:pPr>
            <w:r>
              <w:rPr>
                <w:rFonts w:hint="eastAsia" w:ascii="宋体" w:hAnsi="宋体"/>
                <w:bCs/>
              </w:rPr>
              <w:t>3</w:t>
            </w:r>
            <w:r>
              <w:rPr>
                <w:rFonts w:ascii="宋体" w:hAnsi="宋体"/>
                <w:bCs/>
              </w:rPr>
              <w:t>.3 违反国际货物买卖合同的救济方法</w:t>
            </w:r>
          </w:p>
          <w:p>
            <w:pPr>
              <w:pStyle w:val="15"/>
              <w:widowControl w:val="0"/>
              <w:jc w:val="left"/>
              <w:rPr>
                <w:rFonts w:ascii="宋体" w:hAnsi="宋体"/>
                <w:bCs/>
              </w:rPr>
            </w:pPr>
            <w:r>
              <w:rPr>
                <w:rFonts w:hint="eastAsia" w:ascii="宋体" w:hAnsi="宋体"/>
                <w:bCs/>
              </w:rPr>
              <w:t>3</w:t>
            </w:r>
            <w:r>
              <w:rPr>
                <w:rFonts w:ascii="宋体" w:hAnsi="宋体"/>
                <w:bCs/>
              </w:rPr>
              <w:t>.4 货物所有权与风险的转移</w:t>
            </w:r>
          </w:p>
          <w:p>
            <w:pPr>
              <w:pStyle w:val="15"/>
              <w:widowControl w:val="0"/>
              <w:jc w:val="left"/>
              <w:rPr>
                <w:rFonts w:ascii="宋体" w:hAnsi="宋体"/>
                <w:bCs/>
              </w:rPr>
            </w:pPr>
            <w:r>
              <w:rPr>
                <w:rFonts w:hint="eastAsia" w:ascii="宋体" w:hAnsi="宋体"/>
                <w:bCs/>
              </w:rPr>
              <w:t>知识点：</w:t>
            </w:r>
          </w:p>
          <w:p>
            <w:pPr>
              <w:pStyle w:val="15"/>
              <w:widowControl w:val="0"/>
              <w:jc w:val="left"/>
              <w:rPr>
                <w:rFonts w:ascii="宋体" w:hAnsi="宋体"/>
                <w:bCs/>
              </w:rPr>
            </w:pPr>
            <w:r>
              <w:rPr>
                <w:rFonts w:hint="eastAsia" w:ascii="宋体" w:hAnsi="宋体"/>
                <w:bCs/>
              </w:rPr>
              <w:t>①理解国际货物买卖合同的卖方的义务；</w:t>
            </w:r>
          </w:p>
          <w:p>
            <w:pPr>
              <w:pStyle w:val="15"/>
              <w:widowControl w:val="0"/>
              <w:jc w:val="left"/>
              <w:rPr>
                <w:rFonts w:ascii="宋体" w:hAnsi="宋体"/>
                <w:bCs/>
              </w:rPr>
            </w:pPr>
            <w:r>
              <w:rPr>
                <w:rFonts w:hint="eastAsia" w:ascii="宋体" w:hAnsi="宋体"/>
                <w:bCs/>
              </w:rPr>
              <w:t>②理解国际货物买卖合同的买方的义务；</w:t>
            </w:r>
          </w:p>
          <w:p>
            <w:pPr>
              <w:pStyle w:val="15"/>
              <w:widowControl w:val="0"/>
              <w:jc w:val="left"/>
              <w:rPr>
                <w:rFonts w:ascii="宋体" w:hAnsi="宋体"/>
                <w:bCs/>
              </w:rPr>
            </w:pPr>
            <w:r>
              <w:rPr>
                <w:rFonts w:hint="eastAsia" w:ascii="宋体" w:hAnsi="宋体"/>
                <w:bCs/>
              </w:rPr>
              <w:t>③知道违反国际货物买卖合同的救济方法；</w:t>
            </w:r>
          </w:p>
          <w:p>
            <w:pPr>
              <w:pStyle w:val="15"/>
              <w:widowControl w:val="0"/>
              <w:jc w:val="left"/>
              <w:rPr>
                <w:rFonts w:ascii="宋体" w:hAnsi="宋体"/>
                <w:bCs/>
              </w:rPr>
            </w:pPr>
            <w:r>
              <w:rPr>
                <w:rFonts w:hint="eastAsia" w:ascii="宋体" w:hAnsi="宋体"/>
                <w:bCs/>
              </w:rPr>
              <w:t>④运用货物所有权与风险转移的法律规定。</w:t>
            </w:r>
          </w:p>
          <w:p>
            <w:pPr>
              <w:pStyle w:val="15"/>
              <w:widowControl w:val="0"/>
              <w:jc w:val="left"/>
              <w:rPr>
                <w:rFonts w:ascii="宋体" w:hAnsi="宋体"/>
                <w:bCs/>
              </w:rPr>
            </w:pPr>
            <w:r>
              <w:rPr>
                <w:rFonts w:hint="eastAsia" w:ascii="宋体" w:hAnsi="宋体"/>
                <w:bCs/>
              </w:rPr>
              <w:t>能力要求：</w:t>
            </w:r>
          </w:p>
          <w:p>
            <w:pPr>
              <w:pStyle w:val="15"/>
              <w:widowControl w:val="0"/>
              <w:jc w:val="left"/>
              <w:rPr>
                <w:rFonts w:ascii="宋体" w:hAnsi="宋体"/>
                <w:bCs/>
              </w:rPr>
            </w:pPr>
            <w:r>
              <w:rPr>
                <w:rFonts w:hint="eastAsia" w:ascii="宋体" w:hAnsi="宋体"/>
                <w:bCs/>
              </w:rPr>
              <w:t>①能够根据国际货物买卖合同中买卖双方的权利义务依照法律程序订立合同；</w:t>
            </w:r>
          </w:p>
          <w:p>
            <w:pPr>
              <w:pStyle w:val="15"/>
              <w:widowControl w:val="0"/>
              <w:jc w:val="left"/>
              <w:rPr>
                <w:rFonts w:ascii="宋体" w:hAnsi="宋体"/>
                <w:bCs/>
              </w:rPr>
            </w:pPr>
            <w:r>
              <w:rPr>
                <w:rFonts w:hint="eastAsia" w:ascii="宋体" w:hAnsi="宋体"/>
                <w:bCs/>
              </w:rPr>
              <w:t>②能够正确处理国际货物买卖合同中的违约事件，选择适当的救济方法。</w:t>
            </w:r>
          </w:p>
          <w:p>
            <w:pPr>
              <w:pStyle w:val="15"/>
              <w:widowControl w:val="0"/>
              <w:jc w:val="left"/>
              <w:rPr>
                <w:rFonts w:ascii="宋体" w:hAnsi="宋体"/>
                <w:bCs/>
              </w:rPr>
            </w:pPr>
            <w:r>
              <w:rPr>
                <w:rFonts w:hint="eastAsia" w:ascii="宋体" w:hAnsi="宋体"/>
                <w:bCs/>
              </w:rPr>
              <w:t>教学重点：</w:t>
            </w:r>
          </w:p>
          <w:p>
            <w:pPr>
              <w:pStyle w:val="15"/>
              <w:widowControl w:val="0"/>
              <w:jc w:val="left"/>
              <w:rPr>
                <w:rFonts w:ascii="宋体" w:hAnsi="宋体"/>
                <w:bCs/>
              </w:rPr>
            </w:pPr>
            <w:r>
              <w:rPr>
                <w:rFonts w:hint="eastAsia" w:ascii="宋体" w:hAnsi="宋体"/>
                <w:bCs/>
              </w:rPr>
              <w:t>《联合国国际货物买卖合同公约》的主要条款；</w:t>
            </w:r>
            <w:r>
              <w:rPr>
                <w:rFonts w:ascii="宋体" w:hAnsi="宋体"/>
                <w:bCs/>
              </w:rPr>
              <w:t>货物所有权与风险转移的法律规定</w:t>
            </w:r>
            <w:r>
              <w:rPr>
                <w:rFonts w:hint="eastAsia" w:ascii="宋体" w:hAnsi="宋体"/>
                <w:bCs/>
              </w:rPr>
              <w:t>；</w:t>
            </w:r>
            <w:r>
              <w:rPr>
                <w:rFonts w:ascii="宋体" w:hAnsi="宋体"/>
                <w:bCs/>
              </w:rPr>
              <w:t>违反买卖合同的补救方法</w:t>
            </w:r>
            <w:r>
              <w:rPr>
                <w:rFonts w:hint="eastAsia" w:ascii="宋体" w:hAnsi="宋体"/>
                <w:bCs/>
              </w:rPr>
              <w:t>。</w:t>
            </w:r>
          </w:p>
          <w:p>
            <w:pPr>
              <w:pStyle w:val="15"/>
              <w:widowControl w:val="0"/>
              <w:jc w:val="left"/>
              <w:rPr>
                <w:rFonts w:ascii="宋体" w:hAnsi="宋体"/>
                <w:bCs/>
              </w:rPr>
            </w:pPr>
            <w:r>
              <w:rPr>
                <w:rFonts w:hint="eastAsia" w:ascii="宋体" w:hAnsi="宋体"/>
                <w:bCs/>
              </w:rPr>
              <w:t>教学难点：</w:t>
            </w:r>
          </w:p>
          <w:p>
            <w:pPr>
              <w:pStyle w:val="15"/>
              <w:widowControl w:val="0"/>
              <w:ind w:firstLine="420" w:firstLineChars="200"/>
              <w:jc w:val="left"/>
              <w:rPr>
                <w:rFonts w:hint="eastAsia" w:ascii="宋体" w:hAnsi="宋体"/>
                <w:bCs/>
              </w:rPr>
            </w:pPr>
            <w:r>
              <w:rPr>
                <w:rFonts w:ascii="宋体" w:hAnsi="宋体"/>
                <w:bCs/>
              </w:rPr>
              <w:t>违反买卖合同的补救方法</w:t>
            </w:r>
            <w:r>
              <w:rPr>
                <w:rFonts w:hint="eastAsia" w:ascii="宋体" w:hAnsi="宋体"/>
                <w:bCs/>
              </w:rPr>
              <w:t>。</w:t>
            </w:r>
          </w:p>
          <w:p>
            <w:pPr>
              <w:pStyle w:val="15"/>
              <w:widowControl w:val="0"/>
              <w:jc w:val="left"/>
              <w:rPr>
                <w:rFonts w:ascii="宋体" w:hAnsi="宋体"/>
                <w:bCs/>
              </w:rPr>
            </w:pPr>
            <w:r>
              <w:rPr>
                <w:rFonts w:hint="eastAsia" w:ascii="宋体" w:hAnsi="宋体"/>
                <w:bCs/>
              </w:rPr>
              <w:t>第</w:t>
            </w:r>
            <w:r>
              <w:rPr>
                <w:rFonts w:ascii="宋体" w:hAnsi="宋体"/>
                <w:bCs/>
              </w:rPr>
              <w:t xml:space="preserve">4单元  商事组织法    </w:t>
            </w:r>
          </w:p>
          <w:p>
            <w:pPr>
              <w:pStyle w:val="15"/>
              <w:widowControl w:val="0"/>
              <w:jc w:val="left"/>
              <w:rPr>
                <w:rFonts w:ascii="宋体" w:hAnsi="宋体"/>
                <w:bCs/>
              </w:rPr>
            </w:pPr>
            <w:r>
              <w:rPr>
                <w:rFonts w:hint="eastAsia" w:ascii="宋体" w:hAnsi="宋体"/>
                <w:bCs/>
              </w:rPr>
              <w:t>教学内容：</w:t>
            </w:r>
          </w:p>
          <w:p>
            <w:pPr>
              <w:pStyle w:val="15"/>
              <w:widowControl w:val="0"/>
              <w:jc w:val="left"/>
              <w:rPr>
                <w:rFonts w:ascii="宋体" w:hAnsi="宋体"/>
                <w:bCs/>
              </w:rPr>
            </w:pPr>
            <w:r>
              <w:rPr>
                <w:rFonts w:hint="eastAsia" w:ascii="宋体" w:hAnsi="宋体"/>
                <w:bCs/>
              </w:rPr>
              <w:t>4</w:t>
            </w:r>
            <w:r>
              <w:rPr>
                <w:rFonts w:ascii="宋体" w:hAnsi="宋体"/>
                <w:bCs/>
              </w:rPr>
              <w:t>.1 商事组织法概述</w:t>
            </w:r>
          </w:p>
          <w:p>
            <w:pPr>
              <w:pStyle w:val="15"/>
              <w:widowControl w:val="0"/>
              <w:jc w:val="left"/>
              <w:rPr>
                <w:rFonts w:ascii="宋体" w:hAnsi="宋体"/>
                <w:bCs/>
              </w:rPr>
            </w:pPr>
            <w:r>
              <w:rPr>
                <w:rFonts w:hint="eastAsia" w:ascii="宋体" w:hAnsi="宋体"/>
                <w:bCs/>
              </w:rPr>
              <w:t>4</w:t>
            </w:r>
            <w:r>
              <w:rPr>
                <w:rFonts w:ascii="宋体" w:hAnsi="宋体"/>
                <w:bCs/>
              </w:rPr>
              <w:t>.2 合伙企业法</w:t>
            </w:r>
          </w:p>
          <w:p>
            <w:pPr>
              <w:pStyle w:val="15"/>
              <w:widowControl w:val="0"/>
              <w:jc w:val="left"/>
              <w:rPr>
                <w:rFonts w:ascii="宋体" w:hAnsi="宋体"/>
                <w:bCs/>
              </w:rPr>
            </w:pPr>
            <w:r>
              <w:rPr>
                <w:rFonts w:hint="eastAsia" w:ascii="宋体" w:hAnsi="宋体"/>
                <w:bCs/>
              </w:rPr>
              <w:t>4</w:t>
            </w:r>
            <w:r>
              <w:rPr>
                <w:rFonts w:ascii="宋体" w:hAnsi="宋体"/>
                <w:bCs/>
              </w:rPr>
              <w:t>.3 公司法</w:t>
            </w:r>
          </w:p>
          <w:p>
            <w:pPr>
              <w:pStyle w:val="15"/>
              <w:widowControl w:val="0"/>
              <w:jc w:val="left"/>
              <w:rPr>
                <w:rFonts w:ascii="宋体" w:hAnsi="宋体"/>
                <w:bCs/>
              </w:rPr>
            </w:pPr>
            <w:r>
              <w:rPr>
                <w:rFonts w:hint="eastAsia" w:ascii="宋体" w:hAnsi="宋体"/>
                <w:bCs/>
              </w:rPr>
              <w:t>知识点：</w:t>
            </w:r>
          </w:p>
          <w:p>
            <w:pPr>
              <w:pStyle w:val="15"/>
              <w:widowControl w:val="0"/>
              <w:jc w:val="left"/>
              <w:rPr>
                <w:rFonts w:ascii="宋体" w:hAnsi="宋体"/>
                <w:bCs/>
              </w:rPr>
            </w:pPr>
            <w:r>
              <w:rPr>
                <w:rFonts w:hint="eastAsia" w:ascii="宋体" w:hAnsi="宋体"/>
                <w:bCs/>
              </w:rPr>
              <w:t>①理解合伙企业和公司两种企业的组织形式及其主要的法律特征；</w:t>
            </w:r>
          </w:p>
          <w:p>
            <w:pPr>
              <w:pStyle w:val="15"/>
              <w:widowControl w:val="0"/>
              <w:jc w:val="left"/>
              <w:rPr>
                <w:rFonts w:ascii="宋体" w:hAnsi="宋体"/>
                <w:bCs/>
              </w:rPr>
            </w:pPr>
            <w:r>
              <w:rPr>
                <w:rFonts w:hint="eastAsia" w:ascii="宋体" w:hAnsi="宋体"/>
                <w:bCs/>
              </w:rPr>
              <w:t>②运用合伙企业和公司的设立条件及设立程序；</w:t>
            </w:r>
          </w:p>
          <w:p>
            <w:pPr>
              <w:pStyle w:val="15"/>
              <w:widowControl w:val="0"/>
              <w:jc w:val="left"/>
              <w:rPr>
                <w:rFonts w:ascii="宋体" w:hAnsi="宋体"/>
                <w:bCs/>
              </w:rPr>
            </w:pPr>
            <w:r>
              <w:rPr>
                <w:rFonts w:hint="eastAsia" w:ascii="宋体" w:hAnsi="宋体"/>
                <w:bCs/>
              </w:rPr>
              <w:t>③知道公司的基本建构、各机构的权限及议事程序；</w:t>
            </w:r>
          </w:p>
          <w:p>
            <w:pPr>
              <w:pStyle w:val="15"/>
              <w:widowControl w:val="0"/>
              <w:jc w:val="left"/>
              <w:rPr>
                <w:rFonts w:ascii="宋体" w:hAnsi="宋体"/>
                <w:bCs/>
              </w:rPr>
            </w:pPr>
            <w:r>
              <w:rPr>
                <w:rFonts w:hint="eastAsia" w:ascii="宋体" w:hAnsi="宋体"/>
                <w:bCs/>
              </w:rPr>
              <w:t>④知道公司进行合并、分立、解散、清算等事务的法律程序。</w:t>
            </w:r>
          </w:p>
          <w:p>
            <w:pPr>
              <w:pStyle w:val="15"/>
              <w:widowControl w:val="0"/>
              <w:jc w:val="left"/>
              <w:rPr>
                <w:rFonts w:ascii="宋体" w:hAnsi="宋体"/>
                <w:bCs/>
              </w:rPr>
            </w:pPr>
            <w:r>
              <w:rPr>
                <w:rFonts w:hint="eastAsia" w:ascii="宋体" w:hAnsi="宋体"/>
                <w:bCs/>
              </w:rPr>
              <w:t>能力要求：</w:t>
            </w:r>
          </w:p>
          <w:p>
            <w:pPr>
              <w:pStyle w:val="15"/>
              <w:widowControl w:val="0"/>
              <w:jc w:val="left"/>
              <w:rPr>
                <w:rFonts w:ascii="宋体" w:hAnsi="宋体"/>
                <w:bCs/>
              </w:rPr>
            </w:pPr>
            <w:r>
              <w:rPr>
                <w:rFonts w:hint="eastAsia" w:ascii="宋体" w:hAnsi="宋体"/>
                <w:bCs/>
              </w:rPr>
              <w:t>①能够正确选择企业形式；</w:t>
            </w:r>
          </w:p>
          <w:p>
            <w:pPr>
              <w:pStyle w:val="15"/>
              <w:widowControl w:val="0"/>
              <w:jc w:val="left"/>
              <w:rPr>
                <w:rFonts w:ascii="宋体" w:hAnsi="宋体"/>
                <w:bCs/>
              </w:rPr>
            </w:pPr>
            <w:r>
              <w:rPr>
                <w:rFonts w:hint="eastAsia" w:ascii="宋体" w:hAnsi="宋体"/>
                <w:bCs/>
              </w:rPr>
              <w:t>②能够依法为设立企业准备条件；</w:t>
            </w:r>
          </w:p>
          <w:p>
            <w:pPr>
              <w:pStyle w:val="15"/>
              <w:widowControl w:val="0"/>
              <w:jc w:val="left"/>
              <w:rPr>
                <w:rFonts w:ascii="宋体" w:hAnsi="宋体"/>
                <w:bCs/>
              </w:rPr>
            </w:pPr>
            <w:r>
              <w:rPr>
                <w:rFonts w:hint="eastAsia" w:ascii="宋体" w:hAnsi="宋体"/>
                <w:bCs/>
              </w:rPr>
              <w:t>③能够依法管理企业。</w:t>
            </w:r>
          </w:p>
          <w:p>
            <w:pPr>
              <w:pStyle w:val="15"/>
              <w:widowControl w:val="0"/>
              <w:jc w:val="left"/>
              <w:rPr>
                <w:rFonts w:ascii="宋体" w:hAnsi="宋体"/>
                <w:bCs/>
              </w:rPr>
            </w:pPr>
            <w:r>
              <w:rPr>
                <w:rFonts w:hint="eastAsia" w:ascii="宋体" w:hAnsi="宋体"/>
                <w:bCs/>
              </w:rPr>
              <w:t>教学重点：</w:t>
            </w:r>
          </w:p>
          <w:p>
            <w:pPr>
              <w:pStyle w:val="15"/>
              <w:widowControl w:val="0"/>
              <w:jc w:val="left"/>
              <w:rPr>
                <w:rFonts w:ascii="宋体" w:hAnsi="宋体"/>
                <w:bCs/>
              </w:rPr>
            </w:pPr>
            <w:r>
              <w:rPr>
                <w:rFonts w:hint="eastAsia" w:ascii="宋体" w:hAnsi="宋体"/>
                <w:bCs/>
              </w:rPr>
              <w:t>合伙企业的法律特征及内外部关系；</w:t>
            </w:r>
            <w:r>
              <w:rPr>
                <w:rFonts w:ascii="宋体" w:hAnsi="宋体"/>
                <w:bCs/>
              </w:rPr>
              <w:t>我国有限责任公司与股份有限公司的区别</w:t>
            </w:r>
            <w:r>
              <w:rPr>
                <w:rFonts w:hint="eastAsia" w:ascii="宋体" w:hAnsi="宋体"/>
                <w:bCs/>
              </w:rPr>
              <w:t>；</w:t>
            </w:r>
            <w:r>
              <w:rPr>
                <w:rFonts w:ascii="宋体" w:hAnsi="宋体"/>
                <w:bCs/>
              </w:rPr>
              <w:t>公司设立、变更及终止的相关规定。</w:t>
            </w:r>
          </w:p>
          <w:p>
            <w:pPr>
              <w:pStyle w:val="15"/>
              <w:widowControl w:val="0"/>
              <w:jc w:val="left"/>
              <w:rPr>
                <w:rFonts w:ascii="宋体" w:hAnsi="宋体"/>
                <w:bCs/>
              </w:rPr>
            </w:pPr>
            <w:r>
              <w:rPr>
                <w:rFonts w:hint="eastAsia" w:ascii="宋体" w:hAnsi="宋体"/>
                <w:bCs/>
              </w:rPr>
              <w:t>教学难点：</w:t>
            </w:r>
          </w:p>
          <w:p>
            <w:pPr>
              <w:pStyle w:val="15"/>
              <w:widowControl w:val="0"/>
              <w:jc w:val="left"/>
              <w:rPr>
                <w:rFonts w:hint="eastAsia" w:ascii="宋体" w:hAnsi="宋体"/>
                <w:bCs/>
              </w:rPr>
            </w:pPr>
            <w:r>
              <w:rPr>
                <w:rFonts w:ascii="宋体" w:hAnsi="宋体"/>
                <w:bCs/>
              </w:rPr>
              <w:t>公司设立、变更及终止的相关规定</w:t>
            </w:r>
            <w:r>
              <w:rPr>
                <w:rFonts w:hint="eastAsia" w:ascii="宋体" w:hAnsi="宋体"/>
                <w:bCs/>
              </w:rPr>
              <w:t>。</w:t>
            </w:r>
          </w:p>
          <w:p>
            <w:pPr>
              <w:pStyle w:val="15"/>
              <w:widowControl w:val="0"/>
              <w:jc w:val="left"/>
              <w:rPr>
                <w:rFonts w:ascii="宋体" w:hAnsi="宋体"/>
                <w:bCs/>
              </w:rPr>
            </w:pPr>
            <w:r>
              <w:rPr>
                <w:rFonts w:hint="eastAsia" w:ascii="宋体" w:hAnsi="宋体"/>
                <w:bCs/>
              </w:rPr>
              <w:t>第</w:t>
            </w:r>
            <w:r>
              <w:rPr>
                <w:rFonts w:ascii="宋体" w:hAnsi="宋体"/>
                <w:bCs/>
              </w:rPr>
              <w:t xml:space="preserve">5单元  代理法      </w:t>
            </w:r>
          </w:p>
          <w:p>
            <w:pPr>
              <w:pStyle w:val="15"/>
              <w:widowControl w:val="0"/>
              <w:jc w:val="left"/>
              <w:rPr>
                <w:rFonts w:ascii="宋体" w:hAnsi="宋体"/>
                <w:bCs/>
              </w:rPr>
            </w:pPr>
            <w:r>
              <w:rPr>
                <w:rFonts w:hint="eastAsia" w:ascii="宋体" w:hAnsi="宋体"/>
                <w:bCs/>
              </w:rPr>
              <w:t>教学内容：</w:t>
            </w:r>
          </w:p>
          <w:p>
            <w:pPr>
              <w:pStyle w:val="15"/>
              <w:widowControl w:val="0"/>
              <w:jc w:val="left"/>
              <w:rPr>
                <w:rFonts w:ascii="宋体" w:hAnsi="宋体"/>
                <w:bCs/>
              </w:rPr>
            </w:pPr>
            <w:r>
              <w:rPr>
                <w:rFonts w:ascii="宋体" w:hAnsi="宋体"/>
                <w:bCs/>
              </w:rPr>
              <w:t xml:space="preserve">5.1 </w:t>
            </w:r>
            <w:r>
              <w:rPr>
                <w:rFonts w:hint="eastAsia" w:ascii="宋体" w:hAnsi="宋体"/>
                <w:bCs/>
              </w:rPr>
              <w:t>代理法</w:t>
            </w:r>
            <w:r>
              <w:rPr>
                <w:rFonts w:ascii="宋体" w:hAnsi="宋体"/>
                <w:bCs/>
              </w:rPr>
              <w:t>概述</w:t>
            </w:r>
          </w:p>
          <w:p>
            <w:pPr>
              <w:pStyle w:val="15"/>
              <w:widowControl w:val="0"/>
              <w:jc w:val="left"/>
              <w:rPr>
                <w:rFonts w:ascii="宋体" w:hAnsi="宋体"/>
                <w:bCs/>
              </w:rPr>
            </w:pPr>
            <w:r>
              <w:rPr>
                <w:rFonts w:ascii="宋体" w:hAnsi="宋体"/>
                <w:bCs/>
              </w:rPr>
              <w:t>5.2 代理的法律关系</w:t>
            </w:r>
          </w:p>
          <w:p>
            <w:pPr>
              <w:pStyle w:val="15"/>
              <w:widowControl w:val="0"/>
              <w:jc w:val="left"/>
              <w:rPr>
                <w:rFonts w:ascii="宋体" w:hAnsi="宋体"/>
                <w:bCs/>
              </w:rPr>
            </w:pPr>
            <w:r>
              <w:rPr>
                <w:rFonts w:hint="eastAsia" w:ascii="宋体" w:hAnsi="宋体"/>
                <w:bCs/>
              </w:rPr>
              <w:t>知识点：</w:t>
            </w:r>
          </w:p>
          <w:p>
            <w:pPr>
              <w:pStyle w:val="15"/>
              <w:widowControl w:val="0"/>
              <w:jc w:val="left"/>
              <w:rPr>
                <w:rFonts w:ascii="宋体" w:hAnsi="宋体"/>
                <w:bCs/>
              </w:rPr>
            </w:pPr>
            <w:r>
              <w:rPr>
                <w:rFonts w:hint="eastAsia" w:ascii="宋体" w:hAnsi="宋体"/>
                <w:bCs/>
              </w:rPr>
              <w:t>①知道国际商事代理概念、特征及相关法律规范；</w:t>
            </w:r>
          </w:p>
          <w:p>
            <w:pPr>
              <w:pStyle w:val="15"/>
              <w:widowControl w:val="0"/>
              <w:jc w:val="left"/>
              <w:rPr>
                <w:rFonts w:ascii="宋体" w:hAnsi="宋体"/>
                <w:bCs/>
              </w:rPr>
            </w:pPr>
            <w:r>
              <w:rPr>
                <w:rFonts w:hint="eastAsia" w:ascii="宋体" w:hAnsi="宋体"/>
                <w:bCs/>
              </w:rPr>
              <w:t>②理解代理权产生的方式；</w:t>
            </w:r>
          </w:p>
          <w:p>
            <w:pPr>
              <w:pStyle w:val="15"/>
              <w:widowControl w:val="0"/>
              <w:jc w:val="left"/>
              <w:rPr>
                <w:rFonts w:ascii="宋体" w:hAnsi="宋体"/>
                <w:bCs/>
              </w:rPr>
            </w:pPr>
            <w:r>
              <w:rPr>
                <w:rFonts w:hint="eastAsia" w:ascii="宋体" w:hAnsi="宋体"/>
                <w:bCs/>
              </w:rPr>
              <w:t>③理解代理人、被代理人及第三人之间互相承担的基本义务；</w:t>
            </w:r>
          </w:p>
          <w:p>
            <w:pPr>
              <w:pStyle w:val="15"/>
              <w:widowControl w:val="0"/>
              <w:jc w:val="left"/>
              <w:rPr>
                <w:rFonts w:ascii="宋体" w:hAnsi="宋体"/>
                <w:bCs/>
              </w:rPr>
            </w:pPr>
            <w:r>
              <w:rPr>
                <w:rFonts w:hint="eastAsia" w:ascii="宋体" w:hAnsi="宋体"/>
                <w:bCs/>
              </w:rPr>
              <w:t>④知道代理法律关系终止的几种情形；</w:t>
            </w:r>
          </w:p>
          <w:p>
            <w:pPr>
              <w:pStyle w:val="15"/>
              <w:widowControl w:val="0"/>
              <w:jc w:val="left"/>
              <w:rPr>
                <w:rFonts w:ascii="宋体" w:hAnsi="宋体"/>
                <w:bCs/>
              </w:rPr>
            </w:pPr>
            <w:r>
              <w:rPr>
                <w:rFonts w:hint="eastAsia" w:ascii="宋体" w:hAnsi="宋体"/>
                <w:bCs/>
              </w:rPr>
              <w:t>⑤分析狭义的无权代理和表见代理的概念及法律后果。</w:t>
            </w:r>
          </w:p>
          <w:p>
            <w:pPr>
              <w:pStyle w:val="15"/>
              <w:widowControl w:val="0"/>
              <w:jc w:val="left"/>
              <w:rPr>
                <w:rFonts w:ascii="宋体" w:hAnsi="宋体"/>
                <w:bCs/>
              </w:rPr>
            </w:pPr>
            <w:r>
              <w:rPr>
                <w:rFonts w:hint="eastAsia" w:ascii="宋体" w:hAnsi="宋体"/>
                <w:bCs/>
              </w:rPr>
              <w:t>能力要求：</w:t>
            </w:r>
          </w:p>
          <w:p>
            <w:pPr>
              <w:pStyle w:val="15"/>
              <w:widowControl w:val="0"/>
              <w:jc w:val="left"/>
              <w:rPr>
                <w:rFonts w:ascii="宋体" w:hAnsi="宋体"/>
                <w:bCs/>
              </w:rPr>
            </w:pPr>
            <w:r>
              <w:rPr>
                <w:rFonts w:hint="eastAsia" w:ascii="宋体" w:hAnsi="宋体"/>
                <w:bCs/>
              </w:rPr>
              <w:t>①能依法确认代理人身份及代理权限；</w:t>
            </w:r>
          </w:p>
          <w:p>
            <w:pPr>
              <w:pStyle w:val="15"/>
              <w:widowControl w:val="0"/>
              <w:jc w:val="left"/>
              <w:rPr>
                <w:rFonts w:ascii="宋体" w:hAnsi="宋体"/>
                <w:bCs/>
              </w:rPr>
            </w:pPr>
            <w:r>
              <w:rPr>
                <w:rFonts w:hint="eastAsia" w:ascii="宋体" w:hAnsi="宋体"/>
                <w:bCs/>
              </w:rPr>
              <w:t>②能够依法正确签订及履行代理协议；</w:t>
            </w:r>
          </w:p>
          <w:p>
            <w:pPr>
              <w:pStyle w:val="15"/>
              <w:widowControl w:val="0"/>
              <w:jc w:val="left"/>
              <w:rPr>
                <w:rFonts w:ascii="宋体" w:hAnsi="宋体"/>
                <w:bCs/>
              </w:rPr>
            </w:pPr>
            <w:r>
              <w:rPr>
                <w:rFonts w:hint="eastAsia" w:ascii="宋体" w:hAnsi="宋体"/>
                <w:bCs/>
              </w:rPr>
              <w:t>③能防范代理业务中的一般法律风险。</w:t>
            </w:r>
          </w:p>
          <w:p>
            <w:pPr>
              <w:pStyle w:val="15"/>
              <w:widowControl w:val="0"/>
              <w:jc w:val="left"/>
              <w:rPr>
                <w:rFonts w:ascii="宋体" w:hAnsi="宋体"/>
                <w:bCs/>
              </w:rPr>
            </w:pPr>
            <w:r>
              <w:rPr>
                <w:rFonts w:hint="eastAsia" w:ascii="宋体" w:hAnsi="宋体"/>
                <w:bCs/>
              </w:rPr>
              <w:t>教学重点：</w:t>
            </w:r>
          </w:p>
          <w:p>
            <w:pPr>
              <w:pStyle w:val="15"/>
              <w:widowControl w:val="0"/>
              <w:jc w:val="left"/>
              <w:rPr>
                <w:rFonts w:ascii="宋体" w:hAnsi="宋体"/>
                <w:bCs/>
              </w:rPr>
            </w:pPr>
            <w:r>
              <w:rPr>
                <w:rFonts w:hint="eastAsia" w:ascii="宋体" w:hAnsi="宋体"/>
                <w:bCs/>
              </w:rPr>
              <w:t>代理法律关系；</w:t>
            </w:r>
            <w:r>
              <w:rPr>
                <w:rFonts w:ascii="宋体" w:hAnsi="宋体"/>
                <w:bCs/>
              </w:rPr>
              <w:t>代理人、被代理人及第三人之间互相承担的基本义务</w:t>
            </w:r>
            <w:r>
              <w:rPr>
                <w:rFonts w:hint="eastAsia" w:ascii="宋体" w:hAnsi="宋体"/>
                <w:bCs/>
              </w:rPr>
              <w:t>。</w:t>
            </w:r>
          </w:p>
          <w:p>
            <w:pPr>
              <w:pStyle w:val="15"/>
              <w:widowControl w:val="0"/>
              <w:jc w:val="left"/>
              <w:rPr>
                <w:rFonts w:ascii="宋体" w:hAnsi="宋体"/>
                <w:bCs/>
              </w:rPr>
            </w:pPr>
            <w:r>
              <w:rPr>
                <w:rFonts w:hint="eastAsia" w:ascii="宋体" w:hAnsi="宋体"/>
                <w:bCs/>
              </w:rPr>
              <w:t>教学难点：</w:t>
            </w:r>
          </w:p>
          <w:p>
            <w:pPr>
              <w:pStyle w:val="15"/>
              <w:widowControl w:val="0"/>
              <w:jc w:val="left"/>
              <w:rPr>
                <w:rFonts w:hint="eastAsia" w:ascii="宋体" w:hAnsi="宋体"/>
                <w:bCs/>
              </w:rPr>
            </w:pPr>
            <w:r>
              <w:rPr>
                <w:rFonts w:hint="eastAsia" w:ascii="宋体" w:hAnsi="宋体"/>
                <w:bCs/>
              </w:rPr>
              <w:t>间接代理的法律后果承担。</w:t>
            </w:r>
          </w:p>
          <w:p>
            <w:pPr>
              <w:pStyle w:val="15"/>
              <w:widowControl w:val="0"/>
              <w:jc w:val="left"/>
              <w:rPr>
                <w:rFonts w:ascii="宋体" w:hAnsi="宋体"/>
                <w:bCs/>
              </w:rPr>
            </w:pPr>
            <w:r>
              <w:rPr>
                <w:rFonts w:hint="eastAsia" w:ascii="宋体" w:hAnsi="宋体"/>
                <w:bCs/>
              </w:rPr>
              <w:t>第</w:t>
            </w:r>
            <w:r>
              <w:rPr>
                <w:rFonts w:ascii="宋体" w:hAnsi="宋体"/>
                <w:bCs/>
              </w:rPr>
              <w:t xml:space="preserve">6单元  产品责任法             </w:t>
            </w:r>
          </w:p>
          <w:p>
            <w:pPr>
              <w:pStyle w:val="15"/>
              <w:widowControl w:val="0"/>
              <w:jc w:val="left"/>
              <w:rPr>
                <w:rFonts w:ascii="宋体" w:hAnsi="宋体"/>
                <w:bCs/>
              </w:rPr>
            </w:pPr>
            <w:r>
              <w:rPr>
                <w:rFonts w:hint="eastAsia" w:ascii="宋体" w:hAnsi="宋体"/>
                <w:bCs/>
              </w:rPr>
              <w:t>教学内容：</w:t>
            </w:r>
          </w:p>
          <w:p>
            <w:pPr>
              <w:pStyle w:val="15"/>
              <w:widowControl w:val="0"/>
              <w:jc w:val="left"/>
              <w:rPr>
                <w:rFonts w:ascii="宋体" w:hAnsi="宋体"/>
                <w:bCs/>
              </w:rPr>
            </w:pPr>
            <w:r>
              <w:rPr>
                <w:rFonts w:ascii="宋体" w:hAnsi="宋体"/>
                <w:bCs/>
              </w:rPr>
              <w:t>6.1 产品责任法概述</w:t>
            </w:r>
          </w:p>
          <w:p>
            <w:pPr>
              <w:pStyle w:val="15"/>
              <w:widowControl w:val="0"/>
              <w:jc w:val="left"/>
              <w:rPr>
                <w:rFonts w:ascii="宋体" w:hAnsi="宋体"/>
                <w:bCs/>
              </w:rPr>
            </w:pPr>
            <w:r>
              <w:rPr>
                <w:rFonts w:ascii="宋体" w:hAnsi="宋体"/>
                <w:bCs/>
              </w:rPr>
              <w:t>6.2 美国的产品责任法</w:t>
            </w:r>
          </w:p>
          <w:p>
            <w:pPr>
              <w:pStyle w:val="15"/>
              <w:widowControl w:val="0"/>
              <w:jc w:val="left"/>
              <w:rPr>
                <w:rFonts w:ascii="宋体" w:hAnsi="宋体"/>
                <w:bCs/>
              </w:rPr>
            </w:pPr>
            <w:r>
              <w:rPr>
                <w:rFonts w:ascii="宋体" w:hAnsi="宋体"/>
                <w:bCs/>
              </w:rPr>
              <w:t>6.3 欧洲各国的产品责任法</w:t>
            </w:r>
          </w:p>
          <w:p>
            <w:pPr>
              <w:pStyle w:val="15"/>
              <w:widowControl w:val="0"/>
              <w:jc w:val="left"/>
              <w:rPr>
                <w:rFonts w:ascii="宋体" w:hAnsi="宋体"/>
                <w:bCs/>
              </w:rPr>
            </w:pPr>
            <w:r>
              <w:rPr>
                <w:rFonts w:ascii="宋体" w:hAnsi="宋体"/>
                <w:bCs/>
              </w:rPr>
              <w:t>6.4 关于产品责任法律的适用公约</w:t>
            </w:r>
          </w:p>
          <w:p>
            <w:pPr>
              <w:pStyle w:val="15"/>
              <w:widowControl w:val="0"/>
              <w:jc w:val="left"/>
              <w:rPr>
                <w:rFonts w:ascii="宋体" w:hAnsi="宋体"/>
                <w:bCs/>
              </w:rPr>
            </w:pPr>
            <w:r>
              <w:rPr>
                <w:rFonts w:ascii="宋体" w:hAnsi="宋体"/>
                <w:bCs/>
              </w:rPr>
              <w:t>6.5中国的产品责任法</w:t>
            </w:r>
          </w:p>
          <w:p>
            <w:pPr>
              <w:pStyle w:val="15"/>
              <w:widowControl w:val="0"/>
              <w:jc w:val="left"/>
              <w:rPr>
                <w:rFonts w:ascii="宋体" w:hAnsi="宋体"/>
                <w:bCs/>
              </w:rPr>
            </w:pPr>
            <w:r>
              <w:rPr>
                <w:rFonts w:hint="eastAsia" w:ascii="宋体" w:hAnsi="宋体"/>
                <w:bCs/>
              </w:rPr>
              <w:t>知识点：</w:t>
            </w:r>
          </w:p>
          <w:p>
            <w:pPr>
              <w:pStyle w:val="15"/>
              <w:widowControl w:val="0"/>
              <w:jc w:val="left"/>
              <w:rPr>
                <w:rFonts w:ascii="宋体" w:hAnsi="宋体"/>
                <w:bCs/>
              </w:rPr>
            </w:pPr>
            <w:r>
              <w:rPr>
                <w:rFonts w:hint="eastAsia" w:ascii="宋体" w:hAnsi="宋体"/>
                <w:bCs/>
              </w:rPr>
              <w:t>①知道产品责任的概念和特征；</w:t>
            </w:r>
          </w:p>
          <w:p>
            <w:pPr>
              <w:pStyle w:val="15"/>
              <w:widowControl w:val="0"/>
              <w:jc w:val="left"/>
              <w:rPr>
                <w:rFonts w:ascii="宋体" w:hAnsi="宋体"/>
                <w:bCs/>
              </w:rPr>
            </w:pPr>
            <w:r>
              <w:rPr>
                <w:rFonts w:hint="eastAsia" w:ascii="宋体" w:hAnsi="宋体"/>
                <w:bCs/>
              </w:rPr>
              <w:t>②分析产品责任的构成条件；</w:t>
            </w:r>
          </w:p>
          <w:p>
            <w:pPr>
              <w:pStyle w:val="15"/>
              <w:widowControl w:val="0"/>
              <w:jc w:val="left"/>
              <w:rPr>
                <w:rFonts w:ascii="宋体" w:hAnsi="宋体"/>
                <w:bCs/>
              </w:rPr>
            </w:pPr>
            <w:r>
              <w:rPr>
                <w:rFonts w:hint="eastAsia" w:ascii="宋体" w:hAnsi="宋体"/>
                <w:bCs/>
              </w:rPr>
              <w:t>③运用美国产品责任法的原则；</w:t>
            </w:r>
          </w:p>
          <w:p>
            <w:pPr>
              <w:pStyle w:val="15"/>
              <w:widowControl w:val="0"/>
              <w:jc w:val="left"/>
              <w:rPr>
                <w:rFonts w:ascii="宋体" w:hAnsi="宋体"/>
                <w:bCs/>
              </w:rPr>
            </w:pPr>
            <w:r>
              <w:rPr>
                <w:rFonts w:hint="eastAsia" w:ascii="宋体" w:hAnsi="宋体"/>
                <w:bCs/>
              </w:rPr>
              <w:t>④知道欧盟的《产品责任指令》的基本内容；</w:t>
            </w:r>
          </w:p>
          <w:p>
            <w:pPr>
              <w:pStyle w:val="15"/>
              <w:widowControl w:val="0"/>
              <w:jc w:val="left"/>
              <w:rPr>
                <w:rFonts w:ascii="宋体" w:hAnsi="宋体"/>
                <w:bCs/>
              </w:rPr>
            </w:pPr>
            <w:r>
              <w:rPr>
                <w:rFonts w:hint="eastAsia" w:ascii="宋体" w:hAnsi="宋体"/>
                <w:bCs/>
              </w:rPr>
              <w:t>⑤理解中国的产品责任法的主要内容。</w:t>
            </w:r>
          </w:p>
          <w:p>
            <w:pPr>
              <w:pStyle w:val="15"/>
              <w:widowControl w:val="0"/>
              <w:jc w:val="left"/>
              <w:rPr>
                <w:rFonts w:ascii="宋体" w:hAnsi="宋体"/>
                <w:bCs/>
              </w:rPr>
            </w:pPr>
            <w:r>
              <w:rPr>
                <w:rFonts w:hint="eastAsia" w:ascii="宋体" w:hAnsi="宋体"/>
                <w:bCs/>
              </w:rPr>
              <w:t>能力要求：</w:t>
            </w:r>
          </w:p>
          <w:p>
            <w:pPr>
              <w:pStyle w:val="15"/>
              <w:widowControl w:val="0"/>
              <w:jc w:val="left"/>
              <w:rPr>
                <w:rFonts w:ascii="宋体" w:hAnsi="宋体"/>
                <w:bCs/>
              </w:rPr>
            </w:pPr>
            <w:r>
              <w:rPr>
                <w:rFonts w:hint="eastAsia" w:ascii="宋体" w:hAnsi="宋体"/>
                <w:bCs/>
              </w:rPr>
              <w:t>①能够依据产品责任法的规定，确定产品责任及其赔偿主体、赔偿范围；</w:t>
            </w:r>
          </w:p>
          <w:p>
            <w:pPr>
              <w:pStyle w:val="15"/>
              <w:widowControl w:val="0"/>
              <w:jc w:val="left"/>
              <w:rPr>
                <w:rFonts w:ascii="宋体" w:hAnsi="宋体"/>
                <w:bCs/>
              </w:rPr>
            </w:pPr>
            <w:r>
              <w:rPr>
                <w:rFonts w:hint="eastAsia" w:ascii="宋体" w:hAnsi="宋体"/>
                <w:bCs/>
              </w:rPr>
              <w:t>②能够主动防范产品责任的发生。</w:t>
            </w:r>
          </w:p>
          <w:p>
            <w:pPr>
              <w:pStyle w:val="15"/>
              <w:widowControl w:val="0"/>
              <w:jc w:val="left"/>
              <w:rPr>
                <w:rFonts w:ascii="宋体" w:hAnsi="宋体"/>
                <w:bCs/>
              </w:rPr>
            </w:pPr>
            <w:r>
              <w:rPr>
                <w:rFonts w:hint="eastAsia" w:ascii="宋体" w:hAnsi="宋体"/>
                <w:bCs/>
              </w:rPr>
              <w:t>教学重点：</w:t>
            </w:r>
          </w:p>
          <w:p>
            <w:pPr>
              <w:pStyle w:val="15"/>
              <w:widowControl w:val="0"/>
              <w:jc w:val="left"/>
              <w:rPr>
                <w:rFonts w:ascii="宋体" w:hAnsi="宋体"/>
                <w:bCs/>
              </w:rPr>
            </w:pPr>
            <w:r>
              <w:rPr>
                <w:rFonts w:hint="eastAsia" w:ascii="宋体" w:hAnsi="宋体"/>
                <w:bCs/>
              </w:rPr>
              <w:t>产品责任的构成条件；</w:t>
            </w:r>
            <w:r>
              <w:rPr>
                <w:rFonts w:ascii="宋体" w:hAnsi="宋体"/>
                <w:bCs/>
              </w:rPr>
              <w:t>美国产品责任法的原则</w:t>
            </w:r>
            <w:r>
              <w:rPr>
                <w:rFonts w:hint="eastAsia" w:ascii="宋体" w:hAnsi="宋体"/>
                <w:bCs/>
              </w:rPr>
              <w:t>；</w:t>
            </w:r>
            <w:r>
              <w:rPr>
                <w:rFonts w:ascii="宋体" w:hAnsi="宋体"/>
                <w:bCs/>
              </w:rPr>
              <w:t>中国的产品责任法的主要内容</w:t>
            </w:r>
            <w:r>
              <w:rPr>
                <w:rFonts w:hint="eastAsia" w:ascii="宋体" w:hAnsi="宋体"/>
                <w:bCs/>
              </w:rPr>
              <w:t>。</w:t>
            </w:r>
          </w:p>
          <w:p>
            <w:pPr>
              <w:pStyle w:val="15"/>
              <w:widowControl w:val="0"/>
              <w:jc w:val="left"/>
              <w:rPr>
                <w:rFonts w:ascii="宋体" w:hAnsi="宋体"/>
                <w:bCs/>
              </w:rPr>
            </w:pPr>
            <w:r>
              <w:rPr>
                <w:rFonts w:hint="eastAsia" w:ascii="宋体" w:hAnsi="宋体"/>
                <w:bCs/>
              </w:rPr>
              <w:t>第</w:t>
            </w:r>
            <w:r>
              <w:rPr>
                <w:rFonts w:ascii="宋体" w:hAnsi="宋体"/>
                <w:bCs/>
              </w:rPr>
              <w:t xml:space="preserve">7单元  国际商事仲裁 </w:t>
            </w:r>
          </w:p>
          <w:p>
            <w:pPr>
              <w:pStyle w:val="15"/>
              <w:widowControl w:val="0"/>
              <w:jc w:val="left"/>
              <w:rPr>
                <w:rFonts w:ascii="宋体" w:hAnsi="宋体"/>
                <w:bCs/>
              </w:rPr>
            </w:pPr>
            <w:r>
              <w:rPr>
                <w:rFonts w:hint="eastAsia" w:ascii="宋体" w:hAnsi="宋体"/>
                <w:bCs/>
              </w:rPr>
              <w:t>教学内容：</w:t>
            </w:r>
          </w:p>
          <w:p>
            <w:pPr>
              <w:pStyle w:val="15"/>
              <w:widowControl w:val="0"/>
              <w:jc w:val="left"/>
              <w:rPr>
                <w:rFonts w:ascii="宋体" w:hAnsi="宋体"/>
                <w:bCs/>
              </w:rPr>
            </w:pPr>
            <w:r>
              <w:rPr>
                <w:rFonts w:hint="eastAsia" w:ascii="宋体" w:hAnsi="宋体"/>
                <w:bCs/>
              </w:rPr>
              <w:t>7</w:t>
            </w:r>
            <w:r>
              <w:rPr>
                <w:rFonts w:ascii="宋体" w:hAnsi="宋体"/>
                <w:bCs/>
              </w:rPr>
              <w:t>.1 国际商事仲裁的概念及特点</w:t>
            </w:r>
          </w:p>
          <w:p>
            <w:pPr>
              <w:pStyle w:val="15"/>
              <w:widowControl w:val="0"/>
              <w:jc w:val="left"/>
              <w:rPr>
                <w:rFonts w:ascii="宋体" w:hAnsi="宋体"/>
                <w:bCs/>
              </w:rPr>
            </w:pPr>
            <w:r>
              <w:rPr>
                <w:rFonts w:hint="eastAsia" w:ascii="宋体" w:hAnsi="宋体"/>
                <w:bCs/>
              </w:rPr>
              <w:t>7</w:t>
            </w:r>
            <w:r>
              <w:rPr>
                <w:rFonts w:ascii="宋体" w:hAnsi="宋体"/>
                <w:bCs/>
              </w:rPr>
              <w:t>.2国际商事仲裁协议</w:t>
            </w:r>
          </w:p>
          <w:p>
            <w:pPr>
              <w:pStyle w:val="15"/>
              <w:widowControl w:val="0"/>
              <w:jc w:val="left"/>
              <w:rPr>
                <w:rFonts w:ascii="宋体" w:hAnsi="宋体"/>
                <w:bCs/>
              </w:rPr>
            </w:pPr>
            <w:r>
              <w:rPr>
                <w:rFonts w:hint="eastAsia" w:ascii="宋体" w:hAnsi="宋体"/>
                <w:bCs/>
              </w:rPr>
              <w:t>7</w:t>
            </w:r>
            <w:r>
              <w:rPr>
                <w:rFonts w:ascii="宋体" w:hAnsi="宋体"/>
                <w:bCs/>
              </w:rPr>
              <w:t>.3国际商事仲裁程序</w:t>
            </w:r>
          </w:p>
          <w:p>
            <w:pPr>
              <w:pStyle w:val="15"/>
              <w:widowControl w:val="0"/>
              <w:jc w:val="left"/>
              <w:rPr>
                <w:rFonts w:ascii="宋体" w:hAnsi="宋体"/>
                <w:bCs/>
              </w:rPr>
            </w:pPr>
            <w:r>
              <w:rPr>
                <w:rFonts w:hint="eastAsia" w:ascii="宋体" w:hAnsi="宋体"/>
                <w:bCs/>
              </w:rPr>
              <w:t>7</w:t>
            </w:r>
            <w:r>
              <w:rPr>
                <w:rFonts w:ascii="宋体" w:hAnsi="宋体"/>
                <w:bCs/>
              </w:rPr>
              <w:t>.4国际商事仲裁裁决的承认和执行</w:t>
            </w:r>
          </w:p>
          <w:p>
            <w:pPr>
              <w:pStyle w:val="15"/>
              <w:widowControl w:val="0"/>
              <w:jc w:val="left"/>
              <w:rPr>
                <w:rFonts w:ascii="宋体" w:hAnsi="宋体"/>
                <w:bCs/>
              </w:rPr>
            </w:pPr>
            <w:r>
              <w:rPr>
                <w:rFonts w:hint="eastAsia" w:ascii="宋体" w:hAnsi="宋体"/>
                <w:bCs/>
              </w:rPr>
              <w:t>知识点：</w:t>
            </w:r>
          </w:p>
          <w:p>
            <w:pPr>
              <w:pStyle w:val="15"/>
              <w:widowControl w:val="0"/>
              <w:jc w:val="left"/>
              <w:rPr>
                <w:rFonts w:ascii="宋体" w:hAnsi="宋体"/>
                <w:bCs/>
              </w:rPr>
            </w:pPr>
            <w:r>
              <w:rPr>
                <w:rFonts w:hint="eastAsia" w:ascii="宋体" w:hAnsi="宋体"/>
                <w:bCs/>
              </w:rPr>
              <w:t>①知道国际商事仲裁的概念及特点；</w:t>
            </w:r>
          </w:p>
          <w:p>
            <w:pPr>
              <w:pStyle w:val="15"/>
              <w:widowControl w:val="0"/>
              <w:jc w:val="left"/>
              <w:rPr>
                <w:rFonts w:ascii="宋体" w:hAnsi="宋体"/>
                <w:bCs/>
              </w:rPr>
            </w:pPr>
            <w:r>
              <w:rPr>
                <w:rFonts w:hint="eastAsia" w:ascii="宋体" w:hAnsi="宋体"/>
                <w:bCs/>
              </w:rPr>
              <w:t>②理解有关国际商事仲裁协议的内容及法律效力；</w:t>
            </w:r>
          </w:p>
          <w:p>
            <w:pPr>
              <w:pStyle w:val="15"/>
              <w:widowControl w:val="0"/>
              <w:jc w:val="left"/>
              <w:rPr>
                <w:rFonts w:ascii="宋体" w:hAnsi="宋体"/>
                <w:bCs/>
              </w:rPr>
            </w:pPr>
            <w:r>
              <w:rPr>
                <w:rFonts w:hint="eastAsia" w:ascii="宋体" w:hAnsi="宋体"/>
                <w:bCs/>
              </w:rPr>
              <w:t>③分析国际商事仲裁程序的基本内容；</w:t>
            </w:r>
            <w:r>
              <w:rPr>
                <w:rFonts w:ascii="宋体" w:hAnsi="宋体"/>
                <w:bCs/>
              </w:rPr>
              <w:t xml:space="preserve"> </w:t>
            </w:r>
          </w:p>
          <w:p>
            <w:pPr>
              <w:pStyle w:val="15"/>
              <w:widowControl w:val="0"/>
              <w:jc w:val="left"/>
              <w:rPr>
                <w:rFonts w:ascii="宋体" w:hAnsi="宋体"/>
                <w:bCs/>
              </w:rPr>
            </w:pPr>
            <w:r>
              <w:rPr>
                <w:rFonts w:hint="eastAsia" w:ascii="宋体" w:hAnsi="宋体"/>
                <w:bCs/>
              </w:rPr>
              <w:t>④知道国际商事仲裁裁决的承认和执行的相关规定。</w:t>
            </w:r>
          </w:p>
          <w:p>
            <w:pPr>
              <w:pStyle w:val="15"/>
              <w:widowControl w:val="0"/>
              <w:jc w:val="left"/>
              <w:rPr>
                <w:rFonts w:ascii="宋体" w:hAnsi="宋体"/>
                <w:bCs/>
              </w:rPr>
            </w:pPr>
            <w:r>
              <w:rPr>
                <w:rFonts w:hint="eastAsia" w:ascii="宋体" w:hAnsi="宋体"/>
                <w:bCs/>
              </w:rPr>
              <w:t>能力要求：</w:t>
            </w:r>
          </w:p>
          <w:p>
            <w:pPr>
              <w:pStyle w:val="15"/>
              <w:widowControl w:val="0"/>
              <w:jc w:val="left"/>
              <w:rPr>
                <w:rFonts w:ascii="宋体" w:hAnsi="宋体"/>
                <w:bCs/>
              </w:rPr>
            </w:pPr>
            <w:r>
              <w:rPr>
                <w:rFonts w:hint="eastAsia" w:ascii="宋体" w:hAnsi="宋体"/>
                <w:bCs/>
              </w:rPr>
              <w:t>①能够正确判断仲裁协议是否有效；</w:t>
            </w:r>
          </w:p>
          <w:p>
            <w:pPr>
              <w:pStyle w:val="15"/>
              <w:widowControl w:val="0"/>
              <w:jc w:val="left"/>
              <w:rPr>
                <w:rFonts w:ascii="宋体" w:hAnsi="宋体"/>
                <w:bCs/>
              </w:rPr>
            </w:pPr>
            <w:r>
              <w:rPr>
                <w:rFonts w:hint="eastAsia" w:ascii="宋体" w:hAnsi="宋体"/>
                <w:bCs/>
              </w:rPr>
              <w:t>②能够依法参与仲裁程序，有效保护自身合法利益。</w:t>
            </w:r>
          </w:p>
          <w:p>
            <w:pPr>
              <w:pStyle w:val="15"/>
              <w:widowControl w:val="0"/>
              <w:jc w:val="left"/>
              <w:rPr>
                <w:rFonts w:ascii="宋体" w:hAnsi="宋体"/>
                <w:bCs/>
              </w:rPr>
            </w:pPr>
            <w:r>
              <w:rPr>
                <w:rFonts w:hint="eastAsia" w:ascii="宋体" w:hAnsi="宋体"/>
                <w:bCs/>
              </w:rPr>
              <w:t>教学重点：</w:t>
            </w:r>
          </w:p>
          <w:p>
            <w:pPr>
              <w:pStyle w:val="15"/>
              <w:widowControl w:val="0"/>
              <w:ind w:firstLine="420" w:firstLineChars="200"/>
              <w:jc w:val="left"/>
              <w:rPr>
                <w:rFonts w:ascii="宋体" w:hAnsi="宋体"/>
                <w:bCs/>
              </w:rPr>
            </w:pPr>
            <w:r>
              <w:rPr>
                <w:rFonts w:hint="eastAsia" w:ascii="宋体" w:hAnsi="宋体"/>
                <w:bCs/>
              </w:rPr>
              <w:t>国际仲裁机构与规则及裁决执行的国际公约；</w:t>
            </w:r>
            <w:r>
              <w:rPr>
                <w:rFonts w:ascii="宋体" w:hAnsi="宋体"/>
                <w:bCs/>
              </w:rPr>
              <w:t>仲裁协议的</w:t>
            </w:r>
            <w:r>
              <w:rPr>
                <w:rFonts w:hint="eastAsia" w:ascii="宋体" w:hAnsi="宋体"/>
                <w:bCs/>
              </w:rPr>
              <w:t>有效性；</w:t>
            </w:r>
            <w:r>
              <w:rPr>
                <w:rFonts w:ascii="宋体" w:hAnsi="宋体"/>
                <w:bCs/>
              </w:rPr>
              <w:t>国际商事仲裁程序的基本内容</w:t>
            </w:r>
            <w:r>
              <w:rPr>
                <w:rFonts w:hint="eastAsia" w:ascii="宋体" w:hAnsi="宋体"/>
                <w:bCs/>
              </w:rPr>
              <w:t>。</w:t>
            </w:r>
          </w:p>
          <w:p>
            <w:pPr>
              <w:pStyle w:val="15"/>
              <w:widowControl w:val="0"/>
              <w:jc w:val="left"/>
              <w:rPr>
                <w:rFonts w:ascii="宋体" w:hAnsi="宋体"/>
                <w:bCs/>
              </w:rPr>
            </w:pPr>
            <w:r>
              <w:rPr>
                <w:rFonts w:hint="eastAsia" w:ascii="宋体" w:hAnsi="宋体"/>
                <w:bCs/>
              </w:rPr>
              <w:t>教学难点：</w:t>
            </w:r>
          </w:p>
          <w:bookmarkEnd w:id="2"/>
          <w:p>
            <w:pPr>
              <w:pStyle w:val="15"/>
              <w:widowControl w:val="0"/>
              <w:jc w:val="left"/>
              <w:rPr>
                <w:rFonts w:hint="eastAsia" w:ascii="仿宋" w:hAnsi="仿宋" w:eastAsia="仿宋" w:cs="仿宋"/>
              </w:rPr>
            </w:pPr>
            <w:r>
              <w:rPr>
                <w:rFonts w:hint="eastAsia" w:ascii="宋体" w:hAnsi="宋体"/>
                <w:bCs/>
              </w:rPr>
              <w:t xml:space="preserve"> </w:t>
            </w:r>
            <w:r>
              <w:rPr>
                <w:rFonts w:ascii="宋体" w:hAnsi="宋体"/>
                <w:bCs/>
              </w:rPr>
              <w:t xml:space="preserve">   </w:t>
            </w:r>
            <w:r>
              <w:rPr>
                <w:rFonts w:hint="eastAsia" w:ascii="宋体" w:hAnsi="宋体"/>
                <w:bCs/>
              </w:rPr>
              <w:t>仲裁协议有效性的判断。</w:t>
            </w:r>
          </w:p>
        </w:tc>
      </w:tr>
      <w:bookmarkEnd w:id="3"/>
      <w:bookmarkEnd w:id="4"/>
    </w:tbl>
    <w:p>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301"/>
        <w:gridCol w:w="1307"/>
        <w:gridCol w:w="1306"/>
        <w:gridCol w:w="1307"/>
        <w:gridCol w:w="1378"/>
      </w:tblGrid>
      <w:tr>
        <w:trPr>
          <w:trHeight w:val="794" w:hRule="atLeast"/>
          <w:jc w:val="center"/>
        </w:trPr>
        <w:tc>
          <w:tcPr>
            <w:tcW w:w="1834" w:type="dxa"/>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szCs w:val="16"/>
              </w:rPr>
            </w:pPr>
          </w:p>
          <w:p>
            <w:pPr>
              <w:pStyle w:val="14"/>
              <w:ind w:right="210"/>
              <w:jc w:val="left"/>
              <w:rPr>
                <w:szCs w:val="16"/>
              </w:rPr>
            </w:pPr>
            <w:r>
              <w:rPr>
                <w:rFonts w:hint="eastAsia"/>
                <w:szCs w:val="16"/>
              </w:rPr>
              <w:t>教学单元</w:t>
            </w:r>
          </w:p>
        </w:tc>
        <w:tc>
          <w:tcPr>
            <w:tcW w:w="1270" w:type="dxa"/>
            <w:tcBorders>
              <w:top w:val="single" w:color="auto" w:sz="12" w:space="0"/>
            </w:tcBorders>
            <w:vAlign w:val="center"/>
          </w:tcPr>
          <w:p>
            <w:pPr>
              <w:pStyle w:val="14"/>
              <w:rPr>
                <w:szCs w:val="16"/>
              </w:rPr>
            </w:pPr>
            <w:r>
              <w:rPr>
                <w:rFonts w:hint="eastAsia"/>
                <w:szCs w:val="16"/>
              </w:rPr>
              <w:t>1</w:t>
            </w:r>
          </w:p>
        </w:tc>
        <w:tc>
          <w:tcPr>
            <w:tcW w:w="1276" w:type="dxa"/>
            <w:tcBorders>
              <w:top w:val="single" w:color="auto" w:sz="12" w:space="0"/>
            </w:tcBorders>
            <w:vAlign w:val="center"/>
          </w:tcPr>
          <w:p>
            <w:pPr>
              <w:pStyle w:val="14"/>
              <w:rPr>
                <w:szCs w:val="16"/>
              </w:rPr>
            </w:pPr>
            <w:r>
              <w:rPr>
                <w:rFonts w:hint="eastAsia"/>
                <w:szCs w:val="16"/>
              </w:rPr>
              <w:t>2</w:t>
            </w:r>
          </w:p>
        </w:tc>
        <w:tc>
          <w:tcPr>
            <w:tcW w:w="1275" w:type="dxa"/>
            <w:tcBorders>
              <w:top w:val="single" w:color="auto" w:sz="12" w:space="0"/>
            </w:tcBorders>
            <w:vAlign w:val="center"/>
          </w:tcPr>
          <w:p>
            <w:pPr>
              <w:pStyle w:val="14"/>
              <w:rPr>
                <w:szCs w:val="16"/>
              </w:rPr>
            </w:pPr>
            <w:r>
              <w:rPr>
                <w:rFonts w:hint="eastAsia"/>
                <w:szCs w:val="16"/>
              </w:rPr>
              <w:t>3</w:t>
            </w:r>
          </w:p>
        </w:tc>
        <w:tc>
          <w:tcPr>
            <w:tcW w:w="1276" w:type="dxa"/>
            <w:tcBorders>
              <w:top w:val="single" w:color="auto" w:sz="12" w:space="0"/>
            </w:tcBorders>
            <w:vAlign w:val="center"/>
          </w:tcPr>
          <w:p>
            <w:pPr>
              <w:pStyle w:val="14"/>
              <w:rPr>
                <w:szCs w:val="16"/>
              </w:rPr>
            </w:pPr>
            <w:r>
              <w:rPr>
                <w:rFonts w:hint="eastAsia"/>
                <w:szCs w:val="16"/>
              </w:rPr>
              <w:t>4</w:t>
            </w:r>
          </w:p>
        </w:tc>
        <w:tc>
          <w:tcPr>
            <w:tcW w:w="1345" w:type="dxa"/>
            <w:tcBorders>
              <w:top w:val="single" w:color="auto" w:sz="12" w:space="0"/>
              <w:right w:val="single" w:color="auto" w:sz="12" w:space="0"/>
            </w:tcBorders>
            <w:vAlign w:val="center"/>
          </w:tcPr>
          <w:p>
            <w:pPr>
              <w:pStyle w:val="14"/>
              <w:rPr>
                <w:szCs w:val="16"/>
              </w:rPr>
            </w:pPr>
            <w:r>
              <w:rPr>
                <w:rFonts w:hint="eastAsia"/>
                <w:szCs w:val="16"/>
              </w:rPr>
              <w:t>5</w:t>
            </w:r>
          </w:p>
        </w:tc>
      </w:tr>
      <w:tr>
        <w:trPr>
          <w:trHeight w:val="340" w:hRule="atLeast"/>
          <w:jc w:val="center"/>
        </w:trPr>
        <w:tc>
          <w:tcPr>
            <w:tcW w:w="1834" w:type="dxa"/>
            <w:tcBorders>
              <w:left w:val="single" w:color="auto" w:sz="12" w:space="0"/>
            </w:tcBorders>
            <w:vAlign w:val="center"/>
          </w:tcPr>
          <w:p>
            <w:pPr>
              <w:pStyle w:val="15"/>
              <w:snapToGrid w:val="0"/>
              <w:jc w:val="left"/>
            </w:pPr>
            <w:r>
              <w:rPr>
                <w:rFonts w:hint="eastAsia" w:ascii="宋体" w:hAnsi="宋体"/>
                <w:bCs/>
              </w:rPr>
              <w:t>第</w:t>
            </w:r>
            <w:r>
              <w:rPr>
                <w:rFonts w:ascii="宋体" w:hAnsi="宋体"/>
                <w:bCs/>
              </w:rPr>
              <w:t>1单元</w:t>
            </w:r>
            <w:r>
              <w:rPr>
                <w:rFonts w:hint="eastAsia" w:ascii="宋体" w:hAnsi="宋体"/>
                <w:bCs/>
              </w:rPr>
              <w:t xml:space="preserve"> </w:t>
            </w:r>
            <w:r>
              <w:rPr>
                <w:rFonts w:ascii="宋体" w:hAnsi="宋体"/>
                <w:bCs/>
              </w:rPr>
              <w:t>导论</w:t>
            </w:r>
          </w:p>
        </w:tc>
        <w:tc>
          <w:tcPr>
            <w:tcW w:w="1270" w:type="dxa"/>
            <w:vAlign w:val="center"/>
          </w:tcPr>
          <w:p>
            <w:pPr>
              <w:pStyle w:val="15"/>
            </w:pPr>
          </w:p>
        </w:tc>
        <w:tc>
          <w:tcPr>
            <w:tcW w:w="1276" w:type="dxa"/>
            <w:vAlign w:val="center"/>
          </w:tcPr>
          <w:p>
            <w:pPr>
              <w:pStyle w:val="15"/>
            </w:pPr>
            <w:r>
              <w:rPr>
                <w:rFonts w:hint="eastAsia" w:ascii="宋体" w:hAnsi="宋体"/>
              </w:rPr>
              <w:t>√</w:t>
            </w:r>
          </w:p>
        </w:tc>
        <w:tc>
          <w:tcPr>
            <w:tcW w:w="1275" w:type="dxa"/>
            <w:vAlign w:val="center"/>
          </w:tcPr>
          <w:p>
            <w:pPr>
              <w:pStyle w:val="15"/>
            </w:pPr>
          </w:p>
        </w:tc>
        <w:tc>
          <w:tcPr>
            <w:tcW w:w="1276" w:type="dxa"/>
            <w:vAlign w:val="center"/>
          </w:tcPr>
          <w:p>
            <w:pPr>
              <w:pStyle w:val="15"/>
            </w:pPr>
          </w:p>
        </w:tc>
        <w:tc>
          <w:tcPr>
            <w:tcW w:w="1345" w:type="dxa"/>
            <w:tcBorders>
              <w:right w:val="single" w:color="auto" w:sz="12" w:space="0"/>
            </w:tcBorders>
            <w:vAlign w:val="center"/>
          </w:tcPr>
          <w:p>
            <w:pPr>
              <w:pStyle w:val="15"/>
            </w:pPr>
            <w:r>
              <w:rPr>
                <w:rFonts w:hint="eastAsia" w:ascii="宋体" w:hAnsi="宋体"/>
              </w:rPr>
              <w:t>√</w:t>
            </w:r>
          </w:p>
        </w:tc>
      </w:tr>
      <w:tr>
        <w:trPr>
          <w:trHeight w:val="340" w:hRule="atLeast"/>
          <w:jc w:val="center"/>
        </w:trPr>
        <w:tc>
          <w:tcPr>
            <w:tcW w:w="1834" w:type="dxa"/>
            <w:tcBorders>
              <w:left w:val="single" w:color="auto" w:sz="12" w:space="0"/>
            </w:tcBorders>
            <w:vAlign w:val="center"/>
          </w:tcPr>
          <w:p>
            <w:pPr>
              <w:pStyle w:val="15"/>
              <w:snapToGrid w:val="0"/>
              <w:jc w:val="left"/>
            </w:pPr>
            <w:r>
              <w:rPr>
                <w:rFonts w:hint="eastAsia" w:asciiTheme="minorEastAsia" w:hAnsiTheme="minorEastAsia" w:eastAsiaTheme="minorEastAsia"/>
                <w:bCs/>
              </w:rPr>
              <w:t>第</w:t>
            </w:r>
            <w:r>
              <w:rPr>
                <w:rFonts w:asciiTheme="minorEastAsia" w:hAnsiTheme="minorEastAsia" w:eastAsiaTheme="minorEastAsia"/>
                <w:bCs/>
              </w:rPr>
              <w:t>2单元</w:t>
            </w:r>
            <w:r>
              <w:rPr>
                <w:rFonts w:hint="eastAsia" w:asciiTheme="minorEastAsia" w:hAnsiTheme="minorEastAsia" w:eastAsiaTheme="minorEastAsia"/>
                <w:bCs/>
              </w:rPr>
              <w:t xml:space="preserve"> </w:t>
            </w:r>
            <w:r>
              <w:rPr>
                <w:rFonts w:ascii="宋体" w:hAnsi="宋体"/>
                <w:bCs/>
              </w:rPr>
              <w:t>合同法</w:t>
            </w:r>
          </w:p>
        </w:tc>
        <w:tc>
          <w:tcPr>
            <w:tcW w:w="1270"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275"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345" w:type="dxa"/>
            <w:tcBorders>
              <w:right w:val="single" w:color="auto" w:sz="12" w:space="0"/>
            </w:tcBorders>
            <w:vAlign w:val="center"/>
          </w:tcPr>
          <w:p>
            <w:pPr>
              <w:pStyle w:val="15"/>
            </w:pPr>
            <w:r>
              <w:rPr>
                <w:rFonts w:hint="eastAsia" w:ascii="宋体" w:hAnsi="宋体"/>
              </w:rPr>
              <w:t>√</w:t>
            </w:r>
          </w:p>
        </w:tc>
      </w:tr>
      <w:tr>
        <w:trPr>
          <w:trHeight w:val="340" w:hRule="atLeast"/>
          <w:jc w:val="center"/>
        </w:trPr>
        <w:tc>
          <w:tcPr>
            <w:tcW w:w="1834" w:type="dxa"/>
            <w:tcBorders>
              <w:left w:val="single" w:color="auto" w:sz="12" w:space="0"/>
            </w:tcBorders>
            <w:vAlign w:val="center"/>
          </w:tcPr>
          <w:p>
            <w:pPr>
              <w:pStyle w:val="15"/>
              <w:snapToGrid w:val="0"/>
              <w:jc w:val="left"/>
            </w:pPr>
            <w:r>
              <w:rPr>
                <w:rFonts w:hint="eastAsia" w:asciiTheme="minorEastAsia" w:hAnsiTheme="minorEastAsia" w:eastAsiaTheme="minorEastAsia"/>
                <w:bCs/>
              </w:rPr>
              <w:t>第</w:t>
            </w:r>
            <w:r>
              <w:rPr>
                <w:rFonts w:asciiTheme="minorEastAsia" w:hAnsiTheme="minorEastAsia" w:eastAsiaTheme="minorEastAsia"/>
                <w:bCs/>
              </w:rPr>
              <w:t>3单元</w:t>
            </w:r>
            <w:r>
              <w:rPr>
                <w:rFonts w:hint="eastAsia" w:asciiTheme="minorEastAsia" w:hAnsiTheme="minorEastAsia" w:eastAsiaTheme="minorEastAsia"/>
                <w:bCs/>
              </w:rPr>
              <w:t xml:space="preserve"> </w:t>
            </w:r>
            <w:r>
              <w:rPr>
                <w:rFonts w:ascii="宋体" w:hAnsi="宋体"/>
                <w:bCs/>
              </w:rPr>
              <w:t>国际货物买卖法</w:t>
            </w:r>
          </w:p>
        </w:tc>
        <w:tc>
          <w:tcPr>
            <w:tcW w:w="1270"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275"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345" w:type="dxa"/>
            <w:tcBorders>
              <w:right w:val="single" w:color="auto" w:sz="12" w:space="0"/>
            </w:tcBorders>
            <w:vAlign w:val="center"/>
          </w:tcPr>
          <w:p>
            <w:pPr>
              <w:pStyle w:val="15"/>
            </w:pPr>
            <w:r>
              <w:rPr>
                <w:rFonts w:hint="eastAsia" w:ascii="宋体" w:hAnsi="宋体"/>
              </w:rPr>
              <w:t>√</w:t>
            </w:r>
          </w:p>
        </w:tc>
      </w:tr>
      <w:tr>
        <w:trPr>
          <w:trHeight w:val="340" w:hRule="atLeast"/>
          <w:jc w:val="center"/>
        </w:trPr>
        <w:tc>
          <w:tcPr>
            <w:tcW w:w="1834" w:type="dxa"/>
            <w:tcBorders>
              <w:left w:val="single" w:color="auto" w:sz="12" w:space="0"/>
            </w:tcBorders>
            <w:vAlign w:val="center"/>
          </w:tcPr>
          <w:p>
            <w:pPr>
              <w:pStyle w:val="15"/>
              <w:snapToGrid w:val="0"/>
              <w:jc w:val="left"/>
            </w:pPr>
            <w:r>
              <w:rPr>
                <w:rFonts w:hint="eastAsia" w:asciiTheme="minorEastAsia" w:hAnsiTheme="minorEastAsia" w:eastAsiaTheme="minorEastAsia"/>
                <w:bCs/>
              </w:rPr>
              <w:t>第</w:t>
            </w:r>
            <w:r>
              <w:rPr>
                <w:rFonts w:asciiTheme="minorEastAsia" w:hAnsiTheme="minorEastAsia" w:eastAsiaTheme="minorEastAsia"/>
                <w:bCs/>
              </w:rPr>
              <w:t xml:space="preserve">4单元 </w:t>
            </w:r>
            <w:r>
              <w:rPr>
                <w:rFonts w:hint="eastAsia" w:asciiTheme="minorEastAsia" w:hAnsiTheme="minorEastAsia" w:eastAsiaTheme="minorEastAsia"/>
                <w:bCs/>
              </w:rPr>
              <w:t>商事组织法</w:t>
            </w:r>
          </w:p>
        </w:tc>
        <w:tc>
          <w:tcPr>
            <w:tcW w:w="1270"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275" w:type="dxa"/>
            <w:vAlign w:val="center"/>
          </w:tcPr>
          <w:p>
            <w:pPr>
              <w:pStyle w:val="15"/>
            </w:pPr>
            <w:r>
              <w:rPr>
                <w:rFonts w:hint="eastAsia" w:ascii="宋体" w:hAnsi="宋体"/>
              </w:rPr>
              <w:t>√</w:t>
            </w:r>
          </w:p>
        </w:tc>
        <w:tc>
          <w:tcPr>
            <w:tcW w:w="1276" w:type="dxa"/>
            <w:vAlign w:val="center"/>
          </w:tcPr>
          <w:p>
            <w:pPr>
              <w:pStyle w:val="15"/>
            </w:pPr>
          </w:p>
        </w:tc>
        <w:tc>
          <w:tcPr>
            <w:tcW w:w="1345" w:type="dxa"/>
            <w:tcBorders>
              <w:right w:val="single" w:color="auto" w:sz="12" w:space="0"/>
            </w:tcBorders>
            <w:vAlign w:val="center"/>
          </w:tcPr>
          <w:p>
            <w:pPr>
              <w:pStyle w:val="15"/>
            </w:pPr>
            <w:r>
              <w:rPr>
                <w:rFonts w:hint="eastAsia" w:ascii="宋体" w:hAnsi="宋体"/>
              </w:rPr>
              <w:t>√</w:t>
            </w:r>
          </w:p>
        </w:tc>
      </w:tr>
      <w:tr>
        <w:trPr>
          <w:trHeight w:val="340" w:hRule="atLeast"/>
          <w:jc w:val="center"/>
        </w:trPr>
        <w:tc>
          <w:tcPr>
            <w:tcW w:w="1834" w:type="dxa"/>
            <w:tcBorders>
              <w:left w:val="single" w:color="auto" w:sz="12" w:space="0"/>
            </w:tcBorders>
            <w:vAlign w:val="center"/>
          </w:tcPr>
          <w:p>
            <w:pPr>
              <w:pStyle w:val="15"/>
              <w:snapToGrid w:val="0"/>
              <w:jc w:val="left"/>
            </w:pPr>
            <w:r>
              <w:rPr>
                <w:rFonts w:hint="eastAsia" w:asciiTheme="minorEastAsia" w:hAnsiTheme="minorEastAsia" w:eastAsiaTheme="minorEastAsia"/>
                <w:bCs/>
              </w:rPr>
              <w:t>第</w:t>
            </w:r>
            <w:r>
              <w:rPr>
                <w:rFonts w:asciiTheme="minorEastAsia" w:hAnsiTheme="minorEastAsia" w:eastAsiaTheme="minorEastAsia"/>
                <w:bCs/>
              </w:rPr>
              <w:t xml:space="preserve">5单元 </w:t>
            </w:r>
            <w:r>
              <w:rPr>
                <w:rFonts w:hint="eastAsia" w:asciiTheme="minorEastAsia" w:hAnsiTheme="minorEastAsia" w:eastAsiaTheme="minorEastAsia"/>
                <w:bCs/>
              </w:rPr>
              <w:t>代理法</w:t>
            </w:r>
          </w:p>
        </w:tc>
        <w:tc>
          <w:tcPr>
            <w:tcW w:w="1270"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275" w:type="dxa"/>
            <w:vAlign w:val="center"/>
          </w:tcPr>
          <w:p>
            <w:pPr>
              <w:pStyle w:val="15"/>
            </w:pPr>
            <w:r>
              <w:rPr>
                <w:rFonts w:hint="eastAsia" w:ascii="宋体" w:hAnsi="宋体"/>
              </w:rPr>
              <w:t>√</w:t>
            </w:r>
          </w:p>
        </w:tc>
        <w:tc>
          <w:tcPr>
            <w:tcW w:w="1276" w:type="dxa"/>
            <w:vAlign w:val="center"/>
          </w:tcPr>
          <w:p>
            <w:pPr>
              <w:pStyle w:val="15"/>
            </w:pPr>
          </w:p>
        </w:tc>
        <w:tc>
          <w:tcPr>
            <w:tcW w:w="1345" w:type="dxa"/>
            <w:tcBorders>
              <w:right w:val="single" w:color="auto" w:sz="12" w:space="0"/>
            </w:tcBorders>
            <w:vAlign w:val="center"/>
          </w:tcPr>
          <w:p>
            <w:pPr>
              <w:pStyle w:val="15"/>
            </w:pPr>
            <w:r>
              <w:rPr>
                <w:rFonts w:hint="eastAsia" w:ascii="宋体" w:hAnsi="宋体"/>
              </w:rPr>
              <w:t>√</w:t>
            </w:r>
          </w:p>
        </w:tc>
      </w:tr>
      <w:tr>
        <w:trPr>
          <w:trHeight w:val="340" w:hRule="atLeast"/>
          <w:jc w:val="center"/>
        </w:trPr>
        <w:tc>
          <w:tcPr>
            <w:tcW w:w="1834" w:type="dxa"/>
            <w:tcBorders>
              <w:left w:val="single" w:color="auto" w:sz="12" w:space="0"/>
            </w:tcBorders>
            <w:vAlign w:val="center"/>
          </w:tcPr>
          <w:p>
            <w:pPr>
              <w:pStyle w:val="15"/>
              <w:snapToGrid w:val="0"/>
              <w:jc w:val="left"/>
            </w:pPr>
            <w:r>
              <w:rPr>
                <w:rFonts w:hint="eastAsia" w:asciiTheme="minorEastAsia" w:hAnsiTheme="minorEastAsia" w:eastAsiaTheme="minorEastAsia"/>
                <w:bCs/>
              </w:rPr>
              <w:t>第</w:t>
            </w:r>
            <w:r>
              <w:rPr>
                <w:rFonts w:asciiTheme="minorEastAsia" w:hAnsiTheme="minorEastAsia" w:eastAsiaTheme="minorEastAsia"/>
                <w:bCs/>
              </w:rPr>
              <w:t>6单元</w:t>
            </w:r>
            <w:r>
              <w:rPr>
                <w:rFonts w:hint="eastAsia" w:asciiTheme="minorEastAsia" w:hAnsiTheme="minorEastAsia" w:eastAsiaTheme="minorEastAsia"/>
                <w:bCs/>
              </w:rPr>
              <w:t xml:space="preserve"> 产品责任法</w:t>
            </w:r>
          </w:p>
        </w:tc>
        <w:tc>
          <w:tcPr>
            <w:tcW w:w="1270"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275" w:type="dxa"/>
            <w:vAlign w:val="center"/>
          </w:tcPr>
          <w:p>
            <w:pPr>
              <w:pStyle w:val="15"/>
            </w:pPr>
            <w:r>
              <w:rPr>
                <w:rFonts w:hint="eastAsia" w:ascii="宋体" w:hAnsi="宋体"/>
              </w:rPr>
              <w:t>√</w:t>
            </w:r>
          </w:p>
        </w:tc>
        <w:tc>
          <w:tcPr>
            <w:tcW w:w="1276" w:type="dxa"/>
            <w:vAlign w:val="center"/>
          </w:tcPr>
          <w:p>
            <w:pPr>
              <w:pStyle w:val="15"/>
            </w:pPr>
          </w:p>
        </w:tc>
        <w:tc>
          <w:tcPr>
            <w:tcW w:w="1345" w:type="dxa"/>
            <w:tcBorders>
              <w:right w:val="single" w:color="auto" w:sz="12" w:space="0"/>
            </w:tcBorders>
            <w:vAlign w:val="center"/>
          </w:tcPr>
          <w:p>
            <w:pPr>
              <w:pStyle w:val="15"/>
            </w:pPr>
            <w:r>
              <w:rPr>
                <w:rFonts w:hint="eastAsia" w:ascii="宋体" w:hAnsi="宋体"/>
              </w:rPr>
              <w:t>√</w:t>
            </w:r>
          </w:p>
        </w:tc>
      </w:tr>
      <w:tr>
        <w:trPr>
          <w:trHeight w:val="340" w:hRule="atLeast"/>
          <w:jc w:val="center"/>
        </w:trPr>
        <w:tc>
          <w:tcPr>
            <w:tcW w:w="1834" w:type="dxa"/>
            <w:tcBorders>
              <w:left w:val="single" w:color="auto" w:sz="12" w:space="0"/>
            </w:tcBorders>
            <w:vAlign w:val="center"/>
          </w:tcPr>
          <w:p>
            <w:pPr>
              <w:pStyle w:val="15"/>
              <w:snapToGrid w:val="0"/>
              <w:jc w:val="left"/>
            </w:pPr>
            <w:r>
              <w:rPr>
                <w:rFonts w:hint="eastAsia" w:asciiTheme="minorEastAsia" w:hAnsiTheme="minorEastAsia" w:eastAsiaTheme="minorEastAsia"/>
                <w:bCs/>
              </w:rPr>
              <w:t>第</w:t>
            </w:r>
            <w:r>
              <w:rPr>
                <w:rFonts w:asciiTheme="minorEastAsia" w:hAnsiTheme="minorEastAsia" w:eastAsiaTheme="minorEastAsia"/>
                <w:bCs/>
              </w:rPr>
              <w:t>7单元</w:t>
            </w:r>
            <w:r>
              <w:rPr>
                <w:rFonts w:hint="eastAsia" w:asciiTheme="minorEastAsia" w:hAnsiTheme="minorEastAsia" w:eastAsiaTheme="minorEastAsia"/>
                <w:bCs/>
              </w:rPr>
              <w:t xml:space="preserve"> 国际商事仲裁</w:t>
            </w:r>
          </w:p>
        </w:tc>
        <w:tc>
          <w:tcPr>
            <w:tcW w:w="1270"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275" w:type="dxa"/>
            <w:vAlign w:val="center"/>
          </w:tcPr>
          <w:p>
            <w:pPr>
              <w:pStyle w:val="15"/>
            </w:pPr>
            <w:r>
              <w:rPr>
                <w:rFonts w:hint="eastAsia" w:ascii="宋体" w:hAnsi="宋体"/>
              </w:rPr>
              <w:t>√</w:t>
            </w:r>
          </w:p>
        </w:tc>
        <w:tc>
          <w:tcPr>
            <w:tcW w:w="1276" w:type="dxa"/>
            <w:vAlign w:val="center"/>
          </w:tcPr>
          <w:p>
            <w:pPr>
              <w:pStyle w:val="15"/>
            </w:pPr>
            <w:r>
              <w:rPr>
                <w:rFonts w:hint="eastAsia" w:ascii="宋体" w:hAnsi="宋体"/>
              </w:rPr>
              <w:t>√</w:t>
            </w:r>
          </w:p>
        </w:tc>
        <w:tc>
          <w:tcPr>
            <w:tcW w:w="1345" w:type="dxa"/>
            <w:tcBorders>
              <w:right w:val="single" w:color="auto" w:sz="12" w:space="0"/>
            </w:tcBorders>
            <w:vAlign w:val="center"/>
          </w:tcPr>
          <w:p>
            <w:pPr>
              <w:pStyle w:val="15"/>
            </w:pPr>
            <w:r>
              <w:rPr>
                <w:rFonts w:hint="eastAsia" w:ascii="宋体" w:hAnsi="宋体"/>
              </w:rPr>
              <w:t>√</w:t>
            </w:r>
          </w:p>
        </w:tc>
      </w:tr>
    </w:tbl>
    <w:p>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trPr>
          <w:trHeight w:val="340" w:hRule="atLeast"/>
          <w:jc w:val="center"/>
        </w:trPr>
        <w:tc>
          <w:tcPr>
            <w:tcW w:w="1828"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pPr>
              <w:pStyle w:val="14"/>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pPr>
              <w:pStyle w:val="14"/>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rPr>
          <w:trHeight w:val="340" w:hRule="atLeast"/>
          <w:jc w:val="center"/>
        </w:trPr>
        <w:tc>
          <w:tcPr>
            <w:tcW w:w="1828"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690" w:type="dxa"/>
            <w:vMerge w:val="continue"/>
          </w:tcPr>
          <w:p>
            <w:pPr>
              <w:widowControl w:val="0"/>
              <w:snapToGrid w:val="0"/>
              <w:jc w:val="center"/>
              <w:rPr>
                <w:rFonts w:ascii="黑体" w:hAnsi="黑体" w:eastAsia="黑体"/>
                <w:bCs/>
                <w:sz w:val="21"/>
                <w:szCs w:val="21"/>
              </w:rPr>
            </w:pPr>
          </w:p>
        </w:tc>
        <w:tc>
          <w:tcPr>
            <w:tcW w:w="1697" w:type="dxa"/>
            <w:vMerge w:val="continue"/>
          </w:tcPr>
          <w:p>
            <w:pPr>
              <w:widowControl w:val="0"/>
              <w:snapToGrid w:val="0"/>
              <w:jc w:val="center"/>
              <w:rPr>
                <w:rFonts w:ascii="黑体" w:hAnsi="黑体" w:eastAsia="黑体"/>
                <w:bCs/>
                <w:sz w:val="21"/>
                <w:szCs w:val="21"/>
              </w:rPr>
            </w:pPr>
          </w:p>
        </w:tc>
        <w:tc>
          <w:tcPr>
            <w:tcW w:w="708"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rPr>
          <w:trHeight w:val="454" w:hRule="atLeast"/>
          <w:jc w:val="center"/>
        </w:trPr>
        <w:tc>
          <w:tcPr>
            <w:tcW w:w="1828" w:type="dxa"/>
            <w:tcBorders>
              <w:lef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sz w:val="21"/>
                <w:szCs w:val="21"/>
              </w:rPr>
              <w:t>第</w:t>
            </w:r>
            <w:r>
              <w:rPr>
                <w:sz w:val="21"/>
                <w:szCs w:val="21"/>
              </w:rPr>
              <w:t>1单元 导论</w:t>
            </w:r>
          </w:p>
        </w:tc>
        <w:tc>
          <w:tcPr>
            <w:tcW w:w="2690"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讲授、案例讨论</w:t>
            </w:r>
          </w:p>
        </w:tc>
        <w:tc>
          <w:tcPr>
            <w:tcW w:w="1697" w:type="dxa"/>
            <w:vAlign w:val="center"/>
          </w:tcPr>
          <w:p>
            <w:pPr>
              <w:widowControl w:val="0"/>
              <w:snapToGrid w:val="0"/>
              <w:jc w:val="left"/>
              <w:rPr>
                <w:rFonts w:ascii="Times New Roman" w:hAnsi="Times New Roman"/>
                <w:bCs/>
                <w:sz w:val="21"/>
                <w:szCs w:val="21"/>
              </w:rPr>
            </w:pPr>
            <w:r>
              <w:rPr>
                <w:rFonts w:hint="eastAsia"/>
                <w:color w:val="000000"/>
                <w:sz w:val="20"/>
                <w:szCs w:val="20"/>
              </w:rPr>
              <w:t>单元测验与期末考试</w:t>
            </w:r>
          </w:p>
        </w:tc>
        <w:tc>
          <w:tcPr>
            <w:tcW w:w="708"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2</w:t>
            </w:r>
          </w:p>
        </w:tc>
        <w:tc>
          <w:tcPr>
            <w:tcW w:w="653"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0</w:t>
            </w:r>
          </w:p>
        </w:tc>
        <w:tc>
          <w:tcPr>
            <w:tcW w:w="700" w:type="dxa"/>
            <w:tcBorders>
              <w:righ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2</w:t>
            </w:r>
          </w:p>
        </w:tc>
      </w:tr>
      <w:tr>
        <w:trPr>
          <w:trHeight w:val="454" w:hRule="atLeast"/>
          <w:jc w:val="center"/>
        </w:trPr>
        <w:tc>
          <w:tcPr>
            <w:tcW w:w="1828" w:type="dxa"/>
            <w:tcBorders>
              <w:lef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sz w:val="21"/>
                <w:szCs w:val="21"/>
              </w:rPr>
              <w:t>第</w:t>
            </w:r>
            <w:r>
              <w:rPr>
                <w:sz w:val="21"/>
                <w:szCs w:val="21"/>
              </w:rPr>
              <w:t>2单元 合同法</w:t>
            </w:r>
          </w:p>
        </w:tc>
        <w:tc>
          <w:tcPr>
            <w:tcW w:w="2690"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讲授、案例讨论</w:t>
            </w:r>
          </w:p>
        </w:tc>
        <w:tc>
          <w:tcPr>
            <w:tcW w:w="1697" w:type="dxa"/>
            <w:vAlign w:val="center"/>
          </w:tcPr>
          <w:p>
            <w:pPr>
              <w:widowControl w:val="0"/>
              <w:snapToGrid w:val="0"/>
              <w:jc w:val="left"/>
              <w:rPr>
                <w:rFonts w:ascii="Times New Roman" w:hAnsi="Times New Roman"/>
                <w:bCs/>
                <w:sz w:val="21"/>
                <w:szCs w:val="21"/>
              </w:rPr>
            </w:pPr>
            <w:bookmarkStart w:id="5" w:name="_Hlk159411113"/>
            <w:r>
              <w:rPr>
                <w:rFonts w:hint="eastAsia"/>
                <w:color w:val="000000"/>
                <w:sz w:val="20"/>
                <w:szCs w:val="20"/>
              </w:rPr>
              <w:t>案例分析汇报、单元测验与期末考试</w:t>
            </w:r>
            <w:bookmarkEnd w:id="5"/>
          </w:p>
        </w:tc>
        <w:tc>
          <w:tcPr>
            <w:tcW w:w="708" w:type="dxa"/>
            <w:vAlign w:val="center"/>
          </w:tcPr>
          <w:p>
            <w:pPr>
              <w:widowControl w:val="0"/>
              <w:snapToGrid w:val="0"/>
              <w:jc w:val="left"/>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rPr>
              <w:t>1</w:t>
            </w:r>
            <w:r>
              <w:rPr>
                <w:rFonts w:hint="eastAsia" w:asciiTheme="minorEastAsia" w:hAnsiTheme="minorEastAsia" w:eastAsiaTheme="minorEastAsia"/>
                <w:bCs/>
                <w:sz w:val="21"/>
                <w:szCs w:val="21"/>
                <w:lang w:val="en-US" w:eastAsia="zh-CN"/>
              </w:rPr>
              <w:t>0</w:t>
            </w:r>
          </w:p>
        </w:tc>
        <w:tc>
          <w:tcPr>
            <w:tcW w:w="653" w:type="dxa"/>
            <w:vAlign w:val="center"/>
          </w:tcPr>
          <w:p>
            <w:pPr>
              <w:widowControl w:val="0"/>
              <w:snapToGrid w:val="0"/>
              <w:jc w:val="left"/>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4</w:t>
            </w:r>
          </w:p>
        </w:tc>
        <w:tc>
          <w:tcPr>
            <w:tcW w:w="700" w:type="dxa"/>
            <w:tcBorders>
              <w:righ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14</w:t>
            </w:r>
          </w:p>
        </w:tc>
      </w:tr>
      <w:tr>
        <w:trPr>
          <w:trHeight w:val="454" w:hRule="atLeast"/>
          <w:jc w:val="center"/>
        </w:trPr>
        <w:tc>
          <w:tcPr>
            <w:tcW w:w="1828" w:type="dxa"/>
            <w:tcBorders>
              <w:lef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sz w:val="21"/>
                <w:szCs w:val="21"/>
              </w:rPr>
              <w:t>第</w:t>
            </w:r>
            <w:r>
              <w:rPr>
                <w:sz w:val="21"/>
                <w:szCs w:val="21"/>
              </w:rPr>
              <w:t>3单元 国际货物买卖法</w:t>
            </w:r>
          </w:p>
        </w:tc>
        <w:tc>
          <w:tcPr>
            <w:tcW w:w="2690"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讲授、案例讨论</w:t>
            </w:r>
          </w:p>
        </w:tc>
        <w:tc>
          <w:tcPr>
            <w:tcW w:w="1697" w:type="dxa"/>
            <w:vAlign w:val="center"/>
          </w:tcPr>
          <w:p>
            <w:pPr>
              <w:widowControl w:val="0"/>
              <w:snapToGrid w:val="0"/>
              <w:jc w:val="left"/>
              <w:rPr>
                <w:rFonts w:ascii="Times New Roman" w:hAnsi="Times New Roman"/>
                <w:bCs/>
                <w:sz w:val="21"/>
                <w:szCs w:val="21"/>
              </w:rPr>
            </w:pPr>
            <w:r>
              <w:rPr>
                <w:rFonts w:hint="eastAsia"/>
                <w:color w:val="000000"/>
                <w:sz w:val="20"/>
                <w:szCs w:val="20"/>
              </w:rPr>
              <w:t>案例分析汇报、单元测验与期末考试</w:t>
            </w:r>
          </w:p>
        </w:tc>
        <w:tc>
          <w:tcPr>
            <w:tcW w:w="708" w:type="dxa"/>
            <w:vAlign w:val="center"/>
          </w:tcPr>
          <w:p>
            <w:pPr>
              <w:widowControl w:val="0"/>
              <w:snapToGrid w:val="0"/>
              <w:jc w:val="left"/>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2</w:t>
            </w:r>
          </w:p>
        </w:tc>
        <w:tc>
          <w:tcPr>
            <w:tcW w:w="653" w:type="dxa"/>
            <w:vAlign w:val="center"/>
          </w:tcPr>
          <w:p>
            <w:pPr>
              <w:widowControl w:val="0"/>
              <w:snapToGrid w:val="0"/>
              <w:jc w:val="left"/>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2</w:t>
            </w:r>
          </w:p>
        </w:tc>
        <w:tc>
          <w:tcPr>
            <w:tcW w:w="700" w:type="dxa"/>
            <w:tcBorders>
              <w:righ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4</w:t>
            </w:r>
          </w:p>
        </w:tc>
      </w:tr>
      <w:tr>
        <w:trPr>
          <w:trHeight w:val="454" w:hRule="atLeast"/>
          <w:jc w:val="center"/>
        </w:trPr>
        <w:tc>
          <w:tcPr>
            <w:tcW w:w="1828" w:type="dxa"/>
            <w:tcBorders>
              <w:lef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sz w:val="21"/>
                <w:szCs w:val="21"/>
              </w:rPr>
              <w:t>第</w:t>
            </w:r>
            <w:r>
              <w:rPr>
                <w:sz w:val="21"/>
                <w:szCs w:val="21"/>
              </w:rPr>
              <w:t>4单元 商事组织法</w:t>
            </w:r>
          </w:p>
        </w:tc>
        <w:tc>
          <w:tcPr>
            <w:tcW w:w="2690"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讲授、案例讨论</w:t>
            </w:r>
          </w:p>
        </w:tc>
        <w:tc>
          <w:tcPr>
            <w:tcW w:w="1697" w:type="dxa"/>
            <w:vAlign w:val="center"/>
          </w:tcPr>
          <w:p>
            <w:pPr>
              <w:widowControl w:val="0"/>
              <w:snapToGrid w:val="0"/>
              <w:jc w:val="left"/>
              <w:rPr>
                <w:rFonts w:ascii="Times New Roman" w:hAnsi="Times New Roman"/>
                <w:bCs/>
                <w:sz w:val="21"/>
                <w:szCs w:val="21"/>
              </w:rPr>
            </w:pPr>
            <w:r>
              <w:rPr>
                <w:rFonts w:hint="eastAsia"/>
                <w:color w:val="000000"/>
                <w:sz w:val="20"/>
                <w:szCs w:val="20"/>
              </w:rPr>
              <w:t>案例分析汇报、单元测验与期末考试</w:t>
            </w:r>
          </w:p>
        </w:tc>
        <w:tc>
          <w:tcPr>
            <w:tcW w:w="708"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4</w:t>
            </w:r>
          </w:p>
        </w:tc>
        <w:tc>
          <w:tcPr>
            <w:tcW w:w="653"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0</w:t>
            </w:r>
          </w:p>
        </w:tc>
        <w:tc>
          <w:tcPr>
            <w:tcW w:w="700" w:type="dxa"/>
            <w:tcBorders>
              <w:righ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4</w:t>
            </w:r>
          </w:p>
        </w:tc>
      </w:tr>
      <w:tr>
        <w:trPr>
          <w:trHeight w:val="454" w:hRule="atLeast"/>
          <w:jc w:val="center"/>
        </w:trPr>
        <w:tc>
          <w:tcPr>
            <w:tcW w:w="1828" w:type="dxa"/>
            <w:tcBorders>
              <w:lef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sz w:val="21"/>
                <w:szCs w:val="21"/>
              </w:rPr>
              <w:t>第</w:t>
            </w:r>
            <w:r>
              <w:rPr>
                <w:sz w:val="21"/>
                <w:szCs w:val="21"/>
              </w:rPr>
              <w:t>5单元 代理法</w:t>
            </w:r>
          </w:p>
        </w:tc>
        <w:tc>
          <w:tcPr>
            <w:tcW w:w="2690"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讲授、案例讨论</w:t>
            </w:r>
          </w:p>
        </w:tc>
        <w:tc>
          <w:tcPr>
            <w:tcW w:w="1697" w:type="dxa"/>
            <w:vAlign w:val="center"/>
          </w:tcPr>
          <w:p>
            <w:pPr>
              <w:widowControl w:val="0"/>
              <w:snapToGrid w:val="0"/>
              <w:jc w:val="left"/>
              <w:rPr>
                <w:rFonts w:ascii="Times New Roman" w:hAnsi="Times New Roman"/>
                <w:bCs/>
                <w:sz w:val="21"/>
                <w:szCs w:val="21"/>
              </w:rPr>
            </w:pPr>
            <w:r>
              <w:rPr>
                <w:rFonts w:hint="eastAsia"/>
                <w:color w:val="000000"/>
                <w:sz w:val="20"/>
                <w:szCs w:val="20"/>
              </w:rPr>
              <w:t>案例分析汇报、单元测验与期末考试</w:t>
            </w:r>
          </w:p>
        </w:tc>
        <w:tc>
          <w:tcPr>
            <w:tcW w:w="708" w:type="dxa"/>
            <w:vAlign w:val="center"/>
          </w:tcPr>
          <w:p>
            <w:pPr>
              <w:widowControl w:val="0"/>
              <w:snapToGrid w:val="0"/>
              <w:jc w:val="left"/>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2</w:t>
            </w:r>
          </w:p>
        </w:tc>
        <w:tc>
          <w:tcPr>
            <w:tcW w:w="653" w:type="dxa"/>
            <w:vAlign w:val="center"/>
          </w:tcPr>
          <w:p>
            <w:pPr>
              <w:widowControl w:val="0"/>
              <w:snapToGrid w:val="0"/>
              <w:jc w:val="left"/>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2</w:t>
            </w:r>
          </w:p>
        </w:tc>
        <w:tc>
          <w:tcPr>
            <w:tcW w:w="700" w:type="dxa"/>
            <w:tcBorders>
              <w:righ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4</w:t>
            </w:r>
          </w:p>
        </w:tc>
      </w:tr>
      <w:tr>
        <w:trPr>
          <w:trHeight w:val="454" w:hRule="atLeast"/>
          <w:jc w:val="center"/>
        </w:trPr>
        <w:tc>
          <w:tcPr>
            <w:tcW w:w="1828" w:type="dxa"/>
            <w:tcBorders>
              <w:lef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sz w:val="21"/>
                <w:szCs w:val="21"/>
              </w:rPr>
              <w:t>第</w:t>
            </w:r>
            <w:r>
              <w:rPr>
                <w:sz w:val="21"/>
                <w:szCs w:val="21"/>
              </w:rPr>
              <w:t>6单元 产品责任法</w:t>
            </w:r>
          </w:p>
        </w:tc>
        <w:tc>
          <w:tcPr>
            <w:tcW w:w="2690"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讲授、案例讨论</w:t>
            </w:r>
          </w:p>
        </w:tc>
        <w:tc>
          <w:tcPr>
            <w:tcW w:w="1697" w:type="dxa"/>
            <w:vAlign w:val="center"/>
          </w:tcPr>
          <w:p>
            <w:pPr>
              <w:widowControl w:val="0"/>
              <w:snapToGrid w:val="0"/>
              <w:jc w:val="left"/>
              <w:rPr>
                <w:rFonts w:ascii="Times New Roman" w:hAnsi="Times New Roman"/>
                <w:bCs/>
                <w:sz w:val="21"/>
                <w:szCs w:val="21"/>
              </w:rPr>
            </w:pPr>
            <w:r>
              <w:rPr>
                <w:rFonts w:hint="eastAsia"/>
                <w:color w:val="000000"/>
                <w:sz w:val="20"/>
                <w:szCs w:val="20"/>
              </w:rPr>
              <w:t>案例分析汇报、单元测验与期末考试</w:t>
            </w:r>
          </w:p>
        </w:tc>
        <w:tc>
          <w:tcPr>
            <w:tcW w:w="708"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2</w:t>
            </w:r>
          </w:p>
        </w:tc>
        <w:tc>
          <w:tcPr>
            <w:tcW w:w="653"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0</w:t>
            </w:r>
          </w:p>
        </w:tc>
        <w:tc>
          <w:tcPr>
            <w:tcW w:w="700" w:type="dxa"/>
            <w:tcBorders>
              <w:righ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2</w:t>
            </w:r>
          </w:p>
        </w:tc>
      </w:tr>
      <w:tr>
        <w:trPr>
          <w:trHeight w:val="454" w:hRule="atLeast"/>
          <w:jc w:val="center"/>
        </w:trPr>
        <w:tc>
          <w:tcPr>
            <w:tcW w:w="1828" w:type="dxa"/>
            <w:tcBorders>
              <w:lef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sz w:val="21"/>
                <w:szCs w:val="21"/>
              </w:rPr>
              <w:t>第</w:t>
            </w:r>
            <w:r>
              <w:rPr>
                <w:sz w:val="21"/>
                <w:szCs w:val="21"/>
              </w:rPr>
              <w:t>7单元 国际商事仲裁</w:t>
            </w:r>
          </w:p>
        </w:tc>
        <w:tc>
          <w:tcPr>
            <w:tcW w:w="2690"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讲授、案例讨论</w:t>
            </w:r>
          </w:p>
        </w:tc>
        <w:tc>
          <w:tcPr>
            <w:tcW w:w="1697" w:type="dxa"/>
            <w:vAlign w:val="center"/>
          </w:tcPr>
          <w:p>
            <w:pPr>
              <w:widowControl w:val="0"/>
              <w:snapToGrid w:val="0"/>
              <w:jc w:val="left"/>
              <w:rPr>
                <w:rFonts w:ascii="Times New Roman" w:hAnsi="Times New Roman"/>
                <w:bCs/>
                <w:sz w:val="21"/>
                <w:szCs w:val="21"/>
              </w:rPr>
            </w:pPr>
            <w:r>
              <w:rPr>
                <w:rFonts w:hint="eastAsia"/>
                <w:color w:val="000000"/>
                <w:sz w:val="20"/>
                <w:szCs w:val="20"/>
              </w:rPr>
              <w:t>案例分析汇报、单元测验与期末考试</w:t>
            </w:r>
          </w:p>
        </w:tc>
        <w:tc>
          <w:tcPr>
            <w:tcW w:w="708"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2</w:t>
            </w:r>
          </w:p>
        </w:tc>
        <w:tc>
          <w:tcPr>
            <w:tcW w:w="653" w:type="dxa"/>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0</w:t>
            </w:r>
          </w:p>
        </w:tc>
        <w:tc>
          <w:tcPr>
            <w:tcW w:w="700" w:type="dxa"/>
            <w:tcBorders>
              <w:right w:val="single" w:color="auto" w:sz="12" w:space="0"/>
            </w:tcBorders>
            <w:vAlign w:val="center"/>
          </w:tcPr>
          <w:p>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2</w:t>
            </w:r>
          </w:p>
        </w:tc>
      </w:tr>
      <w:tr>
        <w:trPr>
          <w:trHeight w:val="454" w:hRule="atLeast"/>
          <w:jc w:val="center"/>
        </w:trPr>
        <w:tc>
          <w:tcPr>
            <w:tcW w:w="6215" w:type="dxa"/>
            <w:gridSpan w:val="3"/>
            <w:tcBorders>
              <w:left w:val="single" w:color="auto" w:sz="12" w:space="0"/>
              <w:bottom w:val="single" w:color="auto" w:sz="12" w:space="0"/>
            </w:tcBorders>
            <w:vAlign w:val="center"/>
          </w:tcPr>
          <w:p>
            <w:pPr>
              <w:pStyle w:val="14"/>
              <w:widowControl w:val="0"/>
            </w:pPr>
            <w:r>
              <w:rPr>
                <w:rFonts w:hint="eastAsia"/>
              </w:rPr>
              <w:t>合计</w:t>
            </w:r>
          </w:p>
        </w:tc>
        <w:tc>
          <w:tcPr>
            <w:tcW w:w="708" w:type="dxa"/>
            <w:tcBorders>
              <w:bottom w:val="single" w:color="auto" w:sz="12" w:space="0"/>
            </w:tcBorders>
            <w:vAlign w:val="center"/>
          </w:tcPr>
          <w:p>
            <w:pPr>
              <w:widowControl w:val="0"/>
              <w:snapToGrid w:val="0"/>
              <w:jc w:val="center"/>
              <w:rPr>
                <w:rFonts w:hint="default"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24</w:t>
            </w:r>
          </w:p>
        </w:tc>
        <w:tc>
          <w:tcPr>
            <w:tcW w:w="653" w:type="dxa"/>
            <w:tcBorders>
              <w:bottom w:val="single" w:color="auto" w:sz="12" w:space="0"/>
            </w:tcBorders>
            <w:vAlign w:val="center"/>
          </w:tcPr>
          <w:p>
            <w:pPr>
              <w:widowControl w:val="0"/>
              <w:snapToGrid w:val="0"/>
              <w:jc w:val="both"/>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8</w:t>
            </w:r>
          </w:p>
        </w:tc>
        <w:tc>
          <w:tcPr>
            <w:tcW w:w="700" w:type="dxa"/>
            <w:tcBorders>
              <w:bottom w:val="single" w:color="auto" w:sz="12" w:space="0"/>
              <w:right w:val="single" w:color="auto" w:sz="12" w:space="0"/>
            </w:tcBorders>
            <w:vAlign w:val="center"/>
          </w:tcPr>
          <w:p>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32</w:t>
            </w:r>
          </w:p>
        </w:tc>
      </w:tr>
    </w:tbl>
    <w:p>
      <w:pPr>
        <w:pStyle w:val="17"/>
        <w:spacing w:before="326" w:beforeLines="100" w:line="360" w:lineRule="auto"/>
        <w:ind w:firstLine="140" w:firstLineChars="50"/>
        <w:rPr>
          <w:rFonts w:ascii="黑体" w:hAnsi="宋体"/>
        </w:rPr>
      </w:pPr>
      <w:bookmarkStart w:id="6" w:name="OLE_LINK2"/>
      <w:bookmarkStart w:id="7" w:name="OLE_LINK1"/>
      <w:r>
        <w:rPr>
          <w:rFonts w:hint="eastAsia" w:ascii="黑体" w:hAnsi="宋体"/>
        </w:rPr>
        <w:t>四、课程思政教学设计</w:t>
      </w:r>
    </w:p>
    <w:bookmarkEnd w:id="6"/>
    <w:bookmarkEnd w:id="7"/>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rPr>
          <w:trHeight w:val="1128" w:hRule="atLeast"/>
        </w:trPr>
        <w:tc>
          <w:tcPr>
            <w:tcW w:w="8276" w:type="dxa"/>
            <w:vAlign w:val="center"/>
          </w:tcPr>
          <w:p>
            <w:pPr>
              <w:pStyle w:val="15"/>
              <w:widowControl w:val="0"/>
              <w:ind w:firstLine="420" w:firstLineChars="200"/>
              <w:jc w:val="left"/>
              <w:rPr>
                <w:rFonts w:ascii="宋体" w:hAnsi="宋体"/>
                <w:bCs/>
              </w:rPr>
            </w:pPr>
            <w:r>
              <w:rPr>
                <w:rFonts w:hint="eastAsia" w:ascii="宋体" w:hAnsi="宋体"/>
                <w:bCs/>
              </w:rPr>
              <w:t>第1单元，通过让学生查阅我国法律体系发展历史过程，树立国家荣誉感和自豪感。</w:t>
            </w:r>
          </w:p>
          <w:p>
            <w:pPr>
              <w:pStyle w:val="15"/>
              <w:widowControl w:val="0"/>
              <w:ind w:firstLine="420" w:firstLineChars="200"/>
              <w:jc w:val="left"/>
              <w:rPr>
                <w:rFonts w:ascii="宋体" w:hAnsi="宋体"/>
                <w:bCs/>
              </w:rPr>
            </w:pPr>
            <w:r>
              <w:rPr>
                <w:rFonts w:hint="eastAsia" w:ascii="宋体" w:hAnsi="宋体"/>
                <w:bCs/>
              </w:rPr>
              <w:t>第2单元，通过对合同法的基本原则以及违约责任的承担的相关案例讨论，引导学生树立诚信意识，强调诚实守信的重要性。</w:t>
            </w:r>
          </w:p>
          <w:p>
            <w:pPr>
              <w:pStyle w:val="15"/>
              <w:widowControl w:val="0"/>
              <w:ind w:firstLine="420" w:firstLineChars="200"/>
              <w:jc w:val="left"/>
              <w:rPr>
                <w:rFonts w:ascii="宋体" w:hAnsi="宋体"/>
                <w:bCs/>
              </w:rPr>
            </w:pPr>
            <w:r>
              <w:rPr>
                <w:rFonts w:hint="eastAsia" w:ascii="宋体" w:hAnsi="宋体"/>
                <w:bCs/>
              </w:rPr>
              <w:t>第</w:t>
            </w:r>
            <w:r>
              <w:rPr>
                <w:rFonts w:ascii="宋体" w:hAnsi="宋体"/>
                <w:bCs/>
              </w:rPr>
              <w:t>3单元</w:t>
            </w:r>
            <w:r>
              <w:rPr>
                <w:rFonts w:hint="eastAsia" w:ascii="宋体" w:hAnsi="宋体"/>
                <w:bCs/>
              </w:rPr>
              <w:t>，通过对国际货物买卖合同纠纷案例讨论，引导学生理解契约精神的重要性，遵守合同约定，维护交易秩序和公平竞争。同时让学生了解不同国家和地区的文化背景和商业习惯，尊重差异，促进文化交流和互信合作。</w:t>
            </w:r>
          </w:p>
          <w:p>
            <w:pPr>
              <w:pStyle w:val="15"/>
              <w:widowControl w:val="0"/>
              <w:ind w:firstLine="420" w:firstLineChars="200"/>
              <w:jc w:val="left"/>
              <w:rPr>
                <w:rFonts w:ascii="宋体" w:hAnsi="宋体"/>
                <w:bCs/>
              </w:rPr>
            </w:pPr>
            <w:r>
              <w:rPr>
                <w:rFonts w:hint="eastAsia" w:ascii="宋体" w:hAnsi="宋体"/>
                <w:bCs/>
              </w:rPr>
              <w:t>第4</w:t>
            </w:r>
            <w:r>
              <w:rPr>
                <w:rFonts w:ascii="宋体" w:hAnsi="宋体"/>
                <w:bCs/>
              </w:rPr>
              <w:t>单元</w:t>
            </w:r>
            <w:r>
              <w:rPr>
                <w:rFonts w:hint="eastAsia" w:ascii="宋体" w:hAnsi="宋体"/>
                <w:bCs/>
              </w:rPr>
              <w:t>，通过有影响力企业的发展案例讨论，让学生认识到国际商事组织不仅要追求经济利益，还要承担社会责任。引导学生理解社会责任的重要性，培养其社会责任感和可持续发展观念。</w:t>
            </w:r>
          </w:p>
          <w:p>
            <w:pPr>
              <w:pStyle w:val="15"/>
              <w:widowControl w:val="0"/>
              <w:ind w:firstLine="420" w:firstLineChars="200"/>
              <w:jc w:val="left"/>
              <w:rPr>
                <w:rFonts w:ascii="宋体" w:hAnsi="宋体"/>
                <w:bCs/>
              </w:rPr>
            </w:pPr>
            <w:r>
              <w:rPr>
                <w:rFonts w:ascii="宋体" w:hAnsi="宋体"/>
                <w:bCs/>
              </w:rPr>
              <w:t>第</w:t>
            </w:r>
            <w:r>
              <w:rPr>
                <w:rFonts w:hint="eastAsia" w:ascii="宋体" w:hAnsi="宋体"/>
                <w:bCs/>
              </w:rPr>
              <w:t>5</w:t>
            </w:r>
            <w:r>
              <w:rPr>
                <w:rFonts w:ascii="宋体" w:hAnsi="宋体"/>
                <w:bCs/>
              </w:rPr>
              <w:t>单元</w:t>
            </w:r>
            <w:r>
              <w:rPr>
                <w:rFonts w:hint="eastAsia" w:ascii="宋体" w:hAnsi="宋体"/>
                <w:bCs/>
              </w:rPr>
              <w:t>，通过对代理人和被代理人义务的了解，引导学生要遵守诚实守信的原则，不进行虚假陈述或隐瞒关键信息，提高法律意识和素养。</w:t>
            </w:r>
          </w:p>
          <w:p>
            <w:pPr>
              <w:pStyle w:val="15"/>
              <w:widowControl w:val="0"/>
              <w:ind w:firstLine="420" w:firstLineChars="200"/>
              <w:jc w:val="left"/>
              <w:rPr>
                <w:rFonts w:ascii="宋体" w:hAnsi="宋体"/>
                <w:bCs/>
              </w:rPr>
            </w:pPr>
            <w:r>
              <w:rPr>
                <w:rFonts w:hint="eastAsia" w:ascii="宋体" w:hAnsi="宋体"/>
                <w:bCs/>
              </w:rPr>
              <w:t>第6</w:t>
            </w:r>
            <w:r>
              <w:rPr>
                <w:rFonts w:ascii="宋体" w:hAnsi="宋体"/>
                <w:bCs/>
              </w:rPr>
              <w:t>单元</w:t>
            </w:r>
            <w:r>
              <w:rPr>
                <w:rFonts w:hint="eastAsia" w:ascii="宋体" w:hAnsi="宋体"/>
                <w:bCs/>
              </w:rPr>
              <w:t>，通过让学生寻找民族产品发展相关案例，以及优秀民族品牌崛起的故事，也可与外国产品和品牌进行对比，培养学生民族自信，增强爱国情感。同时要认识保证商品品质的重要性，严控劣质商品出口给国家造成不利影响。</w:t>
            </w:r>
          </w:p>
          <w:p>
            <w:pPr>
              <w:pStyle w:val="15"/>
              <w:widowControl w:val="0"/>
              <w:ind w:firstLine="420" w:firstLineChars="200"/>
              <w:jc w:val="left"/>
            </w:pPr>
            <w:r>
              <w:rPr>
                <w:rFonts w:hint="eastAsia" w:ascii="宋体" w:hAnsi="宋体"/>
                <w:bCs/>
              </w:rPr>
              <w:t>第7</w:t>
            </w:r>
            <w:r>
              <w:rPr>
                <w:rFonts w:ascii="宋体" w:hAnsi="宋体"/>
                <w:bCs/>
              </w:rPr>
              <w:t>单元</w:t>
            </w:r>
            <w:r>
              <w:rPr>
                <w:rFonts w:hint="eastAsia" w:ascii="宋体" w:hAnsi="宋体"/>
                <w:bCs/>
              </w:rPr>
              <w:t>，通过分析国际商事仲裁案例，让学生学会国际商事仲裁法律法规的适用，增强学生的爱国情怀和法律信仰。</w:t>
            </w:r>
          </w:p>
        </w:tc>
      </w:tr>
    </w:tbl>
    <w:p>
      <w:pPr>
        <w:pStyle w:val="17"/>
        <w:spacing w:before="326" w:beforeLines="100" w:line="360" w:lineRule="auto"/>
        <w:rPr>
          <w:rFonts w:ascii="黑体" w:hAnsi="宋体"/>
        </w:rPr>
      </w:pPr>
      <w:r>
        <w:rPr>
          <w:rFonts w:hint="eastAsia" w:ascii="黑体" w:hAnsi="宋体"/>
        </w:rPr>
        <w:t>五、课程考核</w:t>
      </w:r>
      <w:bookmarkStart w:id="8" w:name="OLE_LINK3"/>
      <w:bookmarkStart w:id="9" w:name="OLE_LINK4"/>
    </w:p>
    <w:bookmarkEnd w:id="8"/>
    <w:bookmarkEnd w:id="9"/>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65"/>
        <w:gridCol w:w="709"/>
        <w:gridCol w:w="709"/>
        <w:gridCol w:w="708"/>
        <w:gridCol w:w="781"/>
        <w:gridCol w:w="706"/>
      </w:tblGrid>
      <w:tr>
        <w:trPr>
          <w:trHeight w:val="454" w:hRule="atLeast"/>
          <w:jc w:val="center"/>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rPr>
          <w:trHeight w:val="454" w:hRule="atLeast"/>
          <w:jc w:val="center"/>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7"/>
              <w:widowControl w:val="0"/>
              <w:jc w:val="both"/>
              <w:rPr>
                <w:rFonts w:ascii="黑体" w:hAnsi="黑体"/>
                <w:bCs/>
                <w:sz w:val="21"/>
                <w:szCs w:val="21"/>
              </w:rPr>
            </w:pPr>
          </w:p>
        </w:tc>
        <w:tc>
          <w:tcPr>
            <w:tcW w:w="2353" w:type="dxa"/>
            <w:vMerge w:val="continue"/>
            <w:tcBorders>
              <w:right w:val="double" w:color="auto" w:sz="4" w:space="0"/>
            </w:tcBorders>
          </w:tcPr>
          <w:p>
            <w:pPr>
              <w:pStyle w:val="17"/>
              <w:widowControl w:val="0"/>
              <w:jc w:val="both"/>
              <w:rPr>
                <w:rFonts w:ascii="黑体" w:hAnsi="黑体"/>
                <w:bCs/>
                <w:sz w:val="21"/>
                <w:szCs w:val="21"/>
              </w:rPr>
            </w:pPr>
          </w:p>
        </w:tc>
        <w:tc>
          <w:tcPr>
            <w:tcW w:w="765" w:type="dxa"/>
            <w:tcBorders>
              <w:left w:val="double" w:color="auto" w:sz="4"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9"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709"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708"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781"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rPr>
          <w:trHeight w:val="454" w:hRule="atLeast"/>
          <w:jc w:val="center"/>
        </w:trPr>
        <w:tc>
          <w:tcPr>
            <w:tcW w:w="836" w:type="dxa"/>
            <w:tcBorders>
              <w:left w:val="single" w:color="auto" w:sz="12" w:space="0"/>
            </w:tcBorders>
            <w:vAlign w:val="center"/>
          </w:tcPr>
          <w:p>
            <w:pPr>
              <w:widowControl w:val="0"/>
              <w:snapToGrid w:val="0"/>
              <w:jc w:val="center"/>
              <w:rPr>
                <w:rFonts w:cs="Arial" w:asciiTheme="minorEastAsia" w:hAnsiTheme="minorEastAsia" w:eastAsiaTheme="minorEastAsia"/>
                <w:bCs/>
                <w:sz w:val="21"/>
                <w:szCs w:val="21"/>
              </w:rPr>
            </w:pPr>
            <w:r>
              <w:rPr>
                <w:rFonts w:ascii="Times New Roman" w:hAnsi="Times New Roman" w:cs="Times New Roman" w:eastAsiaTheme="minorEastAsia"/>
                <w:sz w:val="21"/>
                <w:szCs w:val="21"/>
              </w:rPr>
              <w:t>1</w:t>
            </w:r>
          </w:p>
        </w:tc>
        <w:tc>
          <w:tcPr>
            <w:tcW w:w="709" w:type="dxa"/>
            <w:vAlign w:val="center"/>
          </w:tcPr>
          <w:p>
            <w:pPr>
              <w:pStyle w:val="15"/>
              <w:widowControl w:val="0"/>
            </w:pPr>
            <w:r>
              <w:rPr>
                <w:rFonts w:hint="eastAsia"/>
                <w:lang w:val="en-US" w:eastAsia="zh-CN"/>
              </w:rPr>
              <w:t>4</w:t>
            </w:r>
            <w:r>
              <w:rPr>
                <w:rFonts w:hint="eastAsia"/>
              </w:rPr>
              <w:t>0%</w:t>
            </w:r>
          </w:p>
        </w:tc>
        <w:tc>
          <w:tcPr>
            <w:tcW w:w="2353" w:type="dxa"/>
            <w:tcBorders>
              <w:right w:val="double" w:color="auto" w:sz="4" w:space="0"/>
            </w:tcBorders>
            <w:vAlign w:val="center"/>
          </w:tcPr>
          <w:p>
            <w:pPr>
              <w:pStyle w:val="15"/>
              <w:widowControl w:val="0"/>
              <w:rPr>
                <w:rFonts w:asciiTheme="minorEastAsia" w:hAnsiTheme="minorEastAsia" w:eastAsiaTheme="minorEastAsia"/>
              </w:rPr>
            </w:pPr>
            <w:r>
              <w:t>期终闭卷</w:t>
            </w:r>
            <w:r>
              <w:rPr>
                <w:rFonts w:hint="eastAsia"/>
              </w:rPr>
              <w:t>考</w:t>
            </w:r>
          </w:p>
        </w:tc>
        <w:tc>
          <w:tcPr>
            <w:tcW w:w="765" w:type="dxa"/>
            <w:tcBorders>
              <w:left w:val="double" w:color="auto" w:sz="4" w:space="0"/>
            </w:tcBorders>
            <w:vAlign w:val="center"/>
          </w:tcPr>
          <w:p>
            <w:pPr>
              <w:pStyle w:val="15"/>
              <w:widowControl w:val="0"/>
            </w:pPr>
            <w:r>
              <w:rPr>
                <w:rFonts w:hint="eastAsia"/>
              </w:rPr>
              <w:t>10</w:t>
            </w:r>
          </w:p>
        </w:tc>
        <w:tc>
          <w:tcPr>
            <w:tcW w:w="709" w:type="dxa"/>
            <w:vAlign w:val="center"/>
          </w:tcPr>
          <w:p>
            <w:pPr>
              <w:pStyle w:val="15"/>
              <w:widowControl w:val="0"/>
            </w:pPr>
            <w:r>
              <w:rPr>
                <w:rFonts w:hint="eastAsia"/>
              </w:rPr>
              <w:t>40</w:t>
            </w:r>
          </w:p>
        </w:tc>
        <w:tc>
          <w:tcPr>
            <w:tcW w:w="709" w:type="dxa"/>
            <w:vAlign w:val="center"/>
          </w:tcPr>
          <w:p>
            <w:pPr>
              <w:pStyle w:val="15"/>
              <w:widowControl w:val="0"/>
            </w:pPr>
            <w:r>
              <w:rPr>
                <w:rFonts w:hint="eastAsia"/>
              </w:rPr>
              <w:t>40</w:t>
            </w:r>
          </w:p>
        </w:tc>
        <w:tc>
          <w:tcPr>
            <w:tcW w:w="708" w:type="dxa"/>
            <w:vAlign w:val="center"/>
          </w:tcPr>
          <w:p>
            <w:pPr>
              <w:pStyle w:val="15"/>
              <w:widowControl w:val="0"/>
            </w:pPr>
          </w:p>
        </w:tc>
        <w:tc>
          <w:tcPr>
            <w:tcW w:w="781" w:type="dxa"/>
            <w:vAlign w:val="center"/>
          </w:tcPr>
          <w:p>
            <w:pPr>
              <w:pStyle w:val="15"/>
              <w:widowControl w:val="0"/>
            </w:pPr>
            <w:r>
              <w:rPr>
                <w:rFonts w:hint="eastAsia"/>
              </w:rPr>
              <w:t>10</w:t>
            </w:r>
          </w:p>
        </w:tc>
        <w:tc>
          <w:tcPr>
            <w:tcW w:w="706" w:type="dxa"/>
            <w:tcBorders>
              <w:right w:val="single" w:color="auto" w:sz="12" w:space="0"/>
            </w:tcBorders>
            <w:vAlign w:val="center"/>
          </w:tcPr>
          <w:p>
            <w:pPr>
              <w:pStyle w:val="15"/>
              <w:widowControl w:val="0"/>
            </w:pPr>
            <w:r>
              <w:rPr>
                <w:rFonts w:hint="eastAsia"/>
              </w:rPr>
              <w:t>1</w:t>
            </w:r>
            <w:r>
              <w:t>00</w:t>
            </w:r>
          </w:p>
        </w:tc>
      </w:tr>
      <w:tr>
        <w:trPr>
          <w:trHeight w:val="454" w:hRule="atLeast"/>
          <w:jc w:val="center"/>
        </w:trPr>
        <w:tc>
          <w:tcPr>
            <w:tcW w:w="836" w:type="dxa"/>
            <w:tcBorders>
              <w:left w:val="single" w:color="auto" w:sz="12" w:space="0"/>
            </w:tcBorders>
            <w:vAlign w:val="center"/>
          </w:tcPr>
          <w:p>
            <w:pPr>
              <w:widowControl w:val="0"/>
              <w:snapToGrid w:val="0"/>
              <w:jc w:val="center"/>
              <w:rPr>
                <w:rFonts w:cs="Arial" w:asciiTheme="minorEastAsia" w:hAnsiTheme="minorEastAsia" w:eastAsiaTheme="minorEastAsia"/>
                <w:bCs/>
                <w:sz w:val="21"/>
                <w:szCs w:val="21"/>
              </w:rPr>
            </w:pPr>
            <w:r>
              <w:rPr>
                <w:rFonts w:ascii="Times New Roman" w:hAnsi="Times New Roman" w:cs="Times New Roman" w:eastAsiaTheme="minorEastAsia"/>
                <w:sz w:val="21"/>
                <w:szCs w:val="21"/>
              </w:rPr>
              <w:t>X1</w:t>
            </w:r>
          </w:p>
        </w:tc>
        <w:tc>
          <w:tcPr>
            <w:tcW w:w="709" w:type="dxa"/>
            <w:vAlign w:val="center"/>
          </w:tcPr>
          <w:p>
            <w:pPr>
              <w:pStyle w:val="15"/>
              <w:widowControl w:val="0"/>
            </w:pPr>
            <w:r>
              <w:rPr>
                <w:rFonts w:hint="eastAsia"/>
                <w:lang w:val="en-US" w:eastAsia="zh-CN"/>
              </w:rPr>
              <w:t>2</w:t>
            </w:r>
            <w:r>
              <w:rPr>
                <w:rFonts w:hint="eastAsia"/>
              </w:rPr>
              <w:t>0%</w:t>
            </w:r>
          </w:p>
        </w:tc>
        <w:tc>
          <w:tcPr>
            <w:tcW w:w="2353" w:type="dxa"/>
            <w:tcBorders>
              <w:right w:val="double" w:color="auto" w:sz="4" w:space="0"/>
            </w:tcBorders>
            <w:vAlign w:val="center"/>
          </w:tcPr>
          <w:p>
            <w:pPr>
              <w:pStyle w:val="15"/>
              <w:widowControl w:val="0"/>
              <w:rPr>
                <w:rFonts w:asciiTheme="minorEastAsia" w:hAnsiTheme="minorEastAsia" w:eastAsiaTheme="minorEastAsia"/>
              </w:rPr>
            </w:pPr>
            <w:r>
              <w:t>平时表现（课堂参与讨论的积极性、考勤情况）</w:t>
            </w:r>
          </w:p>
        </w:tc>
        <w:tc>
          <w:tcPr>
            <w:tcW w:w="765" w:type="dxa"/>
            <w:tcBorders>
              <w:left w:val="double" w:color="auto" w:sz="4" w:space="0"/>
            </w:tcBorders>
            <w:vAlign w:val="center"/>
          </w:tcPr>
          <w:p>
            <w:pPr>
              <w:pStyle w:val="15"/>
              <w:widowControl w:val="0"/>
            </w:pPr>
          </w:p>
        </w:tc>
        <w:tc>
          <w:tcPr>
            <w:tcW w:w="709" w:type="dxa"/>
            <w:vAlign w:val="center"/>
          </w:tcPr>
          <w:p>
            <w:pPr>
              <w:pStyle w:val="15"/>
              <w:widowControl w:val="0"/>
            </w:pPr>
          </w:p>
        </w:tc>
        <w:tc>
          <w:tcPr>
            <w:tcW w:w="709" w:type="dxa"/>
            <w:vAlign w:val="center"/>
          </w:tcPr>
          <w:p>
            <w:pPr>
              <w:pStyle w:val="15"/>
              <w:widowControl w:val="0"/>
            </w:pPr>
          </w:p>
        </w:tc>
        <w:tc>
          <w:tcPr>
            <w:tcW w:w="708" w:type="dxa"/>
            <w:vAlign w:val="center"/>
          </w:tcPr>
          <w:p>
            <w:pPr>
              <w:pStyle w:val="15"/>
              <w:widowControl w:val="0"/>
            </w:pPr>
            <w:r>
              <w:rPr>
                <w:rFonts w:hint="eastAsia"/>
              </w:rPr>
              <w:t>80</w:t>
            </w:r>
          </w:p>
        </w:tc>
        <w:tc>
          <w:tcPr>
            <w:tcW w:w="781" w:type="dxa"/>
            <w:vAlign w:val="center"/>
          </w:tcPr>
          <w:p>
            <w:pPr>
              <w:pStyle w:val="15"/>
              <w:widowControl w:val="0"/>
            </w:pPr>
            <w:r>
              <w:rPr>
                <w:rFonts w:hint="eastAsia"/>
              </w:rPr>
              <w:t>20</w:t>
            </w:r>
          </w:p>
        </w:tc>
        <w:tc>
          <w:tcPr>
            <w:tcW w:w="706" w:type="dxa"/>
            <w:tcBorders>
              <w:right w:val="single" w:color="auto" w:sz="12" w:space="0"/>
            </w:tcBorders>
            <w:vAlign w:val="center"/>
          </w:tcPr>
          <w:p>
            <w:pPr>
              <w:pStyle w:val="15"/>
              <w:widowControl w:val="0"/>
            </w:pPr>
            <w:r>
              <w:rPr>
                <w:rFonts w:hint="eastAsia"/>
              </w:rPr>
              <w:t>1</w:t>
            </w:r>
            <w:r>
              <w:t>00</w:t>
            </w:r>
          </w:p>
        </w:tc>
      </w:tr>
      <w:tr>
        <w:trPr>
          <w:trHeight w:val="454" w:hRule="atLeast"/>
          <w:jc w:val="center"/>
        </w:trPr>
        <w:tc>
          <w:tcPr>
            <w:tcW w:w="836" w:type="dxa"/>
            <w:tcBorders>
              <w:left w:val="single" w:color="auto" w:sz="12" w:space="0"/>
            </w:tcBorders>
            <w:vAlign w:val="center"/>
          </w:tcPr>
          <w:p>
            <w:pPr>
              <w:widowControl w:val="0"/>
              <w:snapToGrid w:val="0"/>
              <w:jc w:val="center"/>
              <w:rPr>
                <w:rFonts w:cs="Arial" w:asciiTheme="minorEastAsia" w:hAnsiTheme="minorEastAsia" w:eastAsiaTheme="minorEastAsia"/>
                <w:bCs/>
                <w:sz w:val="21"/>
                <w:szCs w:val="21"/>
              </w:rPr>
            </w:pPr>
            <w:r>
              <w:rPr>
                <w:rFonts w:ascii="Times New Roman" w:hAnsi="Times New Roman" w:cs="Times New Roman" w:eastAsiaTheme="minorEastAsia"/>
                <w:sz w:val="21"/>
                <w:szCs w:val="21"/>
              </w:rPr>
              <w:t>X</w:t>
            </w:r>
            <w:r>
              <w:rPr>
                <w:rFonts w:hint="eastAsia" w:ascii="Times New Roman" w:hAnsi="Times New Roman" w:cs="Times New Roman" w:eastAsiaTheme="minorEastAsia"/>
                <w:sz w:val="21"/>
                <w:szCs w:val="21"/>
              </w:rPr>
              <w:t>3</w:t>
            </w:r>
          </w:p>
        </w:tc>
        <w:tc>
          <w:tcPr>
            <w:tcW w:w="709" w:type="dxa"/>
            <w:vAlign w:val="center"/>
          </w:tcPr>
          <w:p>
            <w:pPr>
              <w:pStyle w:val="15"/>
              <w:widowControl w:val="0"/>
            </w:pPr>
            <w:r>
              <w:rPr>
                <w:rFonts w:hint="eastAsia"/>
                <w:lang w:val="en-US" w:eastAsia="zh-CN"/>
              </w:rPr>
              <w:t>2</w:t>
            </w:r>
            <w:r>
              <w:rPr>
                <w:rFonts w:hint="eastAsia"/>
              </w:rPr>
              <w:t>0%</w:t>
            </w:r>
          </w:p>
        </w:tc>
        <w:tc>
          <w:tcPr>
            <w:tcW w:w="2353" w:type="dxa"/>
            <w:tcBorders>
              <w:right w:val="double" w:color="auto" w:sz="4" w:space="0"/>
            </w:tcBorders>
            <w:vAlign w:val="center"/>
          </w:tcPr>
          <w:p>
            <w:pPr>
              <w:pStyle w:val="15"/>
              <w:widowControl w:val="0"/>
              <w:rPr>
                <w:rFonts w:hint="eastAsia" w:asciiTheme="minorEastAsia" w:hAnsiTheme="minorEastAsia" w:eastAsiaTheme="minorEastAsia"/>
                <w:lang w:eastAsia="zh-CN"/>
              </w:rPr>
            </w:pPr>
            <w:r>
              <w:rPr>
                <w:rFonts w:hint="eastAsia" w:eastAsiaTheme="minorEastAsia"/>
                <w:lang w:val="en-US" w:eastAsia="zh-CN"/>
              </w:rPr>
              <w:t>期中考试</w:t>
            </w:r>
          </w:p>
        </w:tc>
        <w:tc>
          <w:tcPr>
            <w:tcW w:w="765" w:type="dxa"/>
            <w:tcBorders>
              <w:left w:val="double" w:color="auto" w:sz="4" w:space="0"/>
            </w:tcBorders>
            <w:vAlign w:val="center"/>
          </w:tcPr>
          <w:p>
            <w:pPr>
              <w:pStyle w:val="15"/>
              <w:widowControl w:val="0"/>
            </w:pPr>
            <w:r>
              <w:rPr>
                <w:rFonts w:hint="eastAsia"/>
              </w:rPr>
              <w:t>10</w:t>
            </w:r>
          </w:p>
        </w:tc>
        <w:tc>
          <w:tcPr>
            <w:tcW w:w="709" w:type="dxa"/>
            <w:vAlign w:val="center"/>
          </w:tcPr>
          <w:p>
            <w:pPr>
              <w:pStyle w:val="15"/>
              <w:widowControl w:val="0"/>
            </w:pPr>
            <w:r>
              <w:rPr>
                <w:rFonts w:hint="eastAsia"/>
              </w:rPr>
              <w:t>70</w:t>
            </w:r>
          </w:p>
        </w:tc>
        <w:tc>
          <w:tcPr>
            <w:tcW w:w="709" w:type="dxa"/>
            <w:vAlign w:val="center"/>
          </w:tcPr>
          <w:p>
            <w:pPr>
              <w:pStyle w:val="15"/>
              <w:widowControl w:val="0"/>
            </w:pPr>
            <w:r>
              <w:rPr>
                <w:rFonts w:hint="eastAsia"/>
                <w:lang w:val="en-US" w:eastAsia="zh-CN"/>
              </w:rPr>
              <w:t>2</w:t>
            </w:r>
            <w:r>
              <w:rPr>
                <w:rFonts w:hint="eastAsia"/>
              </w:rPr>
              <w:t>0</w:t>
            </w:r>
          </w:p>
        </w:tc>
        <w:tc>
          <w:tcPr>
            <w:tcW w:w="708" w:type="dxa"/>
            <w:vAlign w:val="center"/>
          </w:tcPr>
          <w:p>
            <w:pPr>
              <w:pStyle w:val="15"/>
              <w:widowControl w:val="0"/>
            </w:pPr>
          </w:p>
        </w:tc>
        <w:tc>
          <w:tcPr>
            <w:tcW w:w="781" w:type="dxa"/>
            <w:vAlign w:val="center"/>
          </w:tcPr>
          <w:p>
            <w:pPr>
              <w:pStyle w:val="15"/>
              <w:widowControl w:val="0"/>
            </w:pPr>
          </w:p>
        </w:tc>
        <w:tc>
          <w:tcPr>
            <w:tcW w:w="706" w:type="dxa"/>
            <w:tcBorders>
              <w:right w:val="single" w:color="auto" w:sz="12" w:space="0"/>
            </w:tcBorders>
            <w:vAlign w:val="center"/>
          </w:tcPr>
          <w:p>
            <w:pPr>
              <w:pStyle w:val="15"/>
              <w:widowControl w:val="0"/>
            </w:pPr>
            <w:r>
              <w:rPr>
                <w:rFonts w:hint="eastAsia"/>
              </w:rPr>
              <w:t>1</w:t>
            </w:r>
            <w:r>
              <w:t>00</w:t>
            </w:r>
          </w:p>
        </w:tc>
      </w:tr>
      <w:tr>
        <w:trPr>
          <w:trHeight w:val="454" w:hRule="atLeast"/>
          <w:jc w:val="center"/>
        </w:trPr>
        <w:tc>
          <w:tcPr>
            <w:tcW w:w="836" w:type="dxa"/>
            <w:tcBorders>
              <w:left w:val="single" w:color="auto" w:sz="12" w:space="0"/>
              <w:bottom w:val="single" w:color="auto" w:sz="4" w:space="0"/>
            </w:tcBorders>
            <w:vAlign w:val="center"/>
          </w:tcPr>
          <w:p>
            <w:pPr>
              <w:widowControl w:val="0"/>
              <w:snapToGrid w:val="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X</w:t>
            </w:r>
            <w:r>
              <w:rPr>
                <w:rFonts w:hint="eastAsia" w:ascii="Times New Roman" w:hAnsi="Times New Roman" w:cs="Times New Roman" w:eastAsiaTheme="minorEastAsia"/>
                <w:sz w:val="21"/>
                <w:szCs w:val="21"/>
              </w:rPr>
              <w:t>4</w:t>
            </w:r>
          </w:p>
        </w:tc>
        <w:tc>
          <w:tcPr>
            <w:tcW w:w="709" w:type="dxa"/>
            <w:tcBorders>
              <w:bottom w:val="single" w:color="auto" w:sz="4" w:space="0"/>
            </w:tcBorders>
            <w:vAlign w:val="center"/>
          </w:tcPr>
          <w:p>
            <w:pPr>
              <w:pStyle w:val="15"/>
              <w:widowControl w:val="0"/>
            </w:pPr>
            <w:r>
              <w:rPr>
                <w:rFonts w:hint="eastAsia"/>
              </w:rPr>
              <w:t>20%</w:t>
            </w:r>
          </w:p>
        </w:tc>
        <w:tc>
          <w:tcPr>
            <w:tcW w:w="2353" w:type="dxa"/>
            <w:tcBorders>
              <w:bottom w:val="single" w:color="auto" w:sz="4" w:space="0"/>
              <w:right w:val="double" w:color="auto" w:sz="4" w:space="0"/>
            </w:tcBorders>
            <w:vAlign w:val="center"/>
          </w:tcPr>
          <w:p>
            <w:pPr>
              <w:pStyle w:val="15"/>
              <w:widowControl w:val="0"/>
              <w:rPr>
                <w:rFonts w:hint="default" w:eastAsia="宋体"/>
                <w:lang w:val="en-US" w:eastAsia="zh-CN"/>
              </w:rPr>
            </w:pPr>
            <w:r>
              <w:rPr>
                <w:rFonts w:hint="eastAsia"/>
                <w:color w:val="000000" w:themeColor="text1"/>
                <w:sz w:val="20"/>
                <w:szCs w:val="20"/>
                <w:lang w:val="en-US" w:eastAsia="zh-CN"/>
                <w14:textFill>
                  <w14:solidFill>
                    <w14:schemeClr w14:val="tx1"/>
                  </w14:solidFill>
                </w14:textFill>
              </w:rPr>
              <w:t>单元测试</w:t>
            </w:r>
            <w:r>
              <w:rPr>
                <w:color w:val="000000" w:themeColor="text1"/>
                <w:sz w:val="20"/>
                <w:szCs w:val="20"/>
                <w14:textFill>
                  <w14:solidFill>
                    <w14:schemeClr w14:val="tx1"/>
                  </w14:solidFill>
                </w14:textFill>
              </w:rPr>
              <w:t>案例分析</w:t>
            </w:r>
            <w:r>
              <w:rPr>
                <w:rFonts w:hint="eastAsia"/>
                <w:color w:val="000000" w:themeColor="text1"/>
                <w:sz w:val="20"/>
                <w:szCs w:val="20"/>
                <w:lang w:val="en-US" w:eastAsia="zh-CN"/>
                <w14:textFill>
                  <w14:solidFill>
                    <w14:schemeClr w14:val="tx1"/>
                  </w14:solidFill>
                </w14:textFill>
              </w:rPr>
              <w:t>及实训</w:t>
            </w:r>
          </w:p>
        </w:tc>
        <w:tc>
          <w:tcPr>
            <w:tcW w:w="765" w:type="dxa"/>
            <w:tcBorders>
              <w:left w:val="double" w:color="auto" w:sz="4" w:space="0"/>
              <w:bottom w:val="single" w:color="auto" w:sz="4" w:space="0"/>
            </w:tcBorders>
            <w:vAlign w:val="center"/>
          </w:tcPr>
          <w:p>
            <w:pPr>
              <w:pStyle w:val="15"/>
              <w:widowControl w:val="0"/>
            </w:pPr>
          </w:p>
        </w:tc>
        <w:tc>
          <w:tcPr>
            <w:tcW w:w="709" w:type="dxa"/>
            <w:tcBorders>
              <w:bottom w:val="single" w:color="auto" w:sz="4" w:space="0"/>
            </w:tcBorders>
            <w:vAlign w:val="center"/>
          </w:tcPr>
          <w:p>
            <w:pPr>
              <w:pStyle w:val="15"/>
              <w:widowControl w:val="0"/>
            </w:pPr>
          </w:p>
        </w:tc>
        <w:tc>
          <w:tcPr>
            <w:tcW w:w="709" w:type="dxa"/>
            <w:tcBorders>
              <w:bottom w:val="single" w:color="auto" w:sz="4" w:space="0"/>
            </w:tcBorders>
            <w:vAlign w:val="center"/>
          </w:tcPr>
          <w:p>
            <w:pPr>
              <w:pStyle w:val="15"/>
              <w:widowControl w:val="0"/>
            </w:pPr>
            <w:r>
              <w:rPr>
                <w:rFonts w:hint="eastAsia"/>
              </w:rPr>
              <w:t>30</w:t>
            </w:r>
          </w:p>
        </w:tc>
        <w:tc>
          <w:tcPr>
            <w:tcW w:w="708" w:type="dxa"/>
            <w:tcBorders>
              <w:bottom w:val="single" w:color="auto" w:sz="4" w:space="0"/>
            </w:tcBorders>
            <w:vAlign w:val="center"/>
          </w:tcPr>
          <w:p>
            <w:pPr>
              <w:pStyle w:val="15"/>
              <w:widowControl w:val="0"/>
            </w:pPr>
            <w:r>
              <w:rPr>
                <w:rFonts w:hint="eastAsia"/>
              </w:rPr>
              <w:t>60</w:t>
            </w:r>
          </w:p>
        </w:tc>
        <w:tc>
          <w:tcPr>
            <w:tcW w:w="781" w:type="dxa"/>
            <w:tcBorders>
              <w:bottom w:val="single" w:color="auto" w:sz="4" w:space="0"/>
            </w:tcBorders>
            <w:vAlign w:val="center"/>
          </w:tcPr>
          <w:p>
            <w:pPr>
              <w:pStyle w:val="15"/>
              <w:widowControl w:val="0"/>
            </w:pPr>
            <w:r>
              <w:rPr>
                <w:rFonts w:hint="eastAsia"/>
              </w:rPr>
              <w:t>10</w:t>
            </w:r>
          </w:p>
        </w:tc>
        <w:tc>
          <w:tcPr>
            <w:tcW w:w="706" w:type="dxa"/>
            <w:tcBorders>
              <w:bottom w:val="single" w:color="auto" w:sz="4" w:space="0"/>
              <w:right w:val="single" w:color="auto" w:sz="12" w:space="0"/>
            </w:tcBorders>
            <w:vAlign w:val="center"/>
          </w:tcPr>
          <w:p>
            <w:pPr>
              <w:pStyle w:val="15"/>
              <w:widowControl w:val="0"/>
              <w:rPr>
                <w:rFonts w:hint="eastAsia"/>
              </w:rPr>
            </w:pPr>
            <w:r>
              <w:rPr>
                <w:rFonts w:hint="eastAsia"/>
              </w:rPr>
              <w:t>100</w:t>
            </w:r>
          </w:p>
        </w:tc>
      </w:tr>
    </w:tbl>
    <w:p>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7"/>
              <w:widowControl w:val="0"/>
              <w:jc w:val="both"/>
              <w:rPr>
                <w:rFonts w:ascii="黑体" w:hAnsi="黑体"/>
                <w:bCs/>
                <w:sz w:val="21"/>
                <w:szCs w:val="21"/>
              </w:rPr>
            </w:pPr>
          </w:p>
        </w:tc>
        <w:tc>
          <w:tcPr>
            <w:tcW w:w="1403" w:type="dxa"/>
            <w:vMerge w:val="continue"/>
          </w:tcPr>
          <w:p>
            <w:pPr>
              <w:pStyle w:val="17"/>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pPr>
              <w:widowControl w:val="0"/>
              <w:snapToGrid w:val="0"/>
              <w:jc w:val="center"/>
              <w:rPr>
                <w:rFonts w:ascii="Arial" w:hAnsi="Arial" w:eastAsia="黑体" w:cs="Arial"/>
                <w:bCs/>
                <w:sz w:val="21"/>
                <w:szCs w:val="21"/>
              </w:rPr>
            </w:pPr>
          </w:p>
        </w:tc>
        <w:tc>
          <w:tcPr>
            <w:tcW w:w="1403"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pPr>
              <w:pStyle w:val="15"/>
              <w:widowControl w:val="0"/>
              <w:jc w:val="both"/>
            </w:pPr>
          </w:p>
        </w:tc>
        <w:tc>
          <w:tcPr>
            <w:tcW w:w="1403" w:type="dxa"/>
          </w:tcPr>
          <w:p>
            <w:pPr>
              <w:pStyle w:val="15"/>
              <w:widowControl w:val="0"/>
              <w:jc w:val="both"/>
            </w:pPr>
          </w:p>
        </w:tc>
        <w:tc>
          <w:tcPr>
            <w:tcW w:w="1403" w:type="dxa"/>
          </w:tcPr>
          <w:p>
            <w:pPr>
              <w:pStyle w:val="15"/>
              <w:widowControl w:val="0"/>
              <w:jc w:val="both"/>
            </w:pPr>
          </w:p>
        </w:tc>
        <w:tc>
          <w:tcPr>
            <w:tcW w:w="1403" w:type="dxa"/>
          </w:tcPr>
          <w:p>
            <w:pPr>
              <w:pStyle w:val="7"/>
              <w:widowControl/>
              <w:shd w:val="clear" w:color="auto" w:fill="FFFFFF"/>
              <w:jc w:val="both"/>
            </w:pPr>
          </w:p>
        </w:tc>
      </w:tr>
      <w:tr>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c>
          <w:tcPr>
            <w:tcW w:w="8296" w:type="dxa"/>
          </w:tcPr>
          <w:p>
            <w:pPr>
              <w:pStyle w:val="15"/>
              <w:widowControl w:val="0"/>
              <w:jc w:val="left"/>
              <w:rPr>
                <w:rFonts w:cs="仿宋" w:asciiTheme="minorEastAsia" w:hAnsiTheme="minorEastAsia" w:eastAsiaTheme="minorEastAsia"/>
              </w:rPr>
            </w:pPr>
            <w:r>
              <w:rPr>
                <w:rFonts w:hint="eastAsia" w:cs="仿宋" w:asciiTheme="minorEastAsia" w:hAnsiTheme="minorEastAsia" w:eastAsiaTheme="minorEastAsia"/>
              </w:rPr>
              <w:t>无</w:t>
            </w:r>
          </w:p>
          <w:p>
            <w:pPr>
              <w:pStyle w:val="15"/>
              <w:widowControl w:val="0"/>
              <w:jc w:val="left"/>
              <w:rPr>
                <w:rFonts w:ascii="宋体" w:hAnsi="宋体"/>
                <w:bCs/>
              </w:rPr>
            </w:pPr>
          </w:p>
          <w:p>
            <w:pPr>
              <w:pStyle w:val="15"/>
              <w:widowControl w:val="0"/>
              <w:jc w:val="left"/>
              <w:rPr>
                <w:rFonts w:ascii="黑体"/>
              </w:rPr>
            </w:pPr>
          </w:p>
        </w:tc>
      </w:tr>
    </w:tbl>
    <w:p>
      <w:pPr>
        <w:pStyle w:val="17"/>
        <w:rPr>
          <w:rFonts w:hint="default" w:ascii="黑体" w:hAnsi="宋体" w:eastAsia="黑体"/>
          <w:sz w:val="28"/>
          <w:szCs w:val="28"/>
          <w:lang w:val="en-US" w:eastAsia="zh-CN"/>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0000000000000000000"/>
    <w:charset w:val="86"/>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4E72C"/>
    <w:multiLevelType w:val="singleLevel"/>
    <w:tmpl w:val="5E14E7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zZDRiYWUzYjdiYTI1YjdhYzBmYmJhYjZiNzQyY2EifQ=="/>
  </w:docVars>
  <w:rsids>
    <w:rsidRoot w:val="00B7651F"/>
    <w:rsid w:val="00014600"/>
    <w:rsid w:val="000203E0"/>
    <w:rsid w:val="000210E0"/>
    <w:rsid w:val="00027AC4"/>
    <w:rsid w:val="00033082"/>
    <w:rsid w:val="00044088"/>
    <w:rsid w:val="00053590"/>
    <w:rsid w:val="0006001D"/>
    <w:rsid w:val="00066041"/>
    <w:rsid w:val="00076794"/>
    <w:rsid w:val="0008122A"/>
    <w:rsid w:val="00087488"/>
    <w:rsid w:val="0009050A"/>
    <w:rsid w:val="00092175"/>
    <w:rsid w:val="0009721F"/>
    <w:rsid w:val="000A2203"/>
    <w:rsid w:val="000A4E73"/>
    <w:rsid w:val="000B1BD2"/>
    <w:rsid w:val="000C0F0D"/>
    <w:rsid w:val="000C13BC"/>
    <w:rsid w:val="000D28E5"/>
    <w:rsid w:val="000D34D7"/>
    <w:rsid w:val="00100633"/>
    <w:rsid w:val="00105B0F"/>
    <w:rsid w:val="001072BC"/>
    <w:rsid w:val="00114BD6"/>
    <w:rsid w:val="00130F6D"/>
    <w:rsid w:val="00133554"/>
    <w:rsid w:val="00144082"/>
    <w:rsid w:val="0016381F"/>
    <w:rsid w:val="00163A48"/>
    <w:rsid w:val="00164E36"/>
    <w:rsid w:val="001678A2"/>
    <w:rsid w:val="0017617E"/>
    <w:rsid w:val="001809F1"/>
    <w:rsid w:val="00183AA1"/>
    <w:rsid w:val="0018767C"/>
    <w:rsid w:val="001A135C"/>
    <w:rsid w:val="001A5146"/>
    <w:rsid w:val="001B0D49"/>
    <w:rsid w:val="001B546F"/>
    <w:rsid w:val="001C16FC"/>
    <w:rsid w:val="001C2E3E"/>
    <w:rsid w:val="001C388D"/>
    <w:rsid w:val="001E0494"/>
    <w:rsid w:val="001E1D2D"/>
    <w:rsid w:val="001E5A17"/>
    <w:rsid w:val="001F284E"/>
    <w:rsid w:val="001F332E"/>
    <w:rsid w:val="00206C59"/>
    <w:rsid w:val="00213F50"/>
    <w:rsid w:val="00217861"/>
    <w:rsid w:val="002204E4"/>
    <w:rsid w:val="002211BF"/>
    <w:rsid w:val="00233F15"/>
    <w:rsid w:val="002420F1"/>
    <w:rsid w:val="00252137"/>
    <w:rsid w:val="00253AC8"/>
    <w:rsid w:val="00256B39"/>
    <w:rsid w:val="0026033C"/>
    <w:rsid w:val="0027339A"/>
    <w:rsid w:val="00274E82"/>
    <w:rsid w:val="002757AB"/>
    <w:rsid w:val="0027777C"/>
    <w:rsid w:val="00277FE7"/>
    <w:rsid w:val="0028518E"/>
    <w:rsid w:val="002877FA"/>
    <w:rsid w:val="00290962"/>
    <w:rsid w:val="0029110B"/>
    <w:rsid w:val="00296708"/>
    <w:rsid w:val="002A4649"/>
    <w:rsid w:val="002A7227"/>
    <w:rsid w:val="002B0773"/>
    <w:rsid w:val="002B0C48"/>
    <w:rsid w:val="002B13CA"/>
    <w:rsid w:val="002B3650"/>
    <w:rsid w:val="002B7322"/>
    <w:rsid w:val="002B7FDE"/>
    <w:rsid w:val="002C58B6"/>
    <w:rsid w:val="002D0E86"/>
    <w:rsid w:val="002D7C47"/>
    <w:rsid w:val="002E33CE"/>
    <w:rsid w:val="002E3721"/>
    <w:rsid w:val="002E6F95"/>
    <w:rsid w:val="002E764D"/>
    <w:rsid w:val="002F3157"/>
    <w:rsid w:val="002F6BD5"/>
    <w:rsid w:val="00305F23"/>
    <w:rsid w:val="0031028C"/>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317A"/>
    <w:rsid w:val="003E7369"/>
    <w:rsid w:val="003E7D72"/>
    <w:rsid w:val="003F3299"/>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749"/>
    <w:rsid w:val="00443C84"/>
    <w:rsid w:val="00443C89"/>
    <w:rsid w:val="004540AA"/>
    <w:rsid w:val="00456BD8"/>
    <w:rsid w:val="00456DC8"/>
    <w:rsid w:val="0046549D"/>
    <w:rsid w:val="00471668"/>
    <w:rsid w:val="00472654"/>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46CB"/>
    <w:rsid w:val="005467DC"/>
    <w:rsid w:val="00546A82"/>
    <w:rsid w:val="00547C51"/>
    <w:rsid w:val="00551335"/>
    <w:rsid w:val="005519BB"/>
    <w:rsid w:val="005523FD"/>
    <w:rsid w:val="00553D03"/>
    <w:rsid w:val="00555BA0"/>
    <w:rsid w:val="00556E41"/>
    <w:rsid w:val="0057496F"/>
    <w:rsid w:val="005770A6"/>
    <w:rsid w:val="0059045B"/>
    <w:rsid w:val="00597468"/>
    <w:rsid w:val="00597EC2"/>
    <w:rsid w:val="005A13AB"/>
    <w:rsid w:val="005A6E54"/>
    <w:rsid w:val="005B1150"/>
    <w:rsid w:val="005B1FFC"/>
    <w:rsid w:val="005B2B6D"/>
    <w:rsid w:val="005B4B4E"/>
    <w:rsid w:val="005C3A76"/>
    <w:rsid w:val="005D1D48"/>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06C48"/>
    <w:rsid w:val="00710B6B"/>
    <w:rsid w:val="00712A2C"/>
    <w:rsid w:val="00712E84"/>
    <w:rsid w:val="00714914"/>
    <w:rsid w:val="007208D6"/>
    <w:rsid w:val="00726786"/>
    <w:rsid w:val="00732152"/>
    <w:rsid w:val="00734745"/>
    <w:rsid w:val="00740E78"/>
    <w:rsid w:val="007428DF"/>
    <w:rsid w:val="00742BD1"/>
    <w:rsid w:val="00742E7A"/>
    <w:rsid w:val="0074424F"/>
    <w:rsid w:val="00764FD9"/>
    <w:rsid w:val="007740B2"/>
    <w:rsid w:val="00774C1F"/>
    <w:rsid w:val="0078194F"/>
    <w:rsid w:val="00787E0E"/>
    <w:rsid w:val="007934A4"/>
    <w:rsid w:val="007A0AC9"/>
    <w:rsid w:val="007A1B70"/>
    <w:rsid w:val="007A57F6"/>
    <w:rsid w:val="007B4FFB"/>
    <w:rsid w:val="007C0BCE"/>
    <w:rsid w:val="007C1D1B"/>
    <w:rsid w:val="007C3566"/>
    <w:rsid w:val="007C5A28"/>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2F6F"/>
    <w:rsid w:val="0083705D"/>
    <w:rsid w:val="0084242F"/>
    <w:rsid w:val="00845795"/>
    <w:rsid w:val="00847437"/>
    <w:rsid w:val="00854655"/>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6DD"/>
    <w:rsid w:val="008E0F55"/>
    <w:rsid w:val="008F253F"/>
    <w:rsid w:val="008F7F31"/>
    <w:rsid w:val="00900019"/>
    <w:rsid w:val="009023B1"/>
    <w:rsid w:val="009115CE"/>
    <w:rsid w:val="009147D6"/>
    <w:rsid w:val="00914D98"/>
    <w:rsid w:val="00925F8C"/>
    <w:rsid w:val="00927324"/>
    <w:rsid w:val="00932ED7"/>
    <w:rsid w:val="00933990"/>
    <w:rsid w:val="00941B89"/>
    <w:rsid w:val="00941DEA"/>
    <w:rsid w:val="009656CC"/>
    <w:rsid w:val="00970E8C"/>
    <w:rsid w:val="00971671"/>
    <w:rsid w:val="00975719"/>
    <w:rsid w:val="00981A37"/>
    <w:rsid w:val="009830B2"/>
    <w:rsid w:val="009901A8"/>
    <w:rsid w:val="0099063E"/>
    <w:rsid w:val="00992356"/>
    <w:rsid w:val="00992674"/>
    <w:rsid w:val="00994793"/>
    <w:rsid w:val="00996AE3"/>
    <w:rsid w:val="009A0450"/>
    <w:rsid w:val="009A1E27"/>
    <w:rsid w:val="009A307B"/>
    <w:rsid w:val="009B04E7"/>
    <w:rsid w:val="009B14E8"/>
    <w:rsid w:val="009B4D21"/>
    <w:rsid w:val="009B5A73"/>
    <w:rsid w:val="009C3598"/>
    <w:rsid w:val="009C54C9"/>
    <w:rsid w:val="009C589C"/>
    <w:rsid w:val="009D192B"/>
    <w:rsid w:val="009D2582"/>
    <w:rsid w:val="009D33E1"/>
    <w:rsid w:val="009D3B45"/>
    <w:rsid w:val="009D4123"/>
    <w:rsid w:val="009D7CF9"/>
    <w:rsid w:val="009E1B0B"/>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4EE7"/>
    <w:rsid w:val="00A25A31"/>
    <w:rsid w:val="00A276BE"/>
    <w:rsid w:val="00A31BBE"/>
    <w:rsid w:val="00A31D34"/>
    <w:rsid w:val="00A333EF"/>
    <w:rsid w:val="00A33F85"/>
    <w:rsid w:val="00A40645"/>
    <w:rsid w:val="00A44130"/>
    <w:rsid w:val="00A523BB"/>
    <w:rsid w:val="00A6016C"/>
    <w:rsid w:val="00A769B1"/>
    <w:rsid w:val="00A771DC"/>
    <w:rsid w:val="00A77DA3"/>
    <w:rsid w:val="00A837D5"/>
    <w:rsid w:val="00A83E04"/>
    <w:rsid w:val="00A84B96"/>
    <w:rsid w:val="00A91091"/>
    <w:rsid w:val="00A93EE3"/>
    <w:rsid w:val="00A94BA9"/>
    <w:rsid w:val="00AA4970"/>
    <w:rsid w:val="00AA536D"/>
    <w:rsid w:val="00AB22C0"/>
    <w:rsid w:val="00AB28FC"/>
    <w:rsid w:val="00AB49E4"/>
    <w:rsid w:val="00AC1479"/>
    <w:rsid w:val="00AC2AAC"/>
    <w:rsid w:val="00AC40F1"/>
    <w:rsid w:val="00AC4C45"/>
    <w:rsid w:val="00AC7097"/>
    <w:rsid w:val="00AD1085"/>
    <w:rsid w:val="00AD45E0"/>
    <w:rsid w:val="00AD5B40"/>
    <w:rsid w:val="00AF289F"/>
    <w:rsid w:val="00AF30B9"/>
    <w:rsid w:val="00AF43DF"/>
    <w:rsid w:val="00AF67A4"/>
    <w:rsid w:val="00AF7510"/>
    <w:rsid w:val="00B06E0B"/>
    <w:rsid w:val="00B12AFC"/>
    <w:rsid w:val="00B12D31"/>
    <w:rsid w:val="00B15F6E"/>
    <w:rsid w:val="00B21BEE"/>
    <w:rsid w:val="00B23284"/>
    <w:rsid w:val="00B24ADA"/>
    <w:rsid w:val="00B25059"/>
    <w:rsid w:val="00B37D43"/>
    <w:rsid w:val="00B44AE1"/>
    <w:rsid w:val="00B46F21"/>
    <w:rsid w:val="00B511A5"/>
    <w:rsid w:val="00B51CDE"/>
    <w:rsid w:val="00B56541"/>
    <w:rsid w:val="00B605ED"/>
    <w:rsid w:val="00B71F97"/>
    <w:rsid w:val="00B72538"/>
    <w:rsid w:val="00B736A7"/>
    <w:rsid w:val="00B7651F"/>
    <w:rsid w:val="00B7693C"/>
    <w:rsid w:val="00B83B4C"/>
    <w:rsid w:val="00B919FA"/>
    <w:rsid w:val="00B94A16"/>
    <w:rsid w:val="00BA6044"/>
    <w:rsid w:val="00BB1A93"/>
    <w:rsid w:val="00BC14BF"/>
    <w:rsid w:val="00BC2625"/>
    <w:rsid w:val="00BC3200"/>
    <w:rsid w:val="00BC338A"/>
    <w:rsid w:val="00BD6492"/>
    <w:rsid w:val="00BD7AB0"/>
    <w:rsid w:val="00BF3C20"/>
    <w:rsid w:val="00C011BC"/>
    <w:rsid w:val="00C03DBA"/>
    <w:rsid w:val="00C112E7"/>
    <w:rsid w:val="00C11C78"/>
    <w:rsid w:val="00C11CD4"/>
    <w:rsid w:val="00C15061"/>
    <w:rsid w:val="00C1713D"/>
    <w:rsid w:val="00C20D9D"/>
    <w:rsid w:val="00C2130D"/>
    <w:rsid w:val="00C2134F"/>
    <w:rsid w:val="00C24718"/>
    <w:rsid w:val="00C2675D"/>
    <w:rsid w:val="00C30AEE"/>
    <w:rsid w:val="00C33362"/>
    <w:rsid w:val="00C353AE"/>
    <w:rsid w:val="00C4194E"/>
    <w:rsid w:val="00C516B1"/>
    <w:rsid w:val="00C5180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143"/>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504"/>
    <w:rsid w:val="00D8285B"/>
    <w:rsid w:val="00D862EB"/>
    <w:rsid w:val="00D86619"/>
    <w:rsid w:val="00D93E7C"/>
    <w:rsid w:val="00DA23AB"/>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600B"/>
    <w:rsid w:val="00E545FF"/>
    <w:rsid w:val="00E55853"/>
    <w:rsid w:val="00E6080E"/>
    <w:rsid w:val="00E64168"/>
    <w:rsid w:val="00E655B3"/>
    <w:rsid w:val="00E7081D"/>
    <w:rsid w:val="00E70904"/>
    <w:rsid w:val="00E71319"/>
    <w:rsid w:val="00E739B3"/>
    <w:rsid w:val="00E75171"/>
    <w:rsid w:val="00E804B0"/>
    <w:rsid w:val="00E80E64"/>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3262"/>
    <w:rsid w:val="00F35AA0"/>
    <w:rsid w:val="00F37B54"/>
    <w:rsid w:val="00F43C49"/>
    <w:rsid w:val="00F45C12"/>
    <w:rsid w:val="00F46D36"/>
    <w:rsid w:val="00F544A2"/>
    <w:rsid w:val="00F648A8"/>
    <w:rsid w:val="00F73D03"/>
    <w:rsid w:val="00F76CB9"/>
    <w:rsid w:val="00F77A73"/>
    <w:rsid w:val="00F80E46"/>
    <w:rsid w:val="00F96236"/>
    <w:rsid w:val="00FA10CE"/>
    <w:rsid w:val="00FA222F"/>
    <w:rsid w:val="00FA2891"/>
    <w:rsid w:val="00FB693D"/>
    <w:rsid w:val="00FB69A9"/>
    <w:rsid w:val="00FB7768"/>
    <w:rsid w:val="00FC51B0"/>
    <w:rsid w:val="00FC7489"/>
    <w:rsid w:val="00FD1BA8"/>
    <w:rsid w:val="00FD218F"/>
    <w:rsid w:val="00FD5070"/>
    <w:rsid w:val="00FD5663"/>
    <w:rsid w:val="00FD56C6"/>
    <w:rsid w:val="00FE3221"/>
    <w:rsid w:val="00FE48EA"/>
    <w:rsid w:val="00FE571F"/>
    <w:rsid w:val="00FF47F6"/>
    <w:rsid w:val="016E63C2"/>
    <w:rsid w:val="024B0C39"/>
    <w:rsid w:val="0A8128A6"/>
    <w:rsid w:val="0BF32A1B"/>
    <w:rsid w:val="10BD2C22"/>
    <w:rsid w:val="1C653B90"/>
    <w:rsid w:val="22987C80"/>
    <w:rsid w:val="22D60A22"/>
    <w:rsid w:val="24192CCC"/>
    <w:rsid w:val="35903947"/>
    <w:rsid w:val="37118A79"/>
    <w:rsid w:val="393765F6"/>
    <w:rsid w:val="39A66CD4"/>
    <w:rsid w:val="3CD52CE1"/>
    <w:rsid w:val="410F2E6A"/>
    <w:rsid w:val="4430136C"/>
    <w:rsid w:val="4AB0382B"/>
    <w:rsid w:val="4EFF8F13"/>
    <w:rsid w:val="54FA56DE"/>
    <w:rsid w:val="569868B5"/>
    <w:rsid w:val="611F6817"/>
    <w:rsid w:val="614D2850"/>
    <w:rsid w:val="66CA1754"/>
    <w:rsid w:val="6D985598"/>
    <w:rsid w:val="6DBF7A9F"/>
    <w:rsid w:val="6F1E65D4"/>
    <w:rsid w:val="6F266C86"/>
    <w:rsid w:val="6F5042C2"/>
    <w:rsid w:val="73DE78A3"/>
    <w:rsid w:val="74316312"/>
    <w:rsid w:val="76FB07A6"/>
    <w:rsid w:val="780F13C8"/>
    <w:rsid w:val="7BBE4AF6"/>
    <w:rsid w:val="7C385448"/>
    <w:rsid w:val="7CB3663D"/>
    <w:rsid w:val="BFFE8D93"/>
    <w:rsid w:val="D3FFA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99"/>
    <w:pPr>
      <w:widowControl w:val="0"/>
    </w:pPr>
    <w:rPr>
      <w:rFonts w:ascii="Times New Roman" w:hAnsi="Times New Roman" w:cs="Times New Roman"/>
      <w:kern w:val="2"/>
      <w:sz w:val="21"/>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4"/>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标题 2 字符"/>
    <w:basedOn w:val="10"/>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863</Words>
  <Characters>4920</Characters>
  <Lines>41</Lines>
  <Paragraphs>11</Paragraphs>
  <TotalTime>3</TotalTime>
  <ScaleCrop>false</ScaleCrop>
  <LinksUpToDate>false</LinksUpToDate>
  <CharactersWithSpaces>5772</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2023-11-22T18:39:00Z</dcterms:created>
  <dc:creator>juvg</dc:creator>
  <cp:lastModifiedBy>赵桂新</cp:lastModifiedBy>
  <cp:lastPrinted>2023-11-22T16:52:00Z</cp:lastPrinted>
  <dcterms:modified xsi:type="dcterms:W3CDTF">2026-03-07T09:39:37Z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089A86C190D54682B64124BEA1D6340B_12</vt:lpwstr>
  </property>
</Properties>
</file>