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综合商务英语3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0523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商务英语B24-1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322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陈银春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周一7-8节 外语334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9254352</w:t>
            </w: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A205E9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商务英语综合教程3</w:t>
            </w:r>
            <w:r>
              <w:rPr>
                <w:rFonts w:hint="eastAsia"/>
                <w:color w:val="000000"/>
                <w:sz w:val="20"/>
                <w:szCs w:val="20"/>
              </w:rPr>
              <w:t>》王立非主编，I</w:t>
            </w:r>
            <w:r>
              <w:rPr>
                <w:color w:val="000000"/>
                <w:sz w:val="20"/>
                <w:szCs w:val="20"/>
              </w:rPr>
              <w:t xml:space="preserve">SBN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9787544676854</w:t>
            </w:r>
            <w:r>
              <w:rPr>
                <w:rFonts w:hint="eastAsia"/>
                <w:color w:val="000000"/>
                <w:sz w:val="20"/>
                <w:szCs w:val="20"/>
              </w:rPr>
              <w:t>，外语教学与研究出版社，2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DAE7F53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7ADCC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1.《</w:t>
            </w:r>
            <w:r>
              <w:rPr>
                <w:rFonts w:hint="eastAsia"/>
                <w:color w:val="000000"/>
                <w:sz w:val="20"/>
                <w:szCs w:val="20"/>
              </w:rPr>
              <w:t>商务英语综合教程1综合训练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》陈俐丽主编, 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1C664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2.自编资料包</w:t>
            </w:r>
          </w:p>
          <w:p w14:paraId="52F82AA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https://welearn.sflep.com/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322"/>
        <w:gridCol w:w="2214"/>
      </w:tblGrid>
      <w:tr w14:paraId="37AA5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F1AC">
            <w:pPr>
              <w:widowControl/>
              <w:spacing w:before="120" w:after="120"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1F8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404A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5D085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2CC6A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053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CA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1: For Whom the Bell Tolls?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The Day After Tomorrow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U1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DC5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2E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讲授法、案例分析法</w:t>
            </w:r>
          </w:p>
        </w:tc>
      </w:tr>
      <w:tr w14:paraId="0A5C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101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EB5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Unit 1 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For Whom the Bell Tolls?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The Commons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III: Lessons from the Past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案例分析：钓鱼权与海洋种群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464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A2F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讲授法、小组讨论法</w:t>
            </w:r>
          </w:p>
        </w:tc>
      </w:tr>
      <w:tr w14:paraId="4A32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FFF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89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2: Science and Technology Harnessed?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The Moral Challenge of Modern Science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U2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F48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5F7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讲授法、多媒体辅助教学</w:t>
            </w:r>
          </w:p>
        </w:tc>
      </w:tr>
      <w:tr w14:paraId="6ABB8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F8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7E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国庆节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B00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60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5CF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2BD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10E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2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: Science and Technology Harnessed?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Innovation and Management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III: Unbounding the Future: The Nanotechnology Revolution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案例分析：中国联通与天空互动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1CD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750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讲授法、案例分析法</w:t>
            </w:r>
          </w:p>
        </w:tc>
      </w:tr>
      <w:tr w14:paraId="50DB1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ECA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8A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3: Home! Sweet Home!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New Thinking for Families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U3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57A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79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讲授法、角色扮演法</w:t>
            </w:r>
          </w:p>
        </w:tc>
      </w:tr>
      <w:tr w14:paraId="040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99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69F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Unit 3 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: Home! Sweet Home!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Work-life Balance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III: Immigration’s Effect on Families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案例分析：多元文化移民家庭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B8F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52D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讲授法、小组讨论法</w:t>
            </w:r>
          </w:p>
        </w:tc>
      </w:tr>
      <w:tr w14:paraId="610CB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F1E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C0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期中复习与考试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复习商务英语综合知识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期中考试（阅读理解、写作）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CC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866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复习指导、考试</w:t>
            </w:r>
          </w:p>
        </w:tc>
      </w:tr>
      <w:tr w14:paraId="018E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4E5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D0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4: You Can Make Your Life a Bed of Roses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Happiness (and How to Measure It)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U4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CDA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104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讲授法、案例分析法</w:t>
            </w:r>
          </w:p>
        </w:tc>
      </w:tr>
      <w:tr w14:paraId="34637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11F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3F4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Unit 4 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: You Can Make Your Life a Bed of Roses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Getting Over the Job-loss Blues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III: The Hidden Side of Happiness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案例分析：四川青少年心理干预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8FA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E2D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讲授法、小组讨论法</w:t>
            </w:r>
          </w:p>
        </w:tc>
      </w:tr>
      <w:tr w14:paraId="34C3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C89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C1D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5: Welfare Is the Better Part of Well-being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Job Insecurity and the Welfare State in a Globalized World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U5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F0B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F70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讲授法、案例分析法</w:t>
            </w:r>
          </w:p>
        </w:tc>
      </w:tr>
      <w:tr w14:paraId="5A1A0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C0A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A8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5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: Welfare Is the Better Part of Well-being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Traveling for Medical Care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案例分析：社会福利体系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0E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EBB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讲授法、小组讨论法</w:t>
            </w:r>
          </w:p>
        </w:tc>
      </w:tr>
      <w:tr w14:paraId="3903F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42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EC0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Unit 6: Can Art Be Commercialized?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Activation &amp; Text I: Picasso's Dealer in the United States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U6 Translation 练习与讲解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D3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22C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讲授法、多媒体辅助教学</w:t>
            </w:r>
          </w:p>
        </w:tc>
      </w:tr>
      <w:tr w14:paraId="1AD6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8E2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E7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Unit 6 </w:t>
            </w: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: Can Art Be Commercialized?</w:t>
            </w:r>
          </w:p>
          <w:p w14:paraId="63EB0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II: Commerce and the Arts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Text III: Another Time, Another Place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案例分析：中国艺术家回家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Language Focus &amp; Comprehensive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C0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1C5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讲授法、案例分析法</w:t>
            </w:r>
          </w:p>
        </w:tc>
      </w:tr>
      <w:tr w14:paraId="591B1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C82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B5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综合技能训练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沟通技巧：文化引用、商务礼仪、跨文化交流障碍、冲突处理、决策制定、跨文化营销、危机管理、求职面试等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综合应用能力测试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F1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06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角色扮演法、模拟演练</w:t>
            </w:r>
          </w:p>
        </w:tc>
      </w:tr>
      <w:tr w14:paraId="69BC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89B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15E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/>
                <w:bCs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期末复习与考试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复习商务英语综合知识</w:t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- 期末考试（综合应用能力测试、跨文化商务交际能力测试）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61F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FA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D0D0D"/>
                <w:spacing w:val="0"/>
                <w:kern w:val="0"/>
                <w:sz w:val="24"/>
                <w:szCs w:val="24"/>
                <w:lang w:val="en-US" w:eastAsia="zh-CN" w:bidi="ar"/>
              </w:rPr>
              <w:t>复习指导、考试</w:t>
            </w:r>
          </w:p>
        </w:tc>
      </w:tr>
    </w:tbl>
    <w:p w14:paraId="39795DA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8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122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线上作业和线下作业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展示和课堂表现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286510" cy="538480"/>
            <wp:effectExtent l="0" t="0" r="8890" b="13970"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23925" cy="487680"/>
            <wp:effectExtent l="0" t="0" r="9525" b="7620"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1B06"/>
    <w:multiLevelType w:val="singleLevel"/>
    <w:tmpl w:val="BA3B1B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Tg2ZGRiNDYzMTY3OWI4NDhjMDlkZWU4NmUw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7F4BD9"/>
    <w:rsid w:val="12945F88"/>
    <w:rsid w:val="199D2E85"/>
    <w:rsid w:val="1B9B294B"/>
    <w:rsid w:val="21194658"/>
    <w:rsid w:val="24107C84"/>
    <w:rsid w:val="24526424"/>
    <w:rsid w:val="26BE018D"/>
    <w:rsid w:val="2D574004"/>
    <w:rsid w:val="2E59298A"/>
    <w:rsid w:val="37E50B00"/>
    <w:rsid w:val="3B653E99"/>
    <w:rsid w:val="3E8574FB"/>
    <w:rsid w:val="45C35C70"/>
    <w:rsid w:val="49DF08B3"/>
    <w:rsid w:val="5DA1029B"/>
    <w:rsid w:val="65310993"/>
    <w:rsid w:val="6E256335"/>
    <w:rsid w:val="700912C5"/>
    <w:rsid w:val="719844A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4F4B9-56F7-4455-B4A7-9674B19BE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673</Words>
  <Characters>2655</Characters>
  <Lines>13</Lines>
  <Paragraphs>4</Paragraphs>
  <TotalTime>10</TotalTime>
  <ScaleCrop>false</ScaleCrop>
  <LinksUpToDate>false</LinksUpToDate>
  <CharactersWithSpaces>2923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2024-03-03T03:52:00Z</dcterms:created>
  <dc:creator>*****</dc:creator>
  <cp:lastModifiedBy>陈银春</cp:lastModifiedBy>
  <cp:lastPrinted>2025-09-05T02:52:08Z</cp:lastPrinted>
  <dcterms:modified xsi:type="dcterms:W3CDTF">2025-09-05T02:53:06Z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66B4ECDFF5B74CE7A5D07E86F8177DEB_13</vt:lpwstr>
  </property>
  <property fmtid="{D5CDD505-2E9C-101B-9397-08002B2CF9AE}" pid="4" name="KSOTemplateDocerSaveRecord">
    <vt:lpwstr>eyJoZGlkIjoiYTNhOTg2ZGRiNDYzMTY3OWI4NDhjMDlkZWU4NmUwNjIiLCJ1c2VySWQiOiI3MzQyMjM4MTIifQ==</vt:lpwstr>
  </property>
</Properties>
</file>