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6"/>
          <w:szCs w:val="6"/>
        </w:rPr>
      </w:pPr>
    </w:p>
    <w:p>
      <w:pPr>
        <w:pStyle w:val="Normal.0"/>
        <w:jc w:val="center"/>
        <w:rPr>
          <w:sz w:val="6"/>
          <w:szCs w:val="6"/>
        </w:rPr>
      </w:pPr>
    </w:p>
    <w:p>
      <w:pPr>
        <w:pStyle w:val="Normal.0"/>
        <w:jc w:val="center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上海建桥学院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课程教学进度计划表</w:t>
      </w:r>
    </w:p>
    <w:p>
      <w:pPr>
        <w:pStyle w:val="Normal.0"/>
        <w:spacing w:after="180"/>
        <w:jc w:val="center"/>
        <w:rPr>
          <w:rFonts w:ascii="仿宋" w:cs="仿宋" w:hAnsi="仿宋" w:eastAsia="仿宋"/>
          <w:sz w:val="28"/>
          <w:szCs w:val="28"/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一、基本信息</w:t>
      </w:r>
    </w:p>
    <w:tbl>
      <w:tblPr>
        <w:tblW w:w="87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8"/>
        <w:gridCol w:w="2268"/>
        <w:gridCol w:w="1134"/>
        <w:gridCol w:w="3969"/>
      </w:tblGrid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sz w:val="21"/>
                <w:szCs w:val="21"/>
                <w:rtl w:val="0"/>
                <w:lang w:val="zh-TW" w:eastAsia="zh-TW"/>
              </w:rPr>
              <w:t>课程代码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2020509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课程名称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zh-TW" w:eastAsia="zh-TW"/>
              </w:rPr>
              <w:t>语言综合技能与实践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课程学分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2"/>
                <w:sz w:val="21"/>
                <w:szCs w:val="21"/>
                <w:rtl w:val="0"/>
                <w:lang w:val="zh-TW" w:eastAsia="zh-TW"/>
              </w:rPr>
              <w:t>总学时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  <w:lang w:val="en-US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授课教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师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Times New Roman" w:hint="eastAsia"/>
                <w:rtl w:val="0"/>
              </w:rPr>
              <w:t>何慧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教师邮箱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宋体" w:cs="宋体" w:hAnsi="宋体" w:eastAsia="宋体"/>
                <w:sz w:val="21"/>
                <w:szCs w:val="21"/>
                <w:rtl w:val="0"/>
              </w:rPr>
              <w:t>1742513082@qq.com</w:t>
            </w:r>
          </w:p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2"/>
                <w:sz w:val="21"/>
                <w:szCs w:val="21"/>
                <w:rtl w:val="0"/>
                <w:lang w:val="zh-TW" w:eastAsia="zh-TW"/>
              </w:rPr>
              <w:t>上课</w:t>
            </w: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班级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英语</w:t>
            </w:r>
            <w:r>
              <w:rPr>
                <w:rFonts w:ascii="Cambria" w:cs="Cambria" w:hAnsi="Cambri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B18-1,2,3,4,5,6,7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上课教室</w:t>
            </w:r>
          </w:p>
        </w:tc>
        <w:tc>
          <w:tcPr>
            <w:tcW w:type="dxa" w:w="39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答疑时间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32"/>
              </w:tabs>
              <w:suppressAutoHyphens w:val="0"/>
              <w:bidi w:val="0"/>
              <w:spacing w:before="0" w:after="0" w:line="3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黑体" w:cs="黑体" w:hAnsi="黑体" w:eastAsia="黑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vertAlign w:val="baseline"/>
                <w:rtl w:val="0"/>
              </w:rPr>
              <w:t>周四下午</w:t>
            </w:r>
          </w:p>
        </w:tc>
      </w:tr>
      <w:tr>
        <w:tblPrEx>
          <w:shd w:val="clear" w:color="auto" w:fill="ced7e7"/>
        </w:tblPrEx>
        <w:trPr>
          <w:trHeight w:val="693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主要教材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</w:pP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TW" w:eastAsia="zh-TW"/>
              </w:rPr>
              <w:t>《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英语专业四级考试模拟试题集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TW" w:eastAsia="zh-TW"/>
              </w:rPr>
              <w:t>》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（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2018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版）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TW" w:eastAsia="zh-TW"/>
              </w:rPr>
              <w:t>作者：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杨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任明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en-US"/>
              </w:rPr>
              <w:t xml:space="preserve"> 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 xml:space="preserve"> 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上海外语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TW" w:eastAsia="zh-TW"/>
              </w:rPr>
              <w:t>教育出版社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 xml:space="preserve"> </w:t>
            </w:r>
            <w:r>
              <w:rPr>
                <w:rFonts w:ascii="Cambria" w:cs="Cambria" w:hAnsi="Cambria" w:eastAsia="Cambria"/>
                <w:kern w:val="0"/>
                <w:sz w:val="21"/>
                <w:szCs w:val="21"/>
                <w:rtl w:val="0"/>
                <w:lang w:val="zh-CN" w:eastAsia="zh-CN"/>
              </w:rPr>
              <w:t>2018</w:t>
            </w:r>
          </w:p>
        </w:tc>
      </w:tr>
      <w:tr>
        <w:tblPrEx>
          <w:shd w:val="clear" w:color="auto" w:fill="ced7e7"/>
        </w:tblPrEx>
        <w:trPr>
          <w:trHeight w:val="1930" w:hRule="atLeast"/>
        </w:trPr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1"/>
                <w:szCs w:val="21"/>
                <w:rtl w:val="0"/>
                <w:lang w:val="zh-TW" w:eastAsia="zh-TW"/>
              </w:rPr>
              <w:t>参考资料</w:t>
            </w:r>
          </w:p>
        </w:tc>
        <w:tc>
          <w:tcPr>
            <w:tcW w:type="dxa" w:w="73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Times" w:hAnsi="Times"/>
                <w:rtl w:val="0"/>
                <w:lang w:val="en-US"/>
              </w:rPr>
              <w:t xml:space="preserve">1.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英语专业四级考试指南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》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（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新题型版）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作者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潘鸣威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出版社：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上海外语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教育出版社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zh-CN" w:eastAsia="zh-CN"/>
              </w:rPr>
              <w:t>2016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；</w:t>
            </w:r>
            <w:r>
              <w:rPr>
                <w:rFonts w:ascii="Times" w:hAnsi="Times"/>
                <w:rtl w:val="0"/>
                <w:lang w:val="en-US"/>
              </w:rPr>
              <w:t xml:space="preserve"> 2.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英语专业四级听写与听力理解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》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（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新题型版）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作者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陈春华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出版社：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上海外语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教育出版社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zh-CN" w:eastAsia="zh-CN"/>
              </w:rPr>
              <w:t>2016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；</w:t>
            </w:r>
            <w:r>
              <w:rPr>
                <w:rFonts w:ascii="Times" w:hAnsi="Times"/>
                <w:rtl w:val="0"/>
                <w:lang w:val="en-US"/>
              </w:rPr>
              <w:t xml:space="preserve"> 3.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英语专业四级写作与阅读理解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》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（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新题型版）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作者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刘芹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出版社：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上海外语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教育出版社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zh-CN" w:eastAsia="zh-CN"/>
              </w:rPr>
              <w:t>2016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；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4.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英语专业四级完形填空与语言运用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》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（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新题型版）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作者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刘忠政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en-US"/>
              </w:rPr>
              <w:t xml:space="preserve">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出版社：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CN" w:eastAsia="zh-CN"/>
              </w:rPr>
              <w:t>上海外语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教育出版社</w:t>
            </w:r>
            <w:r>
              <w:rPr>
                <w:rFonts w:ascii="Times" w:hAnsi="Times"/>
                <w:rtl w:val="0"/>
                <w:lang w:val="zh-CN" w:eastAsia="zh-CN"/>
              </w:rPr>
              <w:t xml:space="preserve"> </w:t>
            </w:r>
            <w:r>
              <w:rPr>
                <w:rFonts w:ascii="Times" w:hAnsi="Times"/>
                <w:rtl w:val="0"/>
                <w:lang w:val="zh-CN" w:eastAsia="zh-CN"/>
              </w:rPr>
              <w:t>2016</w:t>
            </w:r>
          </w:p>
        </w:tc>
      </w:tr>
    </w:tbl>
    <w:p>
      <w:pPr>
        <w:pStyle w:val="Normal.0"/>
        <w:spacing w:before="180" w:after="180"/>
        <w:ind w:left="108" w:hanging="108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Normal.0"/>
        <w:spacing w:line="340" w:lineRule="exact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Normal.0"/>
        <w:spacing w:before="180" w:after="18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二、课程教学进度</w:t>
      </w:r>
    </w:p>
    <w:tbl>
      <w:tblPr>
        <w:tblW w:w="878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59"/>
        <w:gridCol w:w="3877"/>
        <w:gridCol w:w="1276"/>
        <w:gridCol w:w="2977"/>
      </w:tblGrid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before="120" w:after="120"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0"/>
                <w:szCs w:val="20"/>
                <w:rtl w:val="0"/>
                <w:lang w:val="zh-TW" w:eastAsia="zh-TW"/>
              </w:rPr>
              <w:t>周次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spacing w:line="240" w:lineRule="exact"/>
              <w:ind w:firstLine="357"/>
              <w:jc w:val="center"/>
            </w:pPr>
            <w:r>
              <w:rPr>
                <w:rFonts w:ascii="黑体" w:cs="黑体" w:hAnsi="黑体" w:eastAsia="黑体"/>
                <w:kern w:val="0"/>
                <w:sz w:val="20"/>
                <w:szCs w:val="20"/>
                <w:rtl w:val="0"/>
                <w:lang w:val="zh-TW" w:eastAsia="zh-TW"/>
              </w:rPr>
              <w:t>教学内容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0"/>
                <w:szCs w:val="20"/>
                <w:rtl w:val="0"/>
                <w:lang w:val="zh-TW" w:eastAsia="zh-TW"/>
              </w:rPr>
              <w:t>教学方式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exact"/>
              <w:jc w:val="center"/>
            </w:pPr>
            <w:r>
              <w:rPr>
                <w:rFonts w:ascii="黑体" w:cs="黑体" w:hAnsi="黑体" w:eastAsia="黑体"/>
                <w:kern w:val="0"/>
                <w:sz w:val="20"/>
                <w:szCs w:val="20"/>
                <w:rtl w:val="0"/>
                <w:lang w:val="zh-TW" w:eastAsia="zh-TW"/>
              </w:rPr>
              <w:t>作业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en-US"/>
              </w:rPr>
              <w:t>1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numPr>
                <w:ilvl w:val="0"/>
                <w:numId w:val="1"/>
              </w:numPr>
              <w:rPr>
                <w:rFonts w:ascii="宋体" w:cs="宋体" w:hAnsi="宋体" w:eastAsia="宋体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CN" w:eastAsia="zh-CN"/>
              </w:rPr>
              <w:t xml:space="preserve">TEM 4 </w:t>
            </w: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CN" w:eastAsia="zh-CN"/>
              </w:rPr>
              <w:t>考试介绍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写作专项练习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2017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年真题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听写和长对话题型特点和专项练习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2017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年真题解析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2016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年真题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3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微型讲座题型特点和专项练习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2016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年真题解析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试卷一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测试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阅读题型特点和专项练习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2018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年真题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5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写作题型特点和专项练习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2018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年真题解析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2019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年真题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6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完形填空和语法题型特点和专项练习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201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9</w:t>
            </w: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年真题解析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试卷二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7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专业四级考试总复习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模拟题解析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0"/>
                <w:szCs w:val="20"/>
                <w:rtl w:val="0"/>
                <w:lang w:val="zh-TW" w:eastAsia="zh-TW"/>
              </w:rPr>
              <w:t>讲授、讨论、边讲边练</w:t>
            </w:r>
          </w:p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专业四级题型练习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试卷三 复习</w:t>
            </w:r>
          </w:p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6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8</w:t>
            </w:r>
          </w:p>
        </w:tc>
        <w:tc>
          <w:tcPr>
            <w:tcW w:type="dxa" w:w="38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宋体" w:cs="宋体" w:hAns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期末考试</w:t>
            </w:r>
          </w:p>
        </w:tc>
        <w:tc>
          <w:tcPr>
            <w:tcW w:type="dxa" w:w="12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180" w:after="180"/>
        <w:ind w:left="108" w:hanging="108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Normal.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</w:p>
    <w:p>
      <w:pPr>
        <w:pStyle w:val="Normal.0"/>
        <w:spacing w:before="360" w:after="180"/>
        <w:jc w:val="both"/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lang w:val="zh-TW" w:eastAsia="zh-TW"/>
        </w:rPr>
      </w:pPr>
      <w:r>
        <w:rPr>
          <w:rFonts w:ascii="仿宋" w:cs="仿宋" w:hAnsi="仿宋" w:eastAsia="仿宋"/>
          <w:b w:val="1"/>
          <w:bCs w:val="1"/>
          <w:color w:val="000000"/>
          <w:sz w:val="28"/>
          <w:szCs w:val="28"/>
          <w:u w:color="000000"/>
          <w:rtl w:val="0"/>
          <w:lang w:val="zh-TW" w:eastAsia="zh-TW"/>
        </w:rPr>
        <w:t>三、评价方式以及在总评成绩中的比例</w:t>
      </w: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6"/>
        <w:gridCol w:w="4984"/>
        <w:gridCol w:w="2078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总评构成</w:t>
            </w:r>
            <w:r>
              <w:rPr>
                <w:rFonts w:ascii="Malgun Gothic Semilight" w:cs="Malgun Gothic Semilight" w:hAnsi="Malgun Gothic Semilight" w:eastAsia="Malgun Gothic Semilight"/>
                <w:rtl w:val="0"/>
                <w:lang w:val="zh-TW" w:eastAsia="zh-TW"/>
              </w:rPr>
              <w:t>（</w:t>
            </w:r>
            <w:r>
              <w:rPr>
                <w:rtl w:val="0"/>
                <w:lang w:val="en-US"/>
              </w:rPr>
              <w:t>1+X</w:t>
            </w:r>
            <w:r>
              <w:rPr>
                <w:rFonts w:ascii="PMingLiU" w:cs="PMingLiU" w:hAnsi="PMingLiU" w:eastAsia="PMingLiU"/>
                <w:rtl w:val="0"/>
                <w:lang w:val="zh-TW" w:eastAsia="zh-TW"/>
              </w:rPr>
              <w:t>）</w:t>
            </w:r>
          </w:p>
        </w:tc>
        <w:tc>
          <w:tcPr>
            <w:tcW w:type="dxa" w:w="4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评价方式</w:t>
            </w:r>
          </w:p>
        </w:tc>
        <w:tc>
          <w:tcPr>
            <w:tcW w:type="dxa" w:w="2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占比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zh-CN" w:eastAsia="zh-CN"/>
              </w:rPr>
              <w:t>1</w:t>
            </w:r>
          </w:p>
        </w:tc>
        <w:tc>
          <w:tcPr>
            <w:tcW w:type="dxa" w:w="4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期末综合考查</w:t>
            </w:r>
          </w:p>
        </w:tc>
        <w:tc>
          <w:tcPr>
            <w:tcW w:type="dxa" w:w="2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zh-CN" w:eastAsia="zh-CN"/>
              </w:rPr>
              <w:t>4</w:t>
            </w:r>
            <w:r>
              <w:rPr>
                <w:rtl w:val="0"/>
                <w:lang w:val="en-US"/>
              </w:rPr>
              <w:t>0%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X1</w:t>
            </w:r>
          </w:p>
        </w:tc>
        <w:tc>
          <w:tcPr>
            <w:tcW w:type="dxa" w:w="4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测试</w:t>
            </w: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1</w:t>
            </w:r>
          </w:p>
        </w:tc>
        <w:tc>
          <w:tcPr>
            <w:tcW w:type="dxa" w:w="2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zh-CN" w:eastAsia="zh-CN"/>
              </w:rPr>
              <w:t>2</w:t>
            </w:r>
            <w:r>
              <w:rPr>
                <w:rtl w:val="0"/>
                <w:lang w:val="en-US"/>
              </w:rPr>
              <w:t>0%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X</w:t>
            </w:r>
            <w:r>
              <w:rPr>
                <w:rtl w:val="0"/>
                <w:lang w:val="zh-CN" w:eastAsia="zh-CN"/>
              </w:rPr>
              <w:t>2</w:t>
            </w:r>
          </w:p>
        </w:tc>
        <w:tc>
          <w:tcPr>
            <w:tcW w:type="dxa" w:w="4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TW" w:eastAsia="zh-TW"/>
              </w:rPr>
              <w:t>课堂听力和写作练习</w:t>
            </w:r>
          </w:p>
        </w:tc>
        <w:tc>
          <w:tcPr>
            <w:tcW w:type="dxa" w:w="2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zh-CN" w:eastAsia="zh-CN"/>
              </w:rPr>
              <w:t>2</w:t>
            </w:r>
            <w:r>
              <w:rPr>
                <w:rtl w:val="0"/>
                <w:lang w:val="en-US"/>
              </w:rPr>
              <w:t>0%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X</w:t>
            </w:r>
            <w:r>
              <w:rPr>
                <w:rtl w:val="0"/>
                <w:lang w:val="zh-CN" w:eastAsia="zh-CN"/>
              </w:rPr>
              <w:t>3</w:t>
            </w:r>
          </w:p>
        </w:tc>
        <w:tc>
          <w:tcPr>
            <w:tcW w:type="dxa" w:w="4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微软雅黑" w:cs="微软雅黑" w:hAnsi="微软雅黑" w:eastAsia="微软雅黑"/>
                <w:rtl w:val="0"/>
                <w:lang w:val="zh-CN" w:eastAsia="zh-CN"/>
              </w:rPr>
              <w:t>课堂表现和课后作业</w:t>
            </w:r>
          </w:p>
        </w:tc>
        <w:tc>
          <w:tcPr>
            <w:tcW w:type="dxa" w:w="20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en-US"/>
              </w:rPr>
              <w:t>20%</w:t>
            </w:r>
          </w:p>
        </w:tc>
      </w:tr>
    </w:tbl>
    <w:p>
      <w:pPr>
        <w:pStyle w:val="Normal.0"/>
      </w:pPr>
    </w:p>
    <w:p>
      <w:pPr>
        <w:pStyle w:val="Normal.0"/>
        <w:tabs>
          <w:tab w:val="left" w:pos="3210"/>
          <w:tab w:val="left" w:pos="7560"/>
        </w:tabs>
        <w:spacing w:before="72" w:line="360" w:lineRule="auto"/>
        <w:jc w:val="both"/>
        <w:outlineLvl w:val="0"/>
        <w:rPr>
          <w:rFonts w:ascii="仿宋" w:cs="仿宋" w:hAnsi="仿宋" w:eastAsia="仿宋"/>
          <w:color w:val="000000"/>
          <w:position w:val="-40"/>
          <w:u w:color="000000"/>
          <w:lang w:val="zh-TW" w:eastAsia="zh-TW"/>
        </w:rPr>
      </w:pPr>
    </w:p>
    <w:p>
      <w:pPr>
        <w:pStyle w:val="Normal.0"/>
        <w:tabs>
          <w:tab w:val="left" w:pos="3210"/>
          <w:tab w:val="left" w:pos="7560"/>
        </w:tabs>
        <w:spacing w:before="72" w:line="360" w:lineRule="auto"/>
        <w:jc w:val="both"/>
        <w:outlineLvl w:val="0"/>
      </w:pP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>任课教师：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何慧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en-US"/>
        </w:rPr>
        <w:t xml:space="preserve">    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>系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>主任审核：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en-US"/>
        </w:rPr>
        <w:t xml:space="preserve">   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CN" w:eastAsia="zh-CN"/>
        </w:rPr>
        <w:t xml:space="preserve">               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TW" w:eastAsia="zh-TW"/>
        </w:rPr>
        <w:t>日期：</w:t>
      </w:r>
      <w:r>
        <w:rPr>
          <w:rFonts w:ascii="仿宋" w:cs="仿宋" w:hAnsi="仿宋" w:eastAsia="仿宋"/>
          <w:color w:val="000000"/>
          <w:position w:val="-40"/>
          <w:sz w:val="28"/>
          <w:szCs w:val="28"/>
          <w:u w:color="000000"/>
          <w:rtl w:val="0"/>
          <w:lang w:val="zh-CN" w:eastAsia="zh-CN"/>
        </w:rPr>
        <w:t>2020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年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2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月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11</w:t>
      </w:r>
      <w:r>
        <w:rPr>
          <w:rFonts w:ascii="仿宋" w:cs="仿宋" w:hAnsi="仿宋" w:eastAsia="仿宋"/>
          <w:position w:val="-40"/>
          <w:sz w:val="28"/>
          <w:szCs w:val="28"/>
          <w:rtl w:val="0"/>
          <w:lang w:val="zh-CN" w:eastAsia="zh-CN"/>
        </w:rPr>
        <w:t>日</w:t>
      </w:r>
    </w:p>
    <w:sectPr>
      <w:headerReference w:type="default" r:id="rId4"/>
      <w:footerReference w:type="default" r:id="rId5"/>
      <w:pgSz w:w="11900" w:h="16840" w:orient="portrait"/>
      <w:pgMar w:top="1418" w:right="1474" w:bottom="1361" w:left="1588" w:header="567" w:footer="794"/>
      <w:pgNumType w:start="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宋体">
    <w:charset w:val="00"/>
    <w:family w:val="roman"/>
    <w:pitch w:val="default"/>
  </w:font>
  <w:font w:name="華康儷中黑">
    <w:charset w:val="00"/>
    <w:family w:val="roman"/>
    <w:pitch w:val="default"/>
  </w:font>
  <w:font w:name="Georgia">
    <w:charset w:val="00"/>
    <w:family w:val="roman"/>
    <w:pitch w:val="default"/>
  </w:font>
  <w:font w:name="黑体">
    <w:charset w:val="00"/>
    <w:family w:val="roman"/>
    <w:pitch w:val="default"/>
  </w:font>
  <w:font w:name="仿宋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微软雅黑">
    <w:charset w:val="00"/>
    <w:family w:val="roman"/>
    <w:pitch w:val="default"/>
  </w:font>
  <w:font w:name="Malgun Gothic Semilight">
    <w:charset w:val="00"/>
    <w:family w:val="roman"/>
    <w:pitch w:val="default"/>
  </w:font>
  <w:font w:name="PMingLiU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rPr>
        <w:rFonts w:ascii="Georgia" w:cs="Georgia" w:hAnsi="Georgia" w:eastAsia="Georgia"/>
        <w:color w:val="ffffff"/>
        <w:sz w:val="26"/>
        <w:szCs w:val="26"/>
        <w:u w:color="ffffff"/>
      </w:rPr>
    </w:pPr>
    <w:r>
      <w:rPr>
        <w:rFonts w:ascii="華康儷中黑" w:cs="華康儷中黑" w:hAnsi="華康儷中黑" w:eastAsia="華康儷中黑"/>
        <w:color w:val="ffffff"/>
        <w:sz w:val="26"/>
        <w:szCs w:val="26"/>
        <w:u w:color="ffffff"/>
        <w:rtl w:val="0"/>
        <w:lang w:val="zh-TW" w:eastAsia="zh-TW"/>
      </w:rPr>
      <w:t>第</w: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begin" w:fldLock="0"/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instrText xml:space="preserve"> PAGE </w:instrTex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separate" w:fldLock="0"/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t>21</w:t>
    </w:r>
    <w:r>
      <w:rPr>
        <w:rFonts w:ascii="Georgia" w:cs="Georgia" w:hAnsi="Georgia" w:eastAsia="Georgia"/>
        <w:color w:val="ffffff"/>
        <w:sz w:val="26"/>
        <w:szCs w:val="26"/>
        <w:u w:color="ffffff"/>
        <w:rtl w:val="0"/>
        <w:lang w:val="en-US"/>
      </w:rPr>
      <w:fldChar w:fldCharType="end" w:fldLock="0"/>
    </w:r>
    <w:r>
      <w:rPr>
        <w:rFonts w:ascii="華康儷中黑" w:cs="華康儷中黑" w:hAnsi="華康儷中黑" w:eastAsia="華康儷中黑"/>
        <w:color w:val="ffffff"/>
        <w:sz w:val="26"/>
        <w:szCs w:val="26"/>
        <w:u w:color="ffffff"/>
        <w:rtl w:val="0"/>
        <w:lang w:val="zh-TW" w:eastAsia="zh-TW"/>
      </w:rPr>
      <w:t>頁</w:t>
    </w:r>
  </w:p>
  <w:p>
    <w:pPr>
      <w:pStyle w:val="Normal.0"/>
      <w:spacing w:before="120" w:after="120"/>
      <w:jc w:val="both"/>
    </w:pPr>
    <w:r>
      <w:rPr>
        <w:rFonts w:ascii="宋体" w:cs="宋体" w:hAnsi="宋体" w:eastAsia="宋体"/>
        <w:sz w:val="18"/>
        <w:szCs w:val="18"/>
        <w:rtl w:val="0"/>
        <w:lang w:val="zh-TW" w:eastAsia="zh-TW"/>
      </w:rPr>
      <w:t>注：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课程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教学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进度计划表</w:t>
    </w:r>
    <w:r>
      <w:rPr>
        <w:rFonts w:ascii="宋体" w:cs="宋体" w:hAnsi="宋体" w:eastAsia="宋体"/>
        <w:sz w:val="18"/>
        <w:szCs w:val="18"/>
        <w:rtl w:val="0"/>
        <w:lang w:val="zh-TW" w:eastAsia="zh-TW"/>
      </w:rPr>
      <w:t>电子版公布在本学院课程网站上，并发送到教务处存档。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before="72"/>
      <w:ind w:firstLine="84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540384</wp:posOffset>
              </wp:positionH>
              <wp:positionV relativeFrom="page">
                <wp:posOffset>359409</wp:posOffset>
              </wp:positionV>
              <wp:extent cx="2635250" cy="310516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3105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</w:pP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SJQU-QR-JW-011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（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en-US"/>
                            </w:rPr>
                            <w:t>A0</w:t>
                          </w:r>
                          <w:r>
                            <w:rPr>
                              <w:rFonts w:ascii="宋体" w:cs="宋体" w:hAnsi="宋体" w:eastAsia="宋体"/>
                              <w:spacing w:val="0"/>
                              <w:rtl w:val="0"/>
                              <w:lang w:val="zh-TW" w:eastAsia="zh-TW"/>
                            </w:rPr>
                            <w:t>）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2.5pt;margin-top:28.3pt;width:207.5pt;height:24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SJQU-QR-JW-011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（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en-US"/>
                      </w:rPr>
                      <w:t>A0</w:t>
                    </w:r>
                    <w:r>
                      <w:rPr>
                        <w:rFonts w:ascii="宋体" w:cs="宋体" w:hAnsi="宋体" w:eastAsia="宋体"/>
                        <w:spacing w:val="0"/>
                        <w:rtl w:val="0"/>
                        <w:lang w:val="zh-TW" w:eastAsia="zh-TW"/>
                      </w:rPr>
                      <w:t>）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Times New Roman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