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【高级德语1】</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bCs/>
          <w:sz w:val="28"/>
          <w:szCs w:val="28"/>
        </w:rPr>
        <w:t>Advanced German</w:t>
      </w:r>
      <w:r>
        <w:rPr>
          <w:rFonts w:hint="eastAsia"/>
          <w:b/>
          <w:bCs/>
          <w:sz w:val="28"/>
          <w:szCs w:val="28"/>
          <w:lang w:val="en-US" w:eastAsia="zh-CN"/>
        </w:rPr>
        <w:t xml:space="preserve"> </w:t>
      </w:r>
      <w:r>
        <w:rPr>
          <w:rFonts w:hint="eastAsia"/>
          <w:b/>
          <w:bCs/>
          <w:sz w:val="28"/>
          <w:szCs w:val="28"/>
        </w:rPr>
        <w:t>1</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2020415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Pr>
          <w:rFonts w:hint="eastAsia"/>
          <w:color w:val="000000"/>
          <w:sz w:val="20"/>
          <w:szCs w:val="20"/>
          <w:highlight w:val="yellow"/>
        </w:rPr>
        <w:t>专业核心课</w:t>
      </w:r>
      <w:r>
        <w:rPr>
          <w:rFonts w:hint="eastAsia" w:ascii="宋体" w:hAnsi="宋体"/>
          <w:color w:val="000000"/>
          <w:sz w:val="20"/>
          <w:szCs w:val="20"/>
          <w:highlight w:val="yellow"/>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外国语学院德语系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《文化视窗—高级德语教程》主编：钱敏汝，外语教学与研究出版社，2015</w:t>
      </w:r>
      <w:r>
        <w:rPr>
          <w:color w:val="000000"/>
          <w:sz w:val="20"/>
          <w:szCs w:val="20"/>
        </w:rPr>
        <w:t>】</w:t>
      </w:r>
    </w:p>
    <w:p>
      <w:pPr>
        <w:snapToGrid w:val="0"/>
        <w:spacing w:line="288" w:lineRule="auto"/>
        <w:ind w:left="718" w:leftChars="342" w:firstLine="100" w:firstLineChars="50"/>
        <w:rPr>
          <w:color w:val="000000"/>
          <w:szCs w:val="21"/>
        </w:rPr>
      </w:pPr>
      <w:r>
        <w:rPr>
          <w:color w:val="000000"/>
          <w:sz w:val="20"/>
          <w:szCs w:val="20"/>
          <w:highlight w:val="yellow"/>
        </w:rPr>
        <w:t>参考</w:t>
      </w:r>
      <w:r>
        <w:rPr>
          <w:rFonts w:hint="eastAsia"/>
          <w:color w:val="000000"/>
          <w:sz w:val="20"/>
          <w:szCs w:val="20"/>
          <w:highlight w:val="yellow"/>
        </w:rPr>
        <w:t>书目</w:t>
      </w:r>
      <w:r>
        <w:rPr>
          <w:color w:val="000000"/>
          <w:sz w:val="20"/>
          <w:szCs w:val="20"/>
          <w:highlight w:val="yellow"/>
        </w:rPr>
        <w:t>【</w:t>
      </w:r>
      <w:r>
        <w:rPr>
          <w:rFonts w:hint="eastAsia"/>
          <w:color w:val="000000"/>
          <w:sz w:val="20"/>
          <w:szCs w:val="20"/>
          <w:highlight w:val="yellow"/>
        </w:rPr>
        <w:t>《新标准德语》主编：Michaela Perlmann-Balme,</w:t>
      </w:r>
      <w:r>
        <w:rPr>
          <w:rFonts w:hint="eastAsia"/>
          <w:color w:val="000000"/>
          <w:sz w:val="20"/>
          <w:szCs w:val="20"/>
        </w:rPr>
        <w:t>外语教学与研究出版社,2008.</w:t>
      </w:r>
      <w:r>
        <w:rPr>
          <w:rFonts w:hint="eastAsia"/>
          <w:sz w:val="20"/>
          <w:szCs w:val="20"/>
        </w:rPr>
        <w:t>《德语语法精讲》，黄克琴主编，上海译文出版社，2013.</w:t>
      </w:r>
      <w:r>
        <w:rPr>
          <w:rFonts w:hint="eastAsia" w:cs="Calibri"/>
          <w:color w:val="000000"/>
          <w:sz w:val="20"/>
          <w:szCs w:val="20"/>
          <w:shd w:val="clear" w:color="auto" w:fill="FFFFFF"/>
        </w:rPr>
        <w:t>《德语动词1000》周抗美</w:t>
      </w:r>
      <w:r>
        <w:rPr>
          <w:rFonts w:hint="eastAsia"/>
          <w:sz w:val="20"/>
          <w:szCs w:val="20"/>
        </w:rPr>
        <w:t>编著，</w:t>
      </w:r>
      <w:r>
        <w:fldChar w:fldCharType="begin"/>
      </w:r>
      <w:r>
        <w:instrText xml:space="preserve"> HYPERLINK "http://www.bookschina.com/publish/5608/" \t "http://mail.gench.edu.cn/preview/_blank" </w:instrText>
      </w:r>
      <w:r>
        <w:fldChar w:fldCharType="separate"/>
      </w:r>
      <w:r>
        <w:rPr>
          <w:rStyle w:val="7"/>
          <w:rFonts w:hint="eastAsia" w:ascii="宋体" w:hAnsi="宋体" w:cs="宋体"/>
          <w:color w:val="333333"/>
          <w:sz w:val="20"/>
          <w:szCs w:val="20"/>
          <w:u w:val="none"/>
          <w:shd w:val="clear" w:color="auto" w:fill="FFFFFF"/>
        </w:rPr>
        <w:t>同济大学出版社</w:t>
      </w:r>
      <w:r>
        <w:rPr>
          <w:rStyle w:val="7"/>
          <w:rFonts w:hint="eastAsia" w:ascii="宋体" w:hAnsi="宋体" w:cs="宋体"/>
          <w:color w:val="333333"/>
          <w:sz w:val="20"/>
          <w:szCs w:val="20"/>
          <w:u w:val="none"/>
          <w:shd w:val="clear" w:color="auto" w:fill="FFFFFF"/>
        </w:rPr>
        <w:fldChar w:fldCharType="end"/>
      </w:r>
      <w:r>
        <w:rPr>
          <w:rFonts w:hint="eastAsia" w:cs="Calibri"/>
          <w:color w:val="333333"/>
          <w:sz w:val="20"/>
          <w:szCs w:val="20"/>
          <w:shd w:val="clear" w:color="auto" w:fill="FFFFFF"/>
        </w:rPr>
        <w:t>，2014。</w:t>
      </w:r>
      <w:r>
        <w:rPr>
          <w:color w:val="000000"/>
          <w:sz w:val="20"/>
          <w:szCs w:val="20"/>
          <w:highlight w:val="yellow"/>
        </w:rPr>
        <w:t>】</w:t>
      </w:r>
    </w:p>
    <w:p>
      <w:pPr>
        <w:snapToGrid w:val="0"/>
        <w:spacing w:line="288" w:lineRule="auto"/>
        <w:ind w:firstLine="394" w:firstLineChars="196"/>
        <w:rPr>
          <w:rFonts w:cs="Calibri"/>
          <w:color w:val="000000"/>
          <w:sz w:val="20"/>
          <w:szCs w:val="20"/>
          <w:highlight w:val="cyan"/>
        </w:rPr>
      </w:pPr>
      <w:r>
        <w:rPr>
          <w:rFonts w:hint="eastAsia"/>
          <w:b/>
          <w:bCs/>
          <w:color w:val="000000"/>
          <w:sz w:val="20"/>
          <w:szCs w:val="20"/>
          <w:highlight w:val="yellow"/>
        </w:rPr>
        <w:t>课程网站网址：</w:t>
      </w:r>
      <w:r>
        <w:rPr>
          <w:rFonts w:hint="eastAsia" w:hAnsi="宋体" w:cs="宋体"/>
          <w:color w:val="000000"/>
          <w:sz w:val="20"/>
          <w:szCs w:val="20"/>
          <w:shd w:val="clear" w:color="auto" w:fill="FFFFFF"/>
        </w:rPr>
        <w:t>https://elearning.gench.edu.cn:8443/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ascii="宋体" w:hAnsi="宋体" w:cs="宋体"/>
          <w:sz w:val="20"/>
          <w:szCs w:val="20"/>
        </w:rPr>
        <w:t xml:space="preserve">中级德语2 </w:t>
      </w:r>
      <w:r>
        <w:rPr>
          <w:rFonts w:hint="eastAsia" w:cs="宋体"/>
          <w:color w:val="000000"/>
          <w:sz w:val="20"/>
          <w:szCs w:val="20"/>
        </w:rPr>
        <w:t>2020410</w:t>
      </w:r>
      <w:r>
        <w:rPr>
          <w:color w:val="000000"/>
          <w:sz w:val="20"/>
          <w:szCs w:val="20"/>
        </w:rPr>
        <w:t>（</w:t>
      </w:r>
      <w:r>
        <w:rPr>
          <w:rFonts w:hint="eastAsia"/>
          <w:color w:val="000000"/>
          <w:sz w:val="20"/>
          <w:szCs w:val="20"/>
        </w:rPr>
        <w:t>10</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pStyle w:val="10"/>
        <w:adjustRightInd w:val="0"/>
        <w:snapToGrid w:val="0"/>
        <w:spacing w:line="288" w:lineRule="auto"/>
        <w:ind w:left="210" w:leftChars="100" w:firstLine="600" w:firstLineChars="300"/>
        <w:rPr>
          <w:rFonts w:cs="Calibri"/>
          <w:color w:val="000000"/>
          <w:sz w:val="20"/>
          <w:szCs w:val="20"/>
          <w:shd w:val="clear" w:color="auto" w:fill="FFFFFF"/>
        </w:rPr>
      </w:pPr>
      <w:r>
        <w:rPr>
          <w:rFonts w:hint="eastAsia"/>
          <w:color w:val="000000"/>
          <w:sz w:val="20"/>
          <w:szCs w:val="20"/>
        </w:rPr>
        <w:t>高级德语1</w:t>
      </w:r>
      <w:r>
        <w:rPr>
          <w:rFonts w:hint="eastAsia" w:cs="Calibri"/>
          <w:color w:val="000000"/>
          <w:sz w:val="20"/>
          <w:szCs w:val="20"/>
          <w:shd w:val="clear" w:color="auto" w:fill="FFFFFF"/>
        </w:rPr>
        <w:t>是德语专业大三学生必修课程，是中级德语2的深化，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hint="eastAsia" w:cs="Calibri"/>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p>
      <w:pPr>
        <w:widowControl/>
        <w:spacing w:before="156" w:beforeLines="50" w:after="156" w:afterLines="50" w:line="288" w:lineRule="auto"/>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s="宋体"/>
          <w:color w:val="000000"/>
          <w:sz w:val="20"/>
          <w:szCs w:val="20"/>
        </w:rPr>
        <w:t>适合德语专业三年级的学生。建议学生先修中级德语2。</w:t>
      </w:r>
    </w:p>
    <w:p>
      <w:pPr>
        <w:widowControl/>
        <w:spacing w:before="156" w:beforeLines="50" w:after="156"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yellow"/>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宋体" w:hAnsi="宋体" w:cs="宋体"/>
                <w:kern w:val="0"/>
                <w:sz w:val="20"/>
                <w:szCs w:val="20"/>
              </w:rPr>
            </w:pPr>
            <w:r>
              <w:rPr>
                <w:rFonts w:hint="eastAsia" w:ascii="宋体" w:hAnsi="宋体" w:cs="宋体"/>
                <w:kern w:val="0"/>
                <w:sz w:val="20"/>
                <w:szCs w:val="20"/>
              </w:rPr>
              <w:t>专业毕业要求</w:t>
            </w:r>
          </w:p>
        </w:tc>
        <w:tc>
          <w:tcPr>
            <w:tcW w:w="727" w:type="dxa"/>
          </w:tcPr>
          <w:p>
            <w:pPr>
              <w:jc w:val="center"/>
              <w:rPr>
                <w:rFonts w:ascii="宋体" w:hAnsi="宋体" w:cs="宋体"/>
                <w:kern w:val="0"/>
                <w:sz w:val="20"/>
                <w:szCs w:val="20"/>
              </w:rPr>
            </w:pPr>
            <w:r>
              <w:rPr>
                <w:rFonts w:hint="eastAsia" w:ascii="宋体" w:hAnsi="宋体" w:cs="宋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0"/>
                <w:szCs w:val="20"/>
              </w:rPr>
            </w:pPr>
            <w:r>
              <w:rPr>
                <w:rFonts w:hint="eastAsia" w:ascii="宋体" w:hAnsi="宋体" w:cs="宋体"/>
                <w:color w:val="000000"/>
                <w:kern w:val="0"/>
                <w:sz w:val="20"/>
                <w:szCs w:val="20"/>
              </w:rPr>
              <w:t>LO11：倾听他人意见、尊重他人观点、分析他人需求。</w:t>
            </w:r>
          </w:p>
        </w:tc>
        <w:tc>
          <w:tcPr>
            <w:tcW w:w="727" w:type="dxa"/>
            <w:vAlign w:val="center"/>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LO21：能根据需要确定学习目标，并设计学习计划。</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LO311：掌握德语语言基本理论与知识</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LO312：具备扎实的语言基本功和听、说、读、写等语言应用能力。</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LO332：熟悉中德两国文化差异，能够与德国人进行深入交流。</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LO341：掌握一定的商贸知识，了解外贸的基本概念和基本操作。</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LO351：掌握笔译技巧，具有较熟练运用德语进行笔译工作的能力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LO36：了解德语文学，掌握相关知识，具有文学鉴赏能力。</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LO41：</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LO513：能用创新的方法或者多种方法解决复杂问题或真实问题。</w:t>
            </w:r>
          </w:p>
        </w:tc>
        <w:tc>
          <w:tcPr>
            <w:tcW w:w="727" w:type="dxa"/>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LO61：能够使用适合的工具来搜集信息，并对信息加以分析、鉴别、判断与整合。</w:t>
            </w:r>
          </w:p>
        </w:tc>
        <w:tc>
          <w:tcPr>
            <w:tcW w:w="727"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LO71：</w:t>
            </w:r>
            <w:r>
              <w:rPr>
                <w:rFonts w:hint="eastAsia" w:ascii="宋体" w:hAnsi="宋体" w:cs="宋体"/>
                <w:sz w:val="20"/>
                <w:szCs w:val="20"/>
              </w:rPr>
              <w:t>愿意服务他人、服务企业、服务社会；为人热忱，富于爱心，懂得感恩（“感恩、回报、爱心”为我校校训内容之一）</w:t>
            </w:r>
          </w:p>
        </w:tc>
        <w:tc>
          <w:tcPr>
            <w:tcW w:w="727"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0"/>
                <w:szCs w:val="20"/>
              </w:rPr>
            </w:pPr>
            <w:r>
              <w:rPr>
                <w:rFonts w:hint="eastAsia" w:ascii="宋体" w:hAnsi="宋体" w:cs="宋体"/>
                <w:color w:val="000000"/>
                <w:kern w:val="0"/>
                <w:sz w:val="20"/>
                <w:szCs w:val="20"/>
              </w:rPr>
              <w:t>LO811：具备外语表达沟通能力，达到本专业的要求。</w:t>
            </w:r>
          </w:p>
        </w:tc>
        <w:tc>
          <w:tcPr>
            <w:tcW w:w="72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w:t>
            </w:r>
          </w:p>
        </w:tc>
      </w:tr>
    </w:tbl>
    <w:p>
      <w:pPr>
        <w:ind w:firstLine="420" w:firstLineChars="200"/>
      </w:pPr>
      <w:r>
        <w:rPr>
          <w:rFonts w:hint="eastAsia"/>
        </w:rPr>
        <w:t>备注：LO=</w:t>
      </w:r>
      <w:r>
        <w:t>learning outcomes</w:t>
      </w:r>
      <w:r>
        <w:rPr>
          <w:rFonts w:hint="eastAsia"/>
        </w:rPr>
        <w:t>（学习成果）</w:t>
      </w:r>
    </w:p>
    <w:p/>
    <w:p>
      <w:pPr>
        <w:spacing w:line="360" w:lineRule="auto"/>
        <w:ind w:firstLine="600" w:firstLineChars="250"/>
        <w:rPr>
          <w:sz w:val="20"/>
          <w:szCs w:val="20"/>
          <w:highlight w:val="yellow"/>
        </w:rPr>
      </w:pPr>
      <w:r>
        <w:rPr>
          <w:rFonts w:hint="eastAsia" w:ascii="黑体" w:hAnsi="宋体" w:eastAsia="黑体"/>
          <w:sz w:val="24"/>
          <w:highlight w:val="yellow"/>
        </w:rPr>
        <w:t>五、</w:t>
      </w:r>
      <w:r>
        <w:rPr>
          <w:rFonts w:ascii="黑体" w:hAnsi="宋体" w:eastAsia="黑体"/>
          <w:sz w:val="24"/>
          <w:highlight w:val="yellow"/>
        </w:rPr>
        <w:t>课程</w:t>
      </w:r>
      <w:r>
        <w:rPr>
          <w:rFonts w:hint="eastAsia" w:ascii="黑体" w:hAnsi="宋体" w:eastAsia="黑体"/>
          <w:sz w:val="24"/>
          <w:highlight w:val="yellow"/>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color w:val="000000"/>
                <w:sz w:val="20"/>
                <w:szCs w:val="20"/>
              </w:rPr>
              <w:t>阅读和翻译水平进一步提高</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r>
              <w:rPr>
                <w:rFonts w:hint="eastAsia" w:ascii="宋体" w:hAnsi="宋体" w:cs="宋体"/>
                <w:color w:val="000000"/>
                <w:kern w:val="0"/>
                <w:sz w:val="20"/>
                <w:szCs w:val="20"/>
              </w:rPr>
              <w:t>了解各种</w:t>
            </w:r>
            <w:r>
              <w:rPr>
                <w:rFonts w:hint="eastAsia"/>
                <w:color w:val="000000"/>
                <w:sz w:val="20"/>
                <w:szCs w:val="20"/>
              </w:rPr>
              <w:t>文化与跨文化</w:t>
            </w:r>
          </w:p>
        </w:tc>
        <w:tc>
          <w:tcPr>
            <w:tcW w:w="2199" w:type="dxa"/>
            <w:shd w:val="clear" w:color="auto" w:fill="auto"/>
          </w:tcPr>
          <w:p>
            <w:pPr>
              <w:snapToGrid w:val="0"/>
              <w:spacing w:line="288" w:lineRule="auto"/>
              <w:rPr>
                <w:color w:val="000000"/>
                <w:sz w:val="20"/>
                <w:szCs w:val="20"/>
              </w:rPr>
            </w:pPr>
          </w:p>
          <w:p>
            <w:pPr>
              <w:snapToGrid w:val="0"/>
              <w:spacing w:line="288" w:lineRule="auto"/>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r>
              <w:rPr>
                <w:rFonts w:hint="eastAsia" w:ascii="宋体" w:hAnsi="宋体" w:cs="宋体"/>
                <w:color w:val="000000"/>
                <w:kern w:val="0"/>
                <w:sz w:val="20"/>
                <w:szCs w:val="20"/>
              </w:rPr>
              <w:t>进一步巩固与掌握德语语言知识</w:t>
            </w:r>
          </w:p>
        </w:tc>
        <w:tc>
          <w:tcPr>
            <w:tcW w:w="2199" w:type="dxa"/>
            <w:shd w:val="clear" w:color="auto" w:fill="auto"/>
          </w:tcPr>
          <w:p>
            <w:pPr>
              <w:snapToGrid w:val="0"/>
              <w:spacing w:line="288" w:lineRule="auto"/>
              <w:jc w:val="center"/>
              <w:rPr>
                <w:color w:val="000000"/>
                <w:sz w:val="20"/>
                <w:szCs w:val="20"/>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LO81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ascii="宋体" w:hAnsi="宋体" w:cs="宋体"/>
                <w:color w:val="000000"/>
                <w:kern w:val="0"/>
                <w:sz w:val="20"/>
                <w:szCs w:val="20"/>
              </w:rPr>
              <w:t>具备外语表达沟通能力，达到本专业的要求</w:t>
            </w:r>
          </w:p>
        </w:tc>
        <w:tc>
          <w:tcPr>
            <w:tcW w:w="2199"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思考、讨论、指导</w:t>
            </w:r>
          </w:p>
        </w:tc>
        <w:tc>
          <w:tcPr>
            <w:tcW w:w="1276"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color w:val="000000"/>
                <w:sz w:val="20"/>
                <w:szCs w:val="20"/>
              </w:rPr>
              <w:t>期终闭卷考</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highlight w:val="yellow"/>
        </w:rPr>
        <w:t>六、</w:t>
      </w:r>
      <w:r>
        <w:rPr>
          <w:rFonts w:ascii="黑体" w:hAnsi="宋体" w:eastAsia="黑体"/>
          <w:sz w:val="24"/>
          <w:highlight w:val="yellow"/>
        </w:rPr>
        <w:t>课程内容</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jc w:val="center"/>
              <w:rPr>
                <w:rFonts w:ascii="宋体" w:hAnsi="宋体"/>
                <w:b/>
                <w:sz w:val="20"/>
                <w:szCs w:val="20"/>
              </w:rPr>
            </w:pPr>
            <w:r>
              <w:rPr>
                <w:rFonts w:hint="eastAsia" w:ascii="宋体" w:hAnsi="宋体"/>
                <w:b/>
                <w:sz w:val="20"/>
                <w:szCs w:val="20"/>
              </w:rPr>
              <w:t>单元</w:t>
            </w:r>
          </w:p>
        </w:tc>
        <w:tc>
          <w:tcPr>
            <w:tcW w:w="2841" w:type="dxa"/>
          </w:tcPr>
          <w:p>
            <w:pPr>
              <w:snapToGrid w:val="0"/>
              <w:spacing w:line="288" w:lineRule="auto"/>
              <w:jc w:val="center"/>
              <w:rPr>
                <w:rFonts w:ascii="宋体" w:hAnsi="宋体"/>
                <w:b/>
                <w:sz w:val="20"/>
                <w:szCs w:val="20"/>
              </w:rPr>
            </w:pPr>
            <w:r>
              <w:rPr>
                <w:rFonts w:hint="eastAsia" w:ascii="宋体" w:hAnsi="宋体"/>
                <w:b/>
                <w:sz w:val="20"/>
                <w:szCs w:val="20"/>
              </w:rPr>
              <w:t>知识点</w:t>
            </w:r>
          </w:p>
        </w:tc>
        <w:tc>
          <w:tcPr>
            <w:tcW w:w="2841" w:type="dxa"/>
          </w:tcPr>
          <w:p>
            <w:pPr>
              <w:snapToGrid w:val="0"/>
              <w:spacing w:line="288" w:lineRule="auto"/>
              <w:jc w:val="center"/>
              <w:rPr>
                <w:rFonts w:ascii="宋体" w:hAnsi="宋体"/>
                <w:b/>
                <w:sz w:val="20"/>
                <w:szCs w:val="20"/>
              </w:rPr>
            </w:pPr>
            <w:r>
              <w:rPr>
                <w:rFonts w:hint="eastAsia" w:ascii="宋体" w:hAnsi="宋体"/>
                <w:b/>
                <w:sz w:val="20"/>
                <w:szCs w:val="20"/>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sz w:val="20"/>
                <w:szCs w:val="20"/>
              </w:rPr>
            </w:pPr>
            <w:r>
              <w:rPr>
                <w:rFonts w:hint="eastAsia"/>
                <w:color w:val="000000"/>
                <w:sz w:val="20"/>
                <w:szCs w:val="20"/>
              </w:rPr>
              <w:t>文化视窗—高级德语教程第一单元：饮食</w:t>
            </w:r>
          </w:p>
        </w:tc>
        <w:tc>
          <w:tcPr>
            <w:tcW w:w="2841" w:type="dxa"/>
          </w:tcPr>
          <w:p>
            <w:pPr>
              <w:snapToGrid w:val="0"/>
              <w:spacing w:line="288" w:lineRule="auto"/>
              <w:rPr>
                <w:sz w:val="20"/>
                <w:szCs w:val="20"/>
              </w:rPr>
            </w:pPr>
            <w:r>
              <w:rPr>
                <w:rFonts w:hint="eastAsia" w:ascii="宋体" w:hAnsi="宋体"/>
                <w:sz w:val="20"/>
                <w:szCs w:val="20"/>
              </w:rPr>
              <w:t>第一课：</w:t>
            </w:r>
            <w:r>
              <w:rPr>
                <w:rFonts w:hint="eastAsia"/>
                <w:sz w:val="20"/>
                <w:szCs w:val="20"/>
              </w:rPr>
              <w:t>美食家的区域多样性</w:t>
            </w:r>
          </w:p>
          <w:p>
            <w:pPr>
              <w:jc w:val="left"/>
              <w:rPr>
                <w:sz w:val="20"/>
                <w:szCs w:val="20"/>
              </w:rPr>
            </w:pPr>
            <w:r>
              <w:rPr>
                <w:rFonts w:hint="eastAsia"/>
                <w:sz w:val="20"/>
                <w:szCs w:val="20"/>
              </w:rPr>
              <w:t>课文1：中餐的多样性-中国地方菜系</w:t>
            </w:r>
          </w:p>
          <w:p>
            <w:pPr>
              <w:jc w:val="left"/>
              <w:rPr>
                <w:sz w:val="20"/>
                <w:szCs w:val="20"/>
              </w:rPr>
            </w:pPr>
            <w:r>
              <w:rPr>
                <w:rFonts w:hint="eastAsia"/>
                <w:sz w:val="20"/>
                <w:szCs w:val="20"/>
              </w:rPr>
              <w:t>课文2：永远忘记烹饪锅</w:t>
            </w:r>
          </w:p>
          <w:p>
            <w:pPr>
              <w:numPr>
                <w:ilvl w:val="0"/>
                <w:numId w:val="1"/>
              </w:numPr>
              <w:rPr>
                <w:rFonts w:ascii="Helvetica" w:hAnsi="Helvetica" w:cs="Helvetica"/>
                <w:bCs/>
                <w:sz w:val="20"/>
                <w:szCs w:val="20"/>
                <w:shd w:val="clear" w:color="auto" w:fill="FFFFFF"/>
              </w:rPr>
            </w:pPr>
            <w:r>
              <w:rPr>
                <w:rFonts w:hint="eastAsia" w:ascii="Helvetica" w:hAnsi="Helvetica" w:cs="Helvetica"/>
                <w:bCs/>
                <w:sz w:val="20"/>
                <w:szCs w:val="20"/>
                <w:shd w:val="clear" w:color="auto" w:fill="FFFFFF"/>
              </w:rPr>
              <w:t>还有什么可以喝的？</w:t>
            </w:r>
          </w:p>
          <w:p>
            <w:pPr>
              <w:rPr>
                <w:rFonts w:ascii="Helvetica" w:hAnsi="Helvetica" w:cs="Helvetica"/>
                <w:bCs/>
                <w:sz w:val="20"/>
                <w:szCs w:val="20"/>
                <w:shd w:val="clear" w:color="auto" w:fill="FFFFFF"/>
              </w:rPr>
            </w:pPr>
            <w:r>
              <w:rPr>
                <w:rFonts w:hint="eastAsia" w:ascii="Helvetica" w:hAnsi="Helvetica" w:cs="Helvetica"/>
                <w:bCs/>
                <w:sz w:val="20"/>
                <w:szCs w:val="20"/>
                <w:shd w:val="clear" w:color="auto" w:fill="FFFFFF"/>
              </w:rPr>
              <w:t>课文1 德国的饮料消费</w:t>
            </w:r>
          </w:p>
          <w:p>
            <w:pPr>
              <w:rPr>
                <w:rFonts w:ascii="Helvetica" w:hAnsi="Helvetica" w:cs="Helvetica"/>
                <w:bCs/>
                <w:sz w:val="20"/>
                <w:szCs w:val="20"/>
                <w:shd w:val="clear" w:color="auto" w:fill="FFFFFF"/>
              </w:rPr>
            </w:pPr>
            <w:r>
              <w:rPr>
                <w:rFonts w:hint="eastAsia" w:ascii="Helvetica" w:hAnsi="Helvetica" w:cs="Helvetica"/>
                <w:bCs/>
                <w:sz w:val="20"/>
                <w:szCs w:val="20"/>
                <w:shd w:val="clear" w:color="auto" w:fill="FFFFFF"/>
              </w:rPr>
              <w:t>课文2日常生活中的茶道礼仪</w:t>
            </w:r>
          </w:p>
          <w:p>
            <w:pPr>
              <w:rPr>
                <w:bCs/>
                <w:sz w:val="20"/>
                <w:szCs w:val="20"/>
                <w:lang w:val="de-DE"/>
              </w:rPr>
            </w:pPr>
            <w:r>
              <w:rPr>
                <w:rFonts w:hint="eastAsia"/>
                <w:bCs/>
                <w:sz w:val="20"/>
                <w:szCs w:val="20"/>
                <w:lang w:val="de-DE"/>
              </w:rPr>
              <w:t>第三课：以食物为主题</w:t>
            </w:r>
          </w:p>
          <w:p>
            <w:pPr>
              <w:rPr>
                <w:bCs/>
                <w:sz w:val="20"/>
                <w:szCs w:val="20"/>
                <w:lang w:val="de-DE"/>
              </w:rPr>
            </w:pPr>
            <w:r>
              <w:rPr>
                <w:rFonts w:hint="eastAsia" w:ascii="Helvetica" w:hAnsi="Helvetica" w:cs="Helvetica"/>
                <w:bCs/>
                <w:sz w:val="20"/>
                <w:szCs w:val="20"/>
                <w:shd w:val="clear" w:color="auto" w:fill="FFFFFF"/>
                <w:lang w:val="de-DE"/>
              </w:rPr>
              <w:t xml:space="preserve">课文1 </w:t>
            </w:r>
            <w:r>
              <w:rPr>
                <w:rFonts w:hint="eastAsia"/>
                <w:bCs/>
                <w:sz w:val="20"/>
                <w:szCs w:val="20"/>
                <w:lang w:val="de-DE"/>
              </w:rPr>
              <w:t>有机繁荣，但...</w:t>
            </w:r>
          </w:p>
          <w:p>
            <w:pPr>
              <w:rPr>
                <w:rFonts w:ascii="Helvetica" w:hAnsi="Helvetica" w:cs="Helvetica"/>
                <w:bCs/>
                <w:sz w:val="20"/>
                <w:szCs w:val="20"/>
                <w:shd w:val="clear" w:color="auto" w:fill="FFFFFF"/>
                <w:lang w:val="de-DE"/>
              </w:rPr>
            </w:pPr>
            <w:r>
              <w:rPr>
                <w:rFonts w:hint="eastAsia" w:ascii="Helvetica" w:hAnsi="Helvetica" w:cs="Helvetica"/>
                <w:bCs/>
                <w:sz w:val="20"/>
                <w:szCs w:val="20"/>
                <w:shd w:val="clear" w:color="auto" w:fill="FFFFFF"/>
                <w:lang w:val="de-DE"/>
              </w:rPr>
              <w:t>课文2 体面地吃！？</w:t>
            </w:r>
          </w:p>
          <w:p>
            <w:pPr>
              <w:rPr>
                <w:bCs/>
                <w:sz w:val="20"/>
                <w:szCs w:val="20"/>
                <w:lang w:val="de-DE"/>
              </w:rPr>
            </w:pPr>
            <w:r>
              <w:rPr>
                <w:rFonts w:hint="eastAsia"/>
                <w:bCs/>
                <w:sz w:val="20"/>
                <w:szCs w:val="20"/>
                <w:lang w:val="de-DE"/>
              </w:rPr>
              <w:t>语法：反身代词的归纳</w:t>
            </w:r>
          </w:p>
          <w:p>
            <w:pPr>
              <w:rPr>
                <w:sz w:val="20"/>
                <w:szCs w:val="20"/>
              </w:rPr>
            </w:pPr>
            <w:r>
              <w:rPr>
                <w:rFonts w:hint="eastAsia"/>
                <w:bCs/>
                <w:sz w:val="20"/>
                <w:szCs w:val="20"/>
              </w:rPr>
              <w:t xml:space="preserve">      现在时与过去时</w:t>
            </w:r>
            <w:r>
              <w:rPr>
                <w:rFonts w:hint="eastAsia"/>
                <w:bCs/>
                <w:sz w:val="20"/>
                <w:szCs w:val="20"/>
                <w:lang w:val="de-DE"/>
              </w:rPr>
              <w:t>的归纳</w:t>
            </w:r>
          </w:p>
        </w:tc>
        <w:tc>
          <w:tcPr>
            <w:tcW w:w="2841" w:type="dxa"/>
          </w:tcPr>
          <w:p>
            <w:pPr>
              <w:snapToGrid w:val="0"/>
              <w:spacing w:line="288" w:lineRule="auto"/>
              <w:rPr>
                <w:rFonts w:ascii="宋体" w:hAnsi="宋体"/>
                <w:sz w:val="20"/>
                <w:szCs w:val="20"/>
              </w:rPr>
            </w:pPr>
            <w:r>
              <w:rPr>
                <w:rFonts w:hint="eastAsia"/>
                <w:b/>
                <w:sz w:val="20"/>
                <w:szCs w:val="20"/>
              </w:rPr>
              <w:t>理解</w:t>
            </w:r>
            <w:r>
              <w:rPr>
                <w:rFonts w:hint="eastAsia"/>
                <w:sz w:val="20"/>
                <w:szCs w:val="20"/>
              </w:rPr>
              <w:t>文章作者写作的意图；</w:t>
            </w:r>
            <w:r>
              <w:rPr>
                <w:rFonts w:hint="eastAsia"/>
                <w:b/>
                <w:bCs/>
                <w:sz w:val="20"/>
                <w:szCs w:val="20"/>
              </w:rPr>
              <w:t>知道</w:t>
            </w:r>
            <w:r>
              <w:rPr>
                <w:rFonts w:hint="eastAsia"/>
                <w:sz w:val="20"/>
                <w:szCs w:val="20"/>
              </w:rPr>
              <w:t>餐饮文化的多样性，餐饮礼仪，健康的饮食；通过课文阅读</w:t>
            </w:r>
            <w:r>
              <w:rPr>
                <w:rFonts w:hint="eastAsia"/>
                <w:b/>
                <w:bCs/>
                <w:sz w:val="20"/>
                <w:szCs w:val="20"/>
              </w:rPr>
              <w:t>分析</w:t>
            </w:r>
            <w:r>
              <w:rPr>
                <w:rFonts w:hint="eastAsia"/>
                <w:sz w:val="20"/>
                <w:szCs w:val="20"/>
              </w:rPr>
              <w:t>与归纳反身代词的要素和用途，</w:t>
            </w:r>
            <w:r>
              <w:rPr>
                <w:rFonts w:hint="eastAsia"/>
                <w:bCs/>
                <w:sz w:val="20"/>
                <w:szCs w:val="20"/>
              </w:rPr>
              <w:t>现在时与过去时的多种用途。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sz w:val="20"/>
                <w:szCs w:val="20"/>
              </w:rPr>
            </w:pPr>
            <w:r>
              <w:rPr>
                <w:rFonts w:hint="eastAsia"/>
                <w:color w:val="000000"/>
                <w:sz w:val="20"/>
                <w:szCs w:val="20"/>
              </w:rPr>
              <w:t>文化视窗—高级德语教程第二单元：购买和消费</w:t>
            </w:r>
          </w:p>
        </w:tc>
        <w:tc>
          <w:tcPr>
            <w:tcW w:w="2841" w:type="dxa"/>
          </w:tcPr>
          <w:p>
            <w:pPr>
              <w:rPr>
                <w:rFonts w:ascii="Helvetica" w:hAnsi="Helvetica" w:cs="Helvetica"/>
                <w:bCs/>
                <w:sz w:val="20"/>
                <w:szCs w:val="20"/>
                <w:shd w:val="clear" w:color="auto" w:fill="FFFFFF"/>
                <w:lang w:val="de-DE"/>
              </w:rPr>
            </w:pPr>
            <w:r>
              <w:rPr>
                <w:rFonts w:hint="eastAsia" w:ascii="Helvetica" w:hAnsi="Helvetica" w:cs="Helvetica"/>
                <w:bCs/>
                <w:sz w:val="20"/>
                <w:szCs w:val="20"/>
                <w:shd w:val="clear" w:color="auto" w:fill="FFFFFF"/>
                <w:lang w:val="de-DE"/>
              </w:rPr>
              <w:t>第四课</w:t>
            </w:r>
            <w:r>
              <w:rPr>
                <w:rFonts w:hint="eastAsia" w:ascii="Helvetica" w:hAnsi="Helvetica" w:cs="Helvetica"/>
                <w:bCs/>
                <w:sz w:val="20"/>
                <w:szCs w:val="20"/>
                <w:shd w:val="clear" w:color="auto" w:fill="FFFFFF"/>
              </w:rPr>
              <w:t xml:space="preserve"> </w:t>
            </w:r>
            <w:r>
              <w:rPr>
                <w:rFonts w:hint="eastAsia" w:ascii="Helvetica" w:hAnsi="Helvetica" w:cs="Helvetica"/>
                <w:bCs/>
                <w:sz w:val="20"/>
                <w:szCs w:val="20"/>
                <w:shd w:val="clear" w:color="auto" w:fill="FFFFFF"/>
                <w:lang w:val="de-DE"/>
              </w:rPr>
              <w:t>消费者行为</w:t>
            </w:r>
          </w:p>
          <w:p>
            <w:pPr>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课文1有良知的消费</w:t>
            </w:r>
          </w:p>
          <w:p>
            <w:pPr>
              <w:rPr>
                <w:rFonts w:cs="Helvetica" w:asciiTheme="minorEastAsia" w:hAnsiTheme="minorEastAsia"/>
                <w:sz w:val="20"/>
                <w:szCs w:val="20"/>
                <w:shd w:val="clear" w:color="auto" w:fill="FFFFFF"/>
                <w:lang w:val="de-DE"/>
              </w:rPr>
            </w:pPr>
            <w:r>
              <w:rPr>
                <w:rFonts w:hint="eastAsia" w:cs="Helvetica" w:asciiTheme="minorEastAsia" w:hAnsiTheme="minorEastAsia"/>
                <w:sz w:val="20"/>
                <w:szCs w:val="20"/>
                <w:shd w:val="clear" w:color="auto" w:fill="FFFFFF"/>
                <w:lang w:val="de-DE"/>
              </w:rPr>
              <w:t>课文2  购物狂</w:t>
            </w:r>
          </w:p>
          <w:p>
            <w:pPr>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第五课  购物</w:t>
            </w:r>
          </w:p>
          <w:p>
            <w:pPr>
              <w:rPr>
                <w:rFonts w:cs="Helvetica" w:asciiTheme="minorEastAsia" w:hAnsiTheme="minorEastAsia"/>
                <w:sz w:val="20"/>
                <w:szCs w:val="20"/>
                <w:shd w:val="clear" w:color="auto" w:fill="FFFFFF"/>
                <w:lang w:val="de-DE"/>
              </w:rPr>
            </w:pPr>
            <w:r>
              <w:rPr>
                <w:rFonts w:hint="eastAsia" w:cs="Helvetica" w:asciiTheme="minorEastAsia" w:hAnsiTheme="minorEastAsia"/>
                <w:sz w:val="20"/>
                <w:szCs w:val="20"/>
                <w:shd w:val="clear" w:color="auto" w:fill="FFFFFF"/>
                <w:lang w:val="de-DE"/>
              </w:rPr>
              <w:t>课文1节约</w:t>
            </w:r>
          </w:p>
          <w:p>
            <w:pPr>
              <w:ind w:left="800" w:hanging="800" w:hangingChars="400"/>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课文2 纯粹的购物兴趣/单纯的购买欲望</w:t>
            </w:r>
          </w:p>
          <w:p>
            <w:pPr>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第六课  二手</w:t>
            </w:r>
          </w:p>
          <w:p>
            <w:pPr>
              <w:pStyle w:val="10"/>
              <w:ind w:firstLine="0" w:firstLineChars="0"/>
              <w:rPr>
                <w:rFonts w:ascii="Verdana" w:hAnsi="Verdana"/>
                <w:bCs/>
                <w:sz w:val="20"/>
                <w:szCs w:val="20"/>
                <w:shd w:val="clear" w:color="auto" w:fill="F2F6FA"/>
              </w:rPr>
            </w:pPr>
            <w:r>
              <w:rPr>
                <w:rFonts w:hint="eastAsia" w:cs="Helvetica" w:asciiTheme="minorEastAsia" w:hAnsiTheme="minorEastAsia"/>
                <w:bCs/>
                <w:sz w:val="20"/>
                <w:szCs w:val="20"/>
                <w:shd w:val="clear" w:color="auto" w:fill="FFFFFF"/>
                <w:lang w:val="de-DE"/>
              </w:rPr>
              <w:t xml:space="preserve">课文1 </w:t>
            </w:r>
            <w:r>
              <w:rPr>
                <w:rFonts w:ascii="Verdana" w:hAnsi="Verdana"/>
                <w:bCs/>
                <w:sz w:val="20"/>
                <w:szCs w:val="20"/>
              </w:rPr>
              <w:t>用眼睛去散步</w:t>
            </w:r>
          </w:p>
          <w:p>
            <w:pPr>
              <w:pStyle w:val="10"/>
              <w:ind w:firstLine="0" w:firstLineChars="0"/>
              <w:rPr>
                <w:rFonts w:hint="eastAsia"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课文2在跳蚤市场上的交易</w:t>
            </w:r>
          </w:p>
          <w:p>
            <w:pPr>
              <w:pStyle w:val="10"/>
              <w:ind w:firstLine="0" w:firstLineChars="0"/>
              <w:rPr>
                <w:rFonts w:hint="default" w:eastAsia="宋体" w:cs="Helvetica" w:asciiTheme="minorEastAsia" w:hAnsiTheme="minorEastAsia"/>
                <w:bCs/>
                <w:sz w:val="20"/>
                <w:szCs w:val="20"/>
                <w:shd w:val="clear" w:color="auto" w:fill="FFFFFF"/>
                <w:lang w:val="en-US" w:eastAsia="zh-CN"/>
              </w:rPr>
            </w:pPr>
            <w:r>
              <w:rPr>
                <w:rFonts w:hint="eastAsia" w:cs="Helvetica" w:asciiTheme="minorEastAsia" w:hAnsiTheme="minorEastAsia"/>
                <w:bCs/>
                <w:sz w:val="20"/>
                <w:szCs w:val="20"/>
                <w:shd w:val="clear" w:color="auto" w:fill="FFFFFF"/>
                <w:lang w:val="de-DE" w:eastAsia="zh-CN"/>
              </w:rPr>
              <w:t>第七课</w:t>
            </w:r>
            <w:r>
              <w:rPr>
                <w:rFonts w:hint="eastAsia" w:cs="Helvetica" w:asciiTheme="minorEastAsia" w:hAnsiTheme="minorEastAsia"/>
                <w:bCs/>
                <w:sz w:val="20"/>
                <w:szCs w:val="20"/>
                <w:shd w:val="clear" w:color="auto" w:fill="FFFFFF"/>
                <w:lang w:val="en-US" w:eastAsia="zh-CN"/>
              </w:rPr>
              <w:t xml:space="preserve"> </w:t>
            </w:r>
            <w:bookmarkStart w:id="1" w:name="_GoBack"/>
            <w:bookmarkEnd w:id="1"/>
          </w:p>
          <w:p>
            <w:pPr>
              <w:ind w:left="600" w:hanging="600" w:hangingChars="300"/>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语法：</w:t>
            </w:r>
          </w:p>
          <w:p>
            <w:pPr>
              <w:numPr>
                <w:ilvl w:val="0"/>
                <w:numId w:val="2"/>
              </w:numPr>
              <w:ind w:left="600" w:hanging="600" w:hangingChars="300"/>
              <w:jc w:val="left"/>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所以从文本语法的角度来看</w:t>
            </w:r>
          </w:p>
          <w:p>
            <w:pPr>
              <w:numPr>
                <w:ilvl w:val="0"/>
                <w:numId w:val="2"/>
              </w:numPr>
              <w:ind w:left="600" w:hanging="600" w:hangingChars="300"/>
              <w:jc w:val="left"/>
              <w:rPr>
                <w:rFonts w:ascii="Helvetica" w:hAnsi="Helvetica" w:cs="Helvetica"/>
                <w:bCs/>
                <w:sz w:val="20"/>
                <w:szCs w:val="20"/>
                <w:shd w:val="clear" w:color="auto" w:fill="FFFFFF"/>
              </w:rPr>
            </w:pPr>
            <w:r>
              <w:rPr>
                <w:rFonts w:hint="eastAsia" w:ascii="Helvetica" w:hAnsi="Helvetica" w:cs="Helvetica"/>
                <w:bCs/>
                <w:sz w:val="20"/>
                <w:szCs w:val="20"/>
                <w:shd w:val="clear" w:color="auto" w:fill="FFFFFF"/>
              </w:rPr>
              <w:t xml:space="preserve">从句1 由egal/ gleichgültig + mit ob oder Fragewort引入的从句 </w:t>
            </w:r>
          </w:p>
          <w:p>
            <w:pPr>
              <w:numPr>
                <w:ilvl w:val="0"/>
                <w:numId w:val="2"/>
              </w:numPr>
              <w:ind w:left="600" w:hanging="600" w:hangingChars="300"/>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从句</w:t>
            </w:r>
            <w:r>
              <w:rPr>
                <w:rFonts w:hint="eastAsia" w:cs="Helvetica" w:asciiTheme="minorEastAsia" w:hAnsiTheme="minorEastAsia"/>
                <w:bCs/>
                <w:sz w:val="20"/>
                <w:szCs w:val="20"/>
                <w:shd w:val="clear" w:color="auto" w:fill="FFFFFF"/>
              </w:rPr>
              <w:t>2 让步从句selbst wenn</w:t>
            </w:r>
          </w:p>
          <w:p>
            <w:pPr>
              <w:numPr>
                <w:ilvl w:val="0"/>
                <w:numId w:val="2"/>
              </w:numPr>
              <w:ind w:left="600" w:hanging="600" w:hangingChars="300"/>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lang w:val="de-DE"/>
              </w:rPr>
              <w:t>从句</w:t>
            </w:r>
            <w:r>
              <w:rPr>
                <w:rFonts w:hint="eastAsia" w:cs="Helvetica" w:asciiTheme="minorEastAsia" w:hAnsiTheme="minorEastAsia"/>
                <w:bCs/>
                <w:sz w:val="20"/>
                <w:szCs w:val="20"/>
                <w:shd w:val="clear" w:color="auto" w:fill="FFFFFF"/>
              </w:rPr>
              <w:t>3比较从句wie和als</w:t>
            </w:r>
          </w:p>
          <w:p>
            <w:pPr>
              <w:numPr>
                <w:ilvl w:val="0"/>
                <w:numId w:val="2"/>
              </w:numPr>
              <w:ind w:left="600" w:hanging="600" w:hangingChars="300"/>
              <w:rPr>
                <w:rFonts w:cs="Helvetica" w:asciiTheme="minorEastAsia" w:hAnsiTheme="minorEastAsia"/>
                <w:bCs/>
                <w:sz w:val="20"/>
                <w:szCs w:val="20"/>
                <w:shd w:val="clear" w:color="auto" w:fill="FFFFFF"/>
                <w:lang w:val="de-DE"/>
              </w:rPr>
            </w:pPr>
            <w:r>
              <w:rPr>
                <w:rFonts w:hint="eastAsia" w:cs="Helvetica" w:asciiTheme="minorEastAsia" w:hAnsiTheme="minorEastAsia"/>
                <w:bCs/>
                <w:sz w:val="20"/>
                <w:szCs w:val="20"/>
                <w:shd w:val="clear" w:color="auto" w:fill="FFFFFF"/>
              </w:rPr>
              <w:t>从句4从句的阶性</w:t>
            </w:r>
          </w:p>
          <w:p>
            <w:pPr>
              <w:snapToGrid w:val="0"/>
              <w:spacing w:line="288" w:lineRule="auto"/>
              <w:rPr>
                <w:rFonts w:ascii="宋体" w:hAnsi="宋体"/>
                <w:sz w:val="20"/>
                <w:szCs w:val="20"/>
              </w:rPr>
            </w:pPr>
          </w:p>
        </w:tc>
        <w:tc>
          <w:tcPr>
            <w:tcW w:w="2841" w:type="dxa"/>
          </w:tcPr>
          <w:p>
            <w:pPr>
              <w:snapToGrid w:val="0"/>
              <w:spacing w:line="288" w:lineRule="auto"/>
              <w:rPr>
                <w:rFonts w:ascii="宋体" w:hAnsi="宋体"/>
                <w:sz w:val="20"/>
                <w:szCs w:val="20"/>
              </w:rPr>
            </w:pPr>
            <w:r>
              <w:rPr>
                <w:rFonts w:hint="eastAsia"/>
                <w:b/>
                <w:sz w:val="20"/>
                <w:szCs w:val="20"/>
              </w:rPr>
              <w:t>理解</w:t>
            </w:r>
            <w:r>
              <w:rPr>
                <w:rFonts w:hint="eastAsia"/>
                <w:sz w:val="20"/>
                <w:szCs w:val="20"/>
              </w:rPr>
              <w:t>文章作者写作的意图；</w:t>
            </w:r>
            <w:r>
              <w:rPr>
                <w:rFonts w:hint="eastAsia"/>
                <w:b/>
                <w:bCs/>
                <w:sz w:val="20"/>
                <w:szCs w:val="20"/>
              </w:rPr>
              <w:t>知道</w:t>
            </w:r>
            <w:r>
              <w:rPr>
                <w:rFonts w:hint="eastAsia"/>
                <w:sz w:val="20"/>
                <w:szCs w:val="20"/>
              </w:rPr>
              <w:t>不同的消费理念，树立正确的消费观与勤俭节约的理念。</w:t>
            </w:r>
            <w:r>
              <w:rPr>
                <w:rFonts w:hint="eastAsia"/>
                <w:b/>
                <w:bCs/>
                <w:sz w:val="20"/>
                <w:szCs w:val="20"/>
              </w:rPr>
              <w:t>知道</w:t>
            </w:r>
            <w:r>
              <w:rPr>
                <w:rFonts w:hint="eastAsia"/>
                <w:sz w:val="20"/>
                <w:szCs w:val="20"/>
              </w:rPr>
              <w:t>二手市场及其交易。通过课文阅读</w:t>
            </w:r>
            <w:r>
              <w:rPr>
                <w:rFonts w:hint="eastAsia"/>
                <w:b/>
                <w:bCs/>
                <w:sz w:val="20"/>
                <w:szCs w:val="20"/>
              </w:rPr>
              <w:t>分析</w:t>
            </w:r>
            <w:r>
              <w:rPr>
                <w:rFonts w:hint="eastAsia"/>
                <w:sz w:val="20"/>
                <w:szCs w:val="20"/>
              </w:rPr>
              <w:t>与归纳</w:t>
            </w:r>
            <w:r>
              <w:rPr>
                <w:rFonts w:hint="eastAsia" w:cs="Helvetica" w:asciiTheme="minorEastAsia" w:hAnsiTheme="minorEastAsia"/>
                <w:bCs/>
                <w:sz w:val="20"/>
                <w:szCs w:val="20"/>
                <w:shd w:val="clear" w:color="auto" w:fill="FFFFFF"/>
                <w:lang w:val="de-DE"/>
              </w:rPr>
              <w:t>文本语法，</w:t>
            </w:r>
            <w:r>
              <w:rPr>
                <w:rFonts w:hint="eastAsia" w:cs="Helvetica" w:asciiTheme="minorEastAsia" w:hAnsiTheme="minorEastAsia"/>
                <w:b/>
                <w:sz w:val="20"/>
                <w:szCs w:val="20"/>
                <w:shd w:val="clear" w:color="auto" w:fill="FFFFFF"/>
                <w:lang w:val="de-DE"/>
              </w:rPr>
              <w:t>知道</w:t>
            </w:r>
            <w:r>
              <w:rPr>
                <w:rFonts w:hint="eastAsia" w:cs="Helvetica" w:asciiTheme="minorEastAsia" w:hAnsiTheme="minorEastAsia"/>
                <w:bCs/>
                <w:sz w:val="20"/>
                <w:szCs w:val="20"/>
                <w:shd w:val="clear" w:color="auto" w:fill="FFFFFF"/>
                <w:lang w:val="de-DE"/>
              </w:rPr>
              <w:t>不同的从句及</w:t>
            </w:r>
            <w:r>
              <w:rPr>
                <w:rFonts w:hint="eastAsia" w:cs="Helvetica" w:asciiTheme="minorEastAsia" w:hAnsiTheme="minorEastAsia"/>
                <w:b/>
                <w:sz w:val="20"/>
                <w:szCs w:val="20"/>
                <w:shd w:val="clear" w:color="auto" w:fill="FFFFFF"/>
                <w:lang w:val="de-DE"/>
              </w:rPr>
              <w:t>分析</w:t>
            </w:r>
            <w:r>
              <w:rPr>
                <w:rFonts w:hint="eastAsia" w:cs="Helvetica" w:asciiTheme="minorEastAsia" w:hAnsiTheme="minorEastAsia"/>
                <w:bCs/>
                <w:sz w:val="20"/>
                <w:szCs w:val="20"/>
                <w:shd w:val="clear" w:color="auto" w:fill="FFFFFF"/>
                <w:lang w:val="de-DE"/>
              </w:rPr>
              <w:t>与</w:t>
            </w:r>
            <w:r>
              <w:rPr>
                <w:rFonts w:hint="eastAsia"/>
                <w:sz w:val="20"/>
                <w:szCs w:val="20"/>
              </w:rPr>
              <w:t>归纳</w:t>
            </w:r>
            <w:r>
              <w:rPr>
                <w:rFonts w:hint="eastAsia" w:cs="Helvetica" w:asciiTheme="minorEastAsia" w:hAnsiTheme="minorEastAsia"/>
                <w:bCs/>
                <w:sz w:val="20"/>
                <w:szCs w:val="20"/>
                <w:shd w:val="clear" w:color="auto" w:fill="FFFFFF"/>
                <w:lang w:val="de-DE"/>
              </w:rPr>
              <w:t>从句的不同阶性。并能灵活</w:t>
            </w:r>
            <w:r>
              <w:rPr>
                <w:rFonts w:hint="eastAsia" w:cs="Helvetica" w:asciiTheme="minorEastAsia" w:hAnsiTheme="minorEastAsia"/>
                <w:b/>
                <w:sz w:val="20"/>
                <w:szCs w:val="20"/>
                <w:shd w:val="clear" w:color="auto" w:fill="FFFFFF"/>
                <w:lang w:val="de-DE"/>
              </w:rPr>
              <w:t>运用</w:t>
            </w:r>
            <w:r>
              <w:rPr>
                <w:rFonts w:hint="eastAsia" w:cs="Helvetica" w:asciiTheme="minorEastAsia" w:hAnsiTheme="minorEastAsia"/>
                <w:bCs/>
                <w:sz w:val="20"/>
                <w:szCs w:val="20"/>
                <w:shd w:val="clear" w:color="auto" w:fill="FFFFFF"/>
                <w:lang w:val="de-DE"/>
              </w:rPr>
              <w:t>。</w:t>
            </w:r>
          </w:p>
        </w:tc>
      </w:tr>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highlight w:val="yellow"/>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highlight w:val="yellow"/>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rPr>
              <w:t>期终闭卷考</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highlight w:val="yellow"/>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 w:val="20"/>
                <w:szCs w:val="20"/>
              </w:rPr>
              <w:t>课堂测验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highlight w:val="yellow"/>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 w:val="20"/>
                <w:szCs w:val="20"/>
              </w:rPr>
              <w:t>课堂测验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highlight w:val="yellow"/>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cs="宋体"/>
                <w:sz w:val="20"/>
                <w:szCs w:val="20"/>
                <w:shd w:val="clear" w:color="auto" w:fill="FFFFFF"/>
                <w:lang w:bidi="ar"/>
              </w:rPr>
              <w:t>课堂小组实践</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七、评价方式与成绩</w:t>
      </w:r>
    </w:p>
    <w:p>
      <w:pPr>
        <w:widowControl/>
        <w:spacing w:before="156" w:beforeLines="50" w:after="156" w:afterLines="50" w:line="288" w:lineRule="auto"/>
        <w:jc w:val="left"/>
        <w:rPr>
          <w:rFonts w:ascii="黑体" w:hAnsi="宋体" w:eastAsia="黑体"/>
          <w:sz w:val="24"/>
        </w:rPr>
      </w:pP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highlight w:val="yellow"/>
        </w:rPr>
        <w:t>一般课外扩展阅读的检查评价应该成为“X”中的一部分。</w:t>
      </w:r>
    </w:p>
    <w:p>
      <w:pPr>
        <w:snapToGrid w:val="0"/>
        <w:spacing w:before="120" w:after="120" w:line="288" w:lineRule="auto"/>
        <w:ind w:firstLine="400" w:firstLineChars="200"/>
        <w:rPr>
          <w:rFonts w:ascii="宋体" w:hAnsi="宋体"/>
          <w:sz w:val="20"/>
          <w:szCs w:val="20"/>
          <w:highlight w:val="yellow"/>
        </w:rPr>
      </w:pPr>
      <w:r>
        <w:rPr>
          <w:rFonts w:hint="eastAsia" w:ascii="宋体" w:hAnsi="宋体"/>
          <w:sz w:val="20"/>
          <w:szCs w:val="20"/>
          <w:highlight w:val="yellow"/>
        </w:rPr>
        <w:t>同一门课程由多个教师共同授课的，由课程组共同讨论决定X的内容、次数及比例。</w:t>
      </w:r>
    </w:p>
    <w:p>
      <w:pPr>
        <w:snapToGrid w:val="0"/>
        <w:spacing w:line="288" w:lineRule="auto"/>
        <w:ind w:firstLine="560" w:firstLineChars="200"/>
        <w:rPr>
          <w:sz w:val="28"/>
          <w:szCs w:val="28"/>
        </w:rPr>
      </w:pPr>
      <w:r>
        <w:rPr>
          <w:rFonts w:hint="eastAsia"/>
          <w:sz w:val="28"/>
          <w:szCs w:val="28"/>
        </w:rPr>
        <w:t>撰写人：刘顺生          系主任审核签名：刘顺生</w:t>
      </w:r>
    </w:p>
    <w:p>
      <w:pPr>
        <w:snapToGrid w:val="0"/>
        <w:spacing w:line="288" w:lineRule="auto"/>
        <w:ind w:firstLine="840" w:firstLineChars="300"/>
        <w:rPr>
          <w:sz w:val="28"/>
          <w:szCs w:val="28"/>
        </w:rPr>
      </w:pPr>
      <w:r>
        <w:rPr>
          <w:rFonts w:hint="eastAsia"/>
          <w:sz w:val="28"/>
          <w:szCs w:val="28"/>
        </w:rPr>
        <w:t xml:space="preserve">审核时间：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altName w:val="MT Extra"/>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altName w:val="Tahoma"/>
    <w:panose1 w:val="020B0604030504040204"/>
    <w:charset w:val="00"/>
    <w:family w:val="swiss"/>
    <w:pitch w:val="default"/>
    <w:sig w:usb0="00000000" w:usb1="00000000" w:usb2="00000010" w:usb3="00000000" w:csb0="0000019F" w:csb1="00000000"/>
  </w:font>
  <w:font w:name="MT Extra">
    <w:panose1 w:val="05050102010205020202"/>
    <w:charset w:val="00"/>
    <w:family w:val="auto"/>
    <w:pitch w:val="default"/>
    <w:sig w:usb0="8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589DC"/>
    <w:multiLevelType w:val="singleLevel"/>
    <w:tmpl w:val="62F589DC"/>
    <w:lvl w:ilvl="0" w:tentative="0">
      <w:start w:val="1"/>
      <w:numFmt w:val="decimal"/>
      <w:suff w:val="space"/>
      <w:lvlText w:val="%1."/>
      <w:lvlJc w:val="left"/>
    </w:lvl>
  </w:abstractNum>
  <w:abstractNum w:abstractNumId="1">
    <w:nsid w:val="73EC8960"/>
    <w:multiLevelType w:val="singleLevel"/>
    <w:tmpl w:val="73EC8960"/>
    <w:lvl w:ilvl="0" w:tentative="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671"/>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29A3"/>
    <w:rsid w:val="00F35AA0"/>
    <w:rsid w:val="00FE7D2E"/>
    <w:rsid w:val="016E63C2"/>
    <w:rsid w:val="024B0C39"/>
    <w:rsid w:val="03BD0F03"/>
    <w:rsid w:val="0A8128A6"/>
    <w:rsid w:val="0BF32A1B"/>
    <w:rsid w:val="10BD2C22"/>
    <w:rsid w:val="161429BC"/>
    <w:rsid w:val="18362A53"/>
    <w:rsid w:val="1AD80301"/>
    <w:rsid w:val="22987C80"/>
    <w:rsid w:val="24192CCC"/>
    <w:rsid w:val="2779227D"/>
    <w:rsid w:val="39A66CD4"/>
    <w:rsid w:val="3CD52CE1"/>
    <w:rsid w:val="410F2E6A"/>
    <w:rsid w:val="4430136C"/>
    <w:rsid w:val="44F23F0C"/>
    <w:rsid w:val="48433AD2"/>
    <w:rsid w:val="4AB0382B"/>
    <w:rsid w:val="54E72B03"/>
    <w:rsid w:val="569868B5"/>
    <w:rsid w:val="5AE558E1"/>
    <w:rsid w:val="611F6817"/>
    <w:rsid w:val="66CA1754"/>
    <w:rsid w:val="6885135B"/>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381</Words>
  <Characters>2173</Characters>
  <Lines>18</Lines>
  <Paragraphs>5</Paragraphs>
  <TotalTime>11</TotalTime>
  <ScaleCrop>false</ScaleCrop>
  <LinksUpToDate>false</LinksUpToDate>
  <CharactersWithSpaces>2549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刘顺生</cp:lastModifiedBy>
  <dcterms:modified xsi:type="dcterms:W3CDTF">2020-09-12T08:33:52Z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