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cs="Times New Roman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DKIUPXAAAACAEAAA8AAAAAAAAAAQAg&#10;AAAAIgAAAGRycy9kb3ducmV2LnhtbFBLAQIUABQAAAAIAIdO4kB2/pjIDwIAAPAD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/>
          <w:b/>
          <w:bCs/>
          <w:sz w:val="28"/>
          <w:szCs w:val="28"/>
          <w:lang w:eastAsia="zh-CN"/>
        </w:rPr>
        <w:t>【</w:t>
      </w:r>
      <w:r>
        <w:rPr>
          <w:rFonts w:hint="eastAsia" w:cs="宋体"/>
          <w:b/>
          <w:bCs/>
          <w:sz w:val="28"/>
          <w:szCs w:val="28"/>
        </w:rPr>
        <w:t>外贸日语函电</w:t>
      </w:r>
      <w:r>
        <w:rPr>
          <w:rFonts w:hint="eastAsia" w:cs="宋体"/>
          <w:b/>
          <w:bCs/>
          <w:sz w:val="28"/>
          <w:szCs w:val="28"/>
          <w:lang w:eastAsia="zh-CN"/>
        </w:rPr>
        <w:t>】</w:t>
      </w:r>
    </w:p>
    <w:p>
      <w:pPr>
        <w:spacing w:before="156" w:beforeLines="50" w:after="156" w:afterLines="50" w:line="288" w:lineRule="auto"/>
        <w:ind w:firstLine="422" w:firstLineChars="1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【</w:t>
      </w:r>
      <w:r>
        <w:rPr>
          <w:b/>
          <w:bCs/>
          <w:sz w:val="28"/>
          <w:szCs w:val="28"/>
        </w:rPr>
        <w:t>Japanese Trade Telegram</w:t>
      </w:r>
      <w:r>
        <w:rPr>
          <w:rFonts w:hint="eastAsia"/>
          <w:b/>
          <w:bCs/>
          <w:sz w:val="28"/>
          <w:szCs w:val="28"/>
          <w:lang w:eastAsia="zh-CN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sz w:val="20"/>
          <w:szCs w:val="20"/>
        </w:rPr>
        <w:t>2020103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sz w:val="20"/>
          <w:szCs w:val="20"/>
        </w:rPr>
        <w:t>2</w:t>
      </w:r>
    </w:p>
    <w:p>
      <w:pPr>
        <w:snapToGrid w:val="0"/>
        <w:spacing w:line="288" w:lineRule="auto"/>
        <w:ind w:firstLine="394" w:firstLineChars="196"/>
        <w:rPr>
          <w:rFonts w:cs="Times New Roman"/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rFonts w:hint="eastAsia" w:cs="宋体"/>
          <w:sz w:val="20"/>
          <w:szCs w:val="20"/>
        </w:rPr>
        <w:t>日语专业本科</w:t>
      </w:r>
    </w:p>
    <w:p>
      <w:pPr>
        <w:snapToGrid w:val="0"/>
        <w:spacing w:line="288" w:lineRule="auto"/>
        <w:ind w:firstLine="394" w:firstLineChars="196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rFonts w:hint="eastAsia" w:cs="宋体"/>
          <w:sz w:val="20"/>
          <w:szCs w:val="20"/>
        </w:rPr>
        <w:t>系</w:t>
      </w:r>
      <w:r>
        <w:rPr>
          <w:rFonts w:hint="eastAsia" w:cs="宋体"/>
          <w:color w:val="000000"/>
          <w:sz w:val="20"/>
          <w:szCs w:val="20"/>
        </w:rPr>
        <w:t>定课程专业选修课</w:t>
      </w:r>
    </w:p>
    <w:p>
      <w:pPr>
        <w:adjustRightInd w:val="0"/>
        <w:snapToGrid w:val="0"/>
        <w:spacing w:line="300" w:lineRule="auto"/>
        <w:ind w:firstLine="394" w:firstLineChars="196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课程类型</w:t>
      </w:r>
      <w:r>
        <w:rPr>
          <w:rFonts w:hint="eastAsia" w:cs="宋体"/>
          <w:sz w:val="20"/>
          <w:szCs w:val="20"/>
        </w:rPr>
        <w:t>：理论教学课</w:t>
      </w:r>
    </w:p>
    <w:p>
      <w:pPr>
        <w:snapToGrid w:val="0"/>
        <w:spacing w:line="288" w:lineRule="auto"/>
        <w:ind w:firstLine="394" w:firstLineChars="196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开课院系：</w:t>
      </w:r>
      <w:r>
        <w:rPr>
          <w:rFonts w:hint="eastAsia" w:cs="宋体"/>
          <w:sz w:val="20"/>
          <w:szCs w:val="20"/>
        </w:rPr>
        <w:t>外国语学院</w:t>
      </w:r>
    </w:p>
    <w:p>
      <w:pPr>
        <w:snapToGrid w:val="0"/>
        <w:spacing w:line="288" w:lineRule="auto"/>
        <w:ind w:left="1437" w:leftChars="187" w:hanging="1044" w:hangingChars="520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使用教材：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主教材：《</w:t>
      </w:r>
      <w:r>
        <w:rPr>
          <w:rFonts w:hint="eastAsia" w:ascii="宋体" w:hAnsi="宋体" w:cs="宋体"/>
          <w:color w:val="000000"/>
          <w:sz w:val="20"/>
          <w:szCs w:val="20"/>
        </w:rPr>
        <w:t>新编国际商务日语写作</w:t>
      </w:r>
      <w:r>
        <w:rPr>
          <w:rFonts w:hint="eastAsia" w:ascii="宋体" w:hAnsi="宋体" w:cs="宋体"/>
          <w:kern w:val="0"/>
          <w:sz w:val="20"/>
          <w:szCs w:val="20"/>
        </w:rPr>
        <w:t>》，刘肖云、龚辰编著；南开大学出版社，</w:t>
      </w:r>
      <w:r>
        <w:rPr>
          <w:rFonts w:ascii="宋体" w:hAnsi="宋体" w:cs="宋体"/>
          <w:kern w:val="0"/>
          <w:sz w:val="20"/>
          <w:szCs w:val="20"/>
        </w:rPr>
        <w:t xml:space="preserve">2015.4  </w:t>
      </w:r>
      <w:r>
        <w:rPr>
          <w:rFonts w:hint="eastAsia" w:cs="宋体"/>
          <w:sz w:val="20"/>
          <w:szCs w:val="20"/>
        </w:rPr>
        <w:t>辅助教材：《日语外贸函电》，陈世华、任犹龙主编；天津大</w:t>
      </w:r>
      <w:r>
        <w:rPr>
          <w:rFonts w:hint="eastAsia" w:ascii="宋体" w:hAnsi="宋体" w:cs="宋体"/>
          <w:sz w:val="20"/>
          <w:szCs w:val="20"/>
        </w:rPr>
        <w:t>学出版社，</w:t>
      </w:r>
      <w:r>
        <w:rPr>
          <w:rFonts w:ascii="宋体" w:hAnsi="宋体" w:cs="宋体"/>
          <w:sz w:val="20"/>
          <w:szCs w:val="20"/>
        </w:rPr>
        <w:t>2010.1</w:t>
      </w:r>
    </w:p>
    <w:p>
      <w:pPr>
        <w:snapToGrid w:val="0"/>
        <w:spacing w:line="288" w:lineRule="auto"/>
        <w:ind w:firstLine="1440" w:firstLineChars="720"/>
        <w:rPr>
          <w:rFonts w:ascii="宋体"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参考教材：《</w:t>
      </w:r>
      <w:r>
        <w:rPr>
          <w:rFonts w:hint="eastAsia" w:ascii="宋体" w:hAnsi="宋体" w:cs="宋体"/>
          <w:sz w:val="20"/>
          <w:szCs w:val="20"/>
        </w:rPr>
        <w:t>外贸日语函电》，刘金举主编；北京语言大学出版社，</w:t>
      </w:r>
      <w:r>
        <w:rPr>
          <w:rFonts w:ascii="宋体" w:hAnsi="宋体" w:cs="宋体"/>
          <w:sz w:val="20"/>
          <w:szCs w:val="20"/>
        </w:rPr>
        <w:t>2007.3</w:t>
      </w:r>
    </w:p>
    <w:p>
      <w:pPr>
        <w:snapToGrid w:val="0"/>
        <w:spacing w:line="288" w:lineRule="auto"/>
        <w:ind w:left="1416" w:leftChars="196" w:hanging="1004" w:hangingChars="500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rFonts w:hint="eastAsia" w:cs="宋体"/>
          <w:sz w:val="20"/>
          <w:szCs w:val="20"/>
        </w:rPr>
        <w:t>《基础日语》（</w:t>
      </w:r>
      <w:r>
        <w:rPr>
          <w:sz w:val="20"/>
          <w:szCs w:val="20"/>
        </w:rPr>
        <w:t>5</w:t>
      </w:r>
      <w:r>
        <w:rPr>
          <w:rFonts w:hint="eastAsia" w:cs="宋体"/>
          <w:sz w:val="20"/>
          <w:szCs w:val="20"/>
        </w:rPr>
        <w:t>）</w:t>
      </w:r>
      <w:r>
        <w:rPr>
          <w:sz w:val="20"/>
          <w:szCs w:val="20"/>
        </w:rPr>
        <w:t>2020056(8)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cs="Times New Roman"/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widowControl/>
        <w:ind w:firstLine="300" w:firstLineChars="150"/>
        <w:jc w:val="left"/>
        <w:rPr>
          <w:rFonts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《外贸日语函电》是日语学科专业选修课程。当今时代，中国经济国际化程度越来越高，对外贸易的比重越来越大，对于商务专业人才的需求也与日俱增。本课程针对上述需求，结合学校教育的特点，以商务日语实务训练为目的，培养具备商务日语的应用能力的人才。</w:t>
      </w:r>
    </w:p>
    <w:p>
      <w:pPr>
        <w:widowControl/>
        <w:ind w:firstLine="300" w:firstLineChars="150"/>
        <w:jc w:val="left"/>
        <w:rPr>
          <w:rFonts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在教学过程中，力求使学生能够运用所学的日语，进行书面沟通和交流。培养学生娴熟而不失礼仪地和对方进行商务文件交流的能力。课程从商务实践出发，使学生熟悉掌握对日贸易的基本流程和专业术语，能够用日语书写各类外贸函电、文书，训练学生从日语角度来考虑基本的商务问题，养成用日语思维的习惯，从而使学生初步具备对日贸易工作的基本能力。当然，一个合格的外贸工作人员，除了在学校要掌握扎实的理论基础知识外，更重要的是在业务实践中，不断地锻炼提高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</w:t>
      </w:r>
    </w:p>
    <w:p>
      <w:pPr>
        <w:ind w:firstLine="400" w:firstLineChars="200"/>
        <w:rPr>
          <w:rFonts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本课程适合日语专业本科第</w:t>
      </w:r>
      <w:r>
        <w:rPr>
          <w:rFonts w:hint="eastAsia" w:cs="宋体" w:eastAsiaTheme="minorEastAsia"/>
          <w:sz w:val="20"/>
          <w:szCs w:val="20"/>
          <w:lang w:val="en-GB"/>
        </w:rPr>
        <w:t>五</w:t>
      </w:r>
      <w:r>
        <w:rPr>
          <w:rFonts w:hint="eastAsia" w:cs="宋体"/>
          <w:sz w:val="20"/>
          <w:szCs w:val="20"/>
        </w:rPr>
        <w:t>学期学习。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四、课程与专业毕业要求的关联性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 w:cs="宋体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 w:cs="宋体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 w:cs="宋体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 w:cs="宋体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 w:cs="宋体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 w:cs="宋体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 w:cs="宋体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 w:cs="宋体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 w:cs="宋体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 w:cs="宋体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 w:cs="宋体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 w:cs="宋体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 w:cs="宋体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 w:cs="宋体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 w:cs="宋体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 w:cs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 w:cs="宋体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cs="宋体"/>
        </w:rPr>
        <w:t>备注：</w:t>
      </w:r>
      <w:r>
        <w:t>LO=learning outcomes</w:t>
      </w:r>
      <w:r>
        <w:rPr>
          <w:rFonts w:hint="eastAsia" w:cs="宋体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L0314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了解商务日语写作的基础知识，摆脱汉语的思维方式，用日语进行表达，具备必要的商务应用文写作技能。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教师讲授商务文件的基本格式，书写要点；通过阅读多篇例文，要求学生掌握写作格式。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LO341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教师讲授外贸相关知识，结合课本的各类商务信函、文件，让学生实际操练写法。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LO342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能够使用日语语言处理商务活动中的常规业务，能用中日文双语撰写公司内外部文书。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教师讲授商务文件的基本格式，书写要点；通过阅读多篇例文，要求学生掌握写作格式。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LO713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奉献社会：具有服务企业、服务社会的意愿和行为能力。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通过课上知识点的讲解和课后作业的实际操练，使学生具备书写商务文书的能力，能够服务于企业与社会。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宋体" w:cs="Times New Roman"/>
          <w:sz w:val="20"/>
          <w:szCs w:val="20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00" w:firstLineChars="200"/>
        <w:rPr>
          <w:rFonts w:ascii="宋体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本学期内容共分为四个部分：商务文件的写作基础（导入部分）、社内文件（第一课</w:t>
      </w:r>
      <w:r>
        <w:rPr>
          <w:rFonts w:ascii="宋体" w:hAnsi="宋体" w:cs="宋体"/>
          <w:sz w:val="20"/>
          <w:szCs w:val="20"/>
        </w:rPr>
        <w:t>—</w:t>
      </w:r>
      <w:r>
        <w:rPr>
          <w:rFonts w:hint="eastAsia" w:ascii="宋体" w:hAnsi="宋体" w:cs="宋体"/>
          <w:sz w:val="20"/>
          <w:szCs w:val="20"/>
        </w:rPr>
        <w:t>第五课）、社外（第六课</w:t>
      </w:r>
      <w:r>
        <w:rPr>
          <w:rFonts w:ascii="宋体" w:hAnsi="宋体" w:cs="宋体"/>
          <w:sz w:val="20"/>
          <w:szCs w:val="20"/>
        </w:rPr>
        <w:t>—</w:t>
      </w:r>
      <w:r>
        <w:rPr>
          <w:rFonts w:hint="eastAsia" w:ascii="宋体" w:hAnsi="宋体" w:cs="宋体"/>
          <w:sz w:val="20"/>
          <w:szCs w:val="20"/>
        </w:rPr>
        <w:t>第十课）、其他（第十一课</w:t>
      </w:r>
      <w:r>
        <w:rPr>
          <w:rFonts w:ascii="宋体" w:hAnsi="宋体" w:cs="宋体"/>
          <w:sz w:val="20"/>
          <w:szCs w:val="20"/>
        </w:rPr>
        <w:t>—</w:t>
      </w:r>
      <w:r>
        <w:rPr>
          <w:rFonts w:hint="eastAsia" w:ascii="宋体" w:hAnsi="宋体" w:cs="宋体"/>
          <w:sz w:val="20"/>
          <w:szCs w:val="20"/>
        </w:rPr>
        <w:t>第十四课）。每周一课，共</w:t>
      </w:r>
      <w:r>
        <w:rPr>
          <w:rFonts w:ascii="宋体" w:hAnsi="宋体" w:cs="宋体"/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学时。每周的具体内容由</w:t>
      </w:r>
      <w:r>
        <w:rPr>
          <w:rFonts w:ascii="宋体" w:hAnsi="宋体" w:cs="宋体"/>
          <w:sz w:val="20"/>
          <w:szCs w:val="20"/>
        </w:rPr>
        <w:t>5-6</w:t>
      </w:r>
      <w:r>
        <w:rPr>
          <w:rFonts w:hint="eastAsia" w:ascii="宋体" w:hAnsi="宋体" w:cs="宋体"/>
          <w:sz w:val="20"/>
          <w:szCs w:val="20"/>
        </w:rPr>
        <w:t>篇例文及练习部分构成，每篇例文又由写法要点、相关语句和练习组成。</w:t>
      </w:r>
    </w:p>
    <w:p>
      <w:pPr>
        <w:snapToGrid w:val="0"/>
        <w:spacing w:line="288" w:lineRule="auto"/>
        <w:ind w:firstLine="400" w:firstLineChars="200"/>
        <w:rPr>
          <w:rFonts w:cs="Times New Roman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cs="Times New Roman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cs="Times New Roman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cs="Times New Roman"/>
          <w:sz w:val="20"/>
          <w:szCs w:val="20"/>
        </w:rPr>
      </w:pPr>
    </w:p>
    <w:tbl>
      <w:tblPr>
        <w:tblStyle w:val="5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325"/>
        <w:gridCol w:w="384"/>
        <w:gridCol w:w="992"/>
        <w:gridCol w:w="2126"/>
        <w:gridCol w:w="4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</w:rPr>
              <w:t>掌握日语商务公文的种类，写作规则与技巧，社内文件和社外文件的基本格式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·了解商务公文的在企业信息交换中的必要性和商务公文的种类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掌握日语商务公文的写作规则和技巧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·掌握日语</w:t>
            </w:r>
            <w:r>
              <w:rPr>
                <w:rFonts w:hint="eastAsia" w:cs="宋体"/>
              </w:rPr>
              <w:t>社内文件和社外文件的基本格式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·能够掌握商务公文的写作规则和通用写作技巧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能够掌握日语</w:t>
            </w:r>
            <w:r>
              <w:rPr>
                <w:rFonts w:hint="eastAsia" w:cs="宋体"/>
              </w:rPr>
              <w:t>社内文件和社外文件的基本格式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·日语</w:t>
            </w:r>
            <w:r>
              <w:rPr>
                <w:rFonts w:hint="eastAsia" w:cs="宋体"/>
              </w:rPr>
              <w:t>社内文件和社外文件的基本写作格式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开头语、结束语、前文、末文的常见搭配语句和日语惯用表现。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掌握公司内部文书的基本格式和写作技巧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了解公司内部文书的种类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掌握不同公司内部文书的写作要领和书写格式</w:t>
            </w: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·掌握</w:t>
            </w:r>
            <w:r>
              <w:rPr>
                <w:rFonts w:hint="eastAsia" w:ascii="宋体" w:hAnsi="宋体" w:cs="宋体"/>
                <w:color w:val="000000"/>
              </w:rPr>
              <w:t>公司内部文书的种类，并能够区分不同文书应用的场景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掌握不同公司内部文书的写作要领和书写格式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·在不同场景下能够正确选择对应的文书种类，并能够掌握其</w:t>
            </w:r>
            <w:r>
              <w:rPr>
                <w:rFonts w:hint="eastAsia" w:ascii="宋体" w:hAnsi="宋体" w:cs="宋体"/>
                <w:color w:val="000000"/>
              </w:rPr>
              <w:t>写作要领和书写格式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掌握公司外部文书的基本格式和写作技巧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了解公司外部文书的种类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掌握不同公司外部文书的写作要领和书写格式</w:t>
            </w: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掌握</w:t>
            </w:r>
            <w:r>
              <w:rPr>
                <w:rFonts w:hint="eastAsia" w:ascii="宋体" w:hAnsi="宋体" w:cs="宋体"/>
                <w:color w:val="000000"/>
              </w:rPr>
              <w:t>公司外部文书的种类，并能够区分不同文书应用的场景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掌握不同公司外部文书的写作要领和书写格式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·在不同场景下能够正确选择对应的文书种类，并能够掌握其</w:t>
            </w:r>
            <w:r>
              <w:rPr>
                <w:rFonts w:hint="eastAsia" w:ascii="宋体" w:hAnsi="宋体" w:cs="宋体"/>
                <w:color w:val="000000"/>
              </w:rPr>
              <w:t>写作要领和书写格式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掌握企业中其他常见文书的写作格式和书写技巧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·了解法律相关文件的基本格式</w:t>
            </w:r>
          </w:p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·了解广告宣传文件的基本格式，并能够制作简单的广告宣传页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掌握履历书和自荐信的写作格式和写作技巧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掌握电子邮件的书写规则</w:t>
            </w:r>
          </w:p>
          <w:p>
            <w:pPr>
              <w:rPr>
                <w:rFonts w:ascii="宋体" w:cs="Times New Roman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能够制作简单的广告宣传页</w:t>
            </w:r>
          </w:p>
          <w:p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能够撰写履历书和自荐信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能够掌握企业电子邮件的书写规则和发送规则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</w:p>
          <w:p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</w:rPr>
              <w:t>履历书和自荐信的正确撰写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>企业电子邮件的书写和发送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</w:tr>
    </w:tbl>
    <w:p>
      <w:pPr>
        <w:snapToGrid w:val="0"/>
        <w:spacing w:line="288" w:lineRule="auto"/>
        <w:ind w:right="26"/>
        <w:rPr>
          <w:rFonts w:cs="Times New Roman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</w:t>
      </w:r>
    </w:p>
    <w:tbl>
      <w:tblPr>
        <w:tblStyle w:val="5"/>
        <w:tblW w:w="9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417"/>
        <w:gridCol w:w="2977"/>
        <w:gridCol w:w="992"/>
        <w:gridCol w:w="127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实验类型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1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节日等问候信函的</w:t>
            </w:r>
            <w:r>
              <w:rPr>
                <w:rFonts w:hint="eastAsia" w:ascii="宋体" w:cs="宋体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进行商务场景中礼仪问候的写作练习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2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产品介绍等广告宣传文件</w:t>
            </w:r>
            <w:r>
              <w:rPr>
                <w:rFonts w:hint="eastAsia" w:ascii="宋体" w:cs="宋体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sz w:val="20"/>
                <w:szCs w:val="20"/>
              </w:rPr>
              <w:t>产品介绍等广告宣传</w:t>
            </w:r>
            <w:r>
              <w:rPr>
                <w:rFonts w:hint="eastAsia" w:ascii="宋体" w:cs="宋体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3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履历书和自荐信的写作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sz w:val="20"/>
                <w:szCs w:val="20"/>
              </w:rPr>
              <w:t>个人简历和自荐信</w:t>
            </w:r>
            <w:r>
              <w:rPr>
                <w:rFonts w:hint="eastAsia" w:ascii="宋体" w:cs="宋体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val="en-GB"/>
              </w:rPr>
              <w:t>电子邮件的</w:t>
            </w:r>
            <w:r>
              <w:rPr>
                <w:rFonts w:hint="eastAsia" w:ascii="宋体" w:hAnsi="宋体" w:cs="宋体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sz w:val="20"/>
                <w:szCs w:val="20"/>
              </w:rPr>
              <w:t>公司内外部文书的电子邮件</w:t>
            </w:r>
            <w:r>
              <w:rPr>
                <w:rFonts w:hint="eastAsia" w:ascii="宋体" w:cs="宋体"/>
                <w:sz w:val="20"/>
                <w:szCs w:val="20"/>
              </w:rPr>
              <w:t>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</w:p>
    <w:p>
      <w:pPr>
        <w:snapToGrid w:val="0"/>
        <w:spacing w:line="288" w:lineRule="auto"/>
        <w:ind w:right="2520"/>
        <w:rPr>
          <w:rFonts w:ascii="黑体" w:hAnsi="宋体" w:eastAsia="黑体" w:cs="黑体"/>
          <w:sz w:val="24"/>
          <w:szCs w:val="24"/>
        </w:rPr>
      </w:pPr>
    </w:p>
    <w:tbl>
      <w:tblPr>
        <w:tblStyle w:val="5"/>
        <w:tblpPr w:leftFromText="180" w:rightFromText="180" w:vertAnchor="text" w:horzAnchor="page" w:tblpX="2109" w:tblpY="1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期终闭卷考试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 w:eastAsiaTheme="minorEastAsia"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随堂过程性考试1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随堂过程性考试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随堂过程性考试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3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 w:cs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 w:cs="Times New Roman"/>
          <w:sz w:val="24"/>
          <w:szCs w:val="24"/>
        </w:rPr>
      </w:pPr>
    </w:p>
    <w:p>
      <w:pPr>
        <w:snapToGrid w:val="0"/>
        <w:spacing w:line="288" w:lineRule="auto"/>
        <w:ind w:left="0" w:leftChars="0" w:firstLine="0" w:firstLineChars="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撰写人：</w:t>
      </w:r>
      <w:r>
        <w:rPr>
          <w:rFonts w:cs="宋体"/>
          <w:sz w:val="28"/>
          <w:szCs w:val="28"/>
        </w:rPr>
        <w:drawing>
          <wp:inline distT="0" distB="0" distL="114300" distR="114300">
            <wp:extent cx="758190" cy="323850"/>
            <wp:effectExtent l="0" t="0" r="3810" b="6350"/>
            <wp:docPr id="2" name="图片 2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魏嘉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/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系主任审核签名：</w:t>
      </w:r>
      <w:bookmarkStart w:id="0" w:name="_GoBack"/>
      <w:r>
        <w:drawing>
          <wp:inline distT="0" distB="0" distL="0" distR="0">
            <wp:extent cx="758190" cy="271145"/>
            <wp:effectExtent l="0" t="0" r="381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 w:cs="宋体"/>
          <w:sz w:val="28"/>
          <w:szCs w:val="28"/>
        </w:rPr>
        <w:t>审核时间：2</w:t>
      </w:r>
      <w:r>
        <w:rPr>
          <w:rFonts w:cs="宋体"/>
          <w:sz w:val="28"/>
          <w:szCs w:val="28"/>
        </w:rPr>
        <w:t>022-9-22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53014"/>
    <w:rsid w:val="000815B1"/>
    <w:rsid w:val="000C13EF"/>
    <w:rsid w:val="001072BC"/>
    <w:rsid w:val="00132329"/>
    <w:rsid w:val="00136E25"/>
    <w:rsid w:val="00140A12"/>
    <w:rsid w:val="001563AE"/>
    <w:rsid w:val="001E3C39"/>
    <w:rsid w:val="001F1208"/>
    <w:rsid w:val="00203ADE"/>
    <w:rsid w:val="00256B39"/>
    <w:rsid w:val="0026033C"/>
    <w:rsid w:val="002A6D2C"/>
    <w:rsid w:val="002C7BDA"/>
    <w:rsid w:val="002E3721"/>
    <w:rsid w:val="002F6F73"/>
    <w:rsid w:val="00306894"/>
    <w:rsid w:val="00313BBA"/>
    <w:rsid w:val="00317E29"/>
    <w:rsid w:val="0032229A"/>
    <w:rsid w:val="00324E6C"/>
    <w:rsid w:val="0032602E"/>
    <w:rsid w:val="003367AE"/>
    <w:rsid w:val="0037404A"/>
    <w:rsid w:val="00382446"/>
    <w:rsid w:val="00393D90"/>
    <w:rsid w:val="003B1258"/>
    <w:rsid w:val="003C675C"/>
    <w:rsid w:val="004100B0"/>
    <w:rsid w:val="00431183"/>
    <w:rsid w:val="00441404"/>
    <w:rsid w:val="00477033"/>
    <w:rsid w:val="004837A6"/>
    <w:rsid w:val="004A77C5"/>
    <w:rsid w:val="005467DC"/>
    <w:rsid w:val="005507E6"/>
    <w:rsid w:val="0055337B"/>
    <w:rsid w:val="00553D03"/>
    <w:rsid w:val="0056283F"/>
    <w:rsid w:val="005A0EA5"/>
    <w:rsid w:val="005A363F"/>
    <w:rsid w:val="005B2B6D"/>
    <w:rsid w:val="005B4B4E"/>
    <w:rsid w:val="00624FE1"/>
    <w:rsid w:val="0063199B"/>
    <w:rsid w:val="00652C0C"/>
    <w:rsid w:val="00671B4C"/>
    <w:rsid w:val="00680083"/>
    <w:rsid w:val="0069170E"/>
    <w:rsid w:val="006A4A20"/>
    <w:rsid w:val="006B5CE4"/>
    <w:rsid w:val="006D0042"/>
    <w:rsid w:val="006D143E"/>
    <w:rsid w:val="007156A8"/>
    <w:rsid w:val="0072062C"/>
    <w:rsid w:val="007208D6"/>
    <w:rsid w:val="00735C4B"/>
    <w:rsid w:val="007435B1"/>
    <w:rsid w:val="007D35E9"/>
    <w:rsid w:val="008160F3"/>
    <w:rsid w:val="008B397C"/>
    <w:rsid w:val="008B47F4"/>
    <w:rsid w:val="008E15D3"/>
    <w:rsid w:val="00900019"/>
    <w:rsid w:val="009257ED"/>
    <w:rsid w:val="0098318E"/>
    <w:rsid w:val="00985EDD"/>
    <w:rsid w:val="0099063E"/>
    <w:rsid w:val="00A321CA"/>
    <w:rsid w:val="00A51D19"/>
    <w:rsid w:val="00A769B1"/>
    <w:rsid w:val="00A837D5"/>
    <w:rsid w:val="00AC4C45"/>
    <w:rsid w:val="00AD45E7"/>
    <w:rsid w:val="00AF2A47"/>
    <w:rsid w:val="00B21590"/>
    <w:rsid w:val="00B406BA"/>
    <w:rsid w:val="00B44A93"/>
    <w:rsid w:val="00B46F21"/>
    <w:rsid w:val="00B511A5"/>
    <w:rsid w:val="00B736A7"/>
    <w:rsid w:val="00B7651F"/>
    <w:rsid w:val="00B95B5D"/>
    <w:rsid w:val="00BA64F0"/>
    <w:rsid w:val="00BE0AA4"/>
    <w:rsid w:val="00C12F33"/>
    <w:rsid w:val="00C56E09"/>
    <w:rsid w:val="00C60117"/>
    <w:rsid w:val="00CF096B"/>
    <w:rsid w:val="00CF5CB2"/>
    <w:rsid w:val="00D16441"/>
    <w:rsid w:val="00D2741E"/>
    <w:rsid w:val="00D66141"/>
    <w:rsid w:val="00D84F9E"/>
    <w:rsid w:val="00DF1F61"/>
    <w:rsid w:val="00E16D30"/>
    <w:rsid w:val="00E33169"/>
    <w:rsid w:val="00E66524"/>
    <w:rsid w:val="00E70904"/>
    <w:rsid w:val="00E718C7"/>
    <w:rsid w:val="00EF44B1"/>
    <w:rsid w:val="00EF7FAE"/>
    <w:rsid w:val="00F10A77"/>
    <w:rsid w:val="00F26D56"/>
    <w:rsid w:val="00F3232E"/>
    <w:rsid w:val="00F35AA0"/>
    <w:rsid w:val="00F67CC2"/>
    <w:rsid w:val="00FC5E7F"/>
    <w:rsid w:val="00FF462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C174B47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iPriority w:val="99"/>
    <w:pPr>
      <w:jc w:val="left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文字 字符"/>
    <w:basedOn w:val="7"/>
    <w:link w:val="2"/>
    <w:locked/>
    <w:uiPriority w:val="99"/>
    <w:rPr>
      <w:rFonts w:ascii="Calibri" w:hAnsi="Calibri" w:eastAsia="宋体" w:cs="Calibri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6</Pages>
  <Words>3140</Words>
  <Characters>701</Characters>
  <Lines>5</Lines>
  <Paragraphs>7</Paragraphs>
  <TotalTime>0</TotalTime>
  <ScaleCrop>false</ScaleCrop>
  <LinksUpToDate>false</LinksUpToDate>
  <CharactersWithSpaces>3834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2021-09-07T05:44:00Z</dcterms:created>
  <dc:creator>juvg</dc:creator>
  <cp:lastModifiedBy>刘尔瑟</cp:lastModifiedBy>
  <dcterms:modified xsi:type="dcterms:W3CDTF">2022-09-24T12:17:33Z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