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288" w:lineRule="auto"/>
        <w:jc w:val="center"/>
        <w:rPr>
          <w:b/>
          <w:bCs/>
          <w:sz w:val="28"/>
          <w:szCs w:val="28"/>
        </w:rPr>
      </w:pPr>
      <w:r>
        <w:rPr>
          <w:rFonts w:ascii="宋体" w:hAnsi="宋体" w:cs="宋体"/>
          <w:kern w:val="0"/>
          <w:sz w:val="40"/>
          <w:szCs w:val="40"/>
        </w:rPr>
        <w:t xml:space="preserve"> </w: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0" b="0"/>
                <wp:wrapNone/>
                <wp:docPr id="1" name="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cs="宋体"/>
                                <w:spacing w:val="20"/>
                                <w:sz w:val="24"/>
                                <w:szCs w:val="24"/>
                              </w:rPr>
                              <w:t>SJQU-QR-JW-</w:t>
                            </w:r>
                            <w:r>
                              <w:rPr>
                                <w:rFonts w:ascii="宋体" w:cs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cs="宋体"/>
                                <w:spacing w:val="20"/>
                                <w:sz w:val="24"/>
                                <w:szCs w:val="24"/>
                              </w:rPr>
                              <w:t>33</w:t>
                            </w:r>
                            <w:r>
                              <w:rPr>
                                <w:rFonts w:hint="eastAsia" w:ascii="宋体" w:hAnsi="宋体" w:cs="宋体"/>
                                <w:spacing w:val="20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宋体" w:hAnsi="宋体" w:cs="宋体"/>
                                <w:spacing w:val="20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宋体" w:cs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hint="eastAsia" w:ascii="宋体" w:hAnsi="宋体" w:cs="宋体"/>
                                <w:spacing w:val="20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26" o:spid="_x0000_s1026" o:spt="202" type="#_x0000_t202" style="position:absolute;left:0pt;margin-left:41.8pt;margin-top:27.55pt;height:22.1pt;width:207.5pt;mso-position-horizontal-relative:page;mso-position-vertical-relative:page;z-index:251658240;mso-width-relative:page;mso-height-relative:page;" fillcolor="#FFFFFF" filled="t" stroked="f" coordsize="21600,21600" o:gfxdata="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ODKIUPXAAAACAEAAA8AAAAAAAAAAQAgAAAAIgAAAGRycy9kb3ducmV2&#10;LnhtbFBLAQIUABQAAAAIAIdO4kBtvXZC/QEAAOkDAAAOAAAAAAAAAAEAIAAAACYBAABkcnMvZTJv&#10;RG9jLnhtbFBLBQYAAAAABgAGAFkBAACV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cs="宋体"/>
                          <w:spacing w:val="20"/>
                          <w:sz w:val="24"/>
                          <w:szCs w:val="24"/>
                        </w:rPr>
                        <w:t>SJQU-QR-JW-</w:t>
                      </w:r>
                      <w:r>
                        <w:rPr>
                          <w:rFonts w:ascii="宋体" w:cs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hAnsi="宋体" w:cs="宋体"/>
                          <w:spacing w:val="20"/>
                          <w:sz w:val="24"/>
                          <w:szCs w:val="24"/>
                        </w:rPr>
                        <w:t>33</w:t>
                      </w:r>
                      <w:r>
                        <w:rPr>
                          <w:rFonts w:hint="eastAsia" w:ascii="宋体" w:hAnsi="宋体" w:cs="宋体"/>
                          <w:spacing w:val="20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宋体" w:hAnsi="宋体" w:cs="宋体"/>
                          <w:spacing w:val="20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宋体" w:cs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hint="eastAsia" w:ascii="宋体" w:hAnsi="宋体" w:cs="宋体"/>
                          <w:spacing w:val="20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cs="宋体"/>
          <w:kern w:val="0"/>
          <w:sz w:val="40"/>
          <w:szCs w:val="40"/>
        </w:rPr>
        <w:t xml:space="preserve">      </w:t>
      </w:r>
      <w:r>
        <w:rPr>
          <w:rFonts w:hint="eastAsia" w:ascii="宋体" w:hAnsi="宋体" w:cs="宋体"/>
          <w:b/>
          <w:bCs/>
          <w:sz w:val="28"/>
          <w:szCs w:val="28"/>
        </w:rPr>
        <w:t>【汉日对比语言研究】</w:t>
      </w:r>
    </w:p>
    <w:p>
      <w:pPr>
        <w:shd w:val="clear" w:color="auto" w:fill="F5F5F5"/>
        <w:ind w:left="840" w:firstLine="420"/>
        <w:jc w:val="center"/>
        <w:textAlignment w:val="top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【A comparation stady of Chineseand Japanes languages】</w:t>
      </w: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  <w:szCs w:val="24"/>
        </w:rPr>
      </w:pPr>
      <w:r>
        <w:rPr>
          <w:rFonts w:hint="eastAsia" w:ascii="黑体" w:hAnsi="宋体" w:eastAsia="黑体" w:cs="黑体"/>
          <w:sz w:val="24"/>
          <w:szCs w:val="24"/>
        </w:rPr>
        <w:t>一、基本信息</w:t>
      </w:r>
    </w:p>
    <w:p>
      <w:pPr>
        <w:snapToGrid w:val="0"/>
        <w:spacing w:line="288" w:lineRule="auto"/>
        <w:ind w:firstLine="394" w:firstLineChars="196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hint="eastAsia" w:ascii="宋体" w:hAnsi="宋体" w:cs="宋体"/>
          <w:b/>
          <w:bCs/>
          <w:sz w:val="20"/>
          <w:szCs w:val="20"/>
        </w:rPr>
        <w:t>课程代码：【</w:t>
      </w:r>
      <w:r>
        <w:rPr>
          <w:b/>
          <w:bCs/>
          <w:sz w:val="20"/>
          <w:szCs w:val="20"/>
        </w:rPr>
        <w:t>2020367</w:t>
      </w:r>
      <w:r>
        <w:rPr>
          <w:rFonts w:hint="eastAsia" w:ascii="宋体" w:hAnsi="宋体" w:cs="宋体"/>
          <w:b/>
          <w:bCs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</w:pPr>
      <w:r>
        <w:rPr>
          <w:rFonts w:hint="eastAsia" w:ascii="宋体" w:hAnsi="宋体" w:cs="宋体"/>
          <w:b/>
          <w:bCs/>
          <w:sz w:val="20"/>
          <w:szCs w:val="20"/>
        </w:rPr>
        <w:t>课程学分：</w:t>
      </w:r>
      <w:r>
        <w:rPr>
          <w:rFonts w:hint="eastAsia" w:ascii="宋体" w:hAnsi="宋体" w:cs="宋体"/>
          <w:sz w:val="20"/>
          <w:szCs w:val="20"/>
        </w:rPr>
        <w:t>【</w:t>
      </w:r>
      <w:r>
        <w:rPr>
          <w:sz w:val="20"/>
          <w:szCs w:val="20"/>
        </w:rPr>
        <w:t>2</w:t>
      </w:r>
      <w:r>
        <w:rPr>
          <w:rFonts w:hint="eastAsia" w:ascii="宋体" w:hAnsi="宋体" w:cs="宋体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</w:pPr>
      <w:r>
        <w:rPr>
          <w:rFonts w:hint="eastAsia" w:ascii="宋体" w:hAnsi="宋体" w:cs="宋体"/>
          <w:b/>
          <w:bCs/>
          <w:sz w:val="20"/>
          <w:szCs w:val="20"/>
        </w:rPr>
        <w:t>面向专业：</w:t>
      </w:r>
      <w:r>
        <w:rPr>
          <w:rFonts w:hint="eastAsia" w:ascii="宋体" w:hAnsi="宋体" w:cs="宋体"/>
          <w:sz w:val="20"/>
          <w:szCs w:val="20"/>
        </w:rPr>
        <w:t>【日语专业本科】</w:t>
      </w:r>
    </w:p>
    <w:p>
      <w:pPr>
        <w:snapToGrid w:val="0"/>
        <w:spacing w:line="288" w:lineRule="auto"/>
        <w:ind w:firstLine="394" w:firstLineChars="196"/>
        <w:rPr>
          <w:sz w:val="20"/>
          <w:szCs w:val="20"/>
        </w:rPr>
      </w:pPr>
      <w:r>
        <w:rPr>
          <w:rFonts w:hint="eastAsia" w:ascii="宋体" w:hAnsi="宋体" w:cs="宋体"/>
          <w:b/>
          <w:bCs/>
          <w:sz w:val="20"/>
          <w:szCs w:val="20"/>
        </w:rPr>
        <w:t>课程性质：</w:t>
      </w:r>
      <w:r>
        <w:rPr>
          <w:rFonts w:hint="eastAsia" w:ascii="宋体" w:hAnsi="宋体" w:cs="宋体"/>
          <w:sz w:val="20"/>
          <w:szCs w:val="20"/>
        </w:rPr>
        <w:t>【院级选修课】</w:t>
      </w:r>
    </w:p>
    <w:p>
      <w:pPr>
        <w:snapToGrid w:val="0"/>
        <w:spacing w:line="288" w:lineRule="auto"/>
        <w:ind w:firstLine="394" w:firstLineChars="196"/>
        <w:rPr>
          <w:b/>
          <w:bCs/>
        </w:rPr>
      </w:pPr>
      <w:r>
        <w:rPr>
          <w:rFonts w:hint="eastAsia" w:ascii="宋体" w:hAnsi="宋体" w:cs="宋体"/>
          <w:b/>
          <w:bCs/>
          <w:sz w:val="20"/>
          <w:szCs w:val="20"/>
        </w:rPr>
        <w:t>开课院系：</w:t>
      </w:r>
      <w:r>
        <w:rPr>
          <w:rFonts w:hint="eastAsia" w:ascii="宋体" w:hAnsi="宋体" w:cs="宋体"/>
          <w:sz w:val="20"/>
          <w:szCs w:val="20"/>
        </w:rPr>
        <w:t>外国语学院日语系</w:t>
      </w:r>
    </w:p>
    <w:p>
      <w:pPr>
        <w:snapToGrid w:val="0"/>
        <w:spacing w:line="288" w:lineRule="auto"/>
        <w:ind w:firstLine="394" w:firstLineChars="196"/>
        <w:rPr>
          <w:sz w:val="20"/>
          <w:szCs w:val="20"/>
        </w:rPr>
      </w:pPr>
      <w:r>
        <w:rPr>
          <w:rFonts w:hint="eastAsia" w:ascii="宋体" w:hAnsi="宋体" w:cs="宋体"/>
          <w:b/>
          <w:bCs/>
          <w:sz w:val="20"/>
          <w:szCs w:val="20"/>
        </w:rPr>
        <w:t>使用教材：</w:t>
      </w:r>
    </w:p>
    <w:p>
      <w:pPr>
        <w:snapToGrid w:val="0"/>
        <w:spacing w:line="288" w:lineRule="auto"/>
        <w:ind w:firstLine="787" w:firstLineChars="392"/>
      </w:pPr>
      <w:r>
        <w:rPr>
          <w:rFonts w:hint="eastAsia" w:ascii="宋体" w:hAnsi="宋体" w:cs="宋体"/>
          <w:b/>
          <w:bCs/>
          <w:sz w:val="20"/>
          <w:szCs w:val="20"/>
        </w:rPr>
        <w:t>教师自编PPT</w:t>
      </w:r>
      <w:r>
        <w:rPr>
          <w:sz w:val="20"/>
          <w:szCs w:val="20"/>
        </w:rPr>
        <w:t xml:space="preserve"> </w:t>
      </w:r>
    </w:p>
    <w:p>
      <w:pPr>
        <w:snapToGrid w:val="0"/>
        <w:spacing w:line="288" w:lineRule="auto"/>
        <w:ind w:firstLine="787" w:firstLineChars="392"/>
        <w:rPr>
          <w:sz w:val="20"/>
          <w:szCs w:val="20"/>
        </w:rPr>
      </w:pPr>
      <w:r>
        <w:rPr>
          <w:rFonts w:hint="eastAsia" w:ascii="宋体" w:hAnsi="宋体" w:cs="宋体"/>
          <w:b/>
          <w:bCs/>
          <w:sz w:val="20"/>
          <w:szCs w:val="20"/>
        </w:rPr>
        <w:t>参考书目【</w:t>
      </w:r>
      <w:r>
        <w:rPr>
          <w:rFonts w:hint="eastAsia" w:ascii="宋体" w:hAnsi="宋体" w:cs="宋体"/>
          <w:sz w:val="20"/>
          <w:szCs w:val="20"/>
        </w:rPr>
        <w:t>《日语概论》，翟东娜</w:t>
      </w:r>
      <w:r>
        <w:rPr>
          <w:rFonts w:ascii="宋体" w:hAnsi="宋体" w:cs="宋体"/>
          <w:sz w:val="20"/>
          <w:szCs w:val="20"/>
        </w:rPr>
        <w:t>/</w:t>
      </w:r>
      <w:r>
        <w:rPr>
          <w:rFonts w:hint="eastAsia" w:ascii="宋体" w:hAnsi="宋体" w:cs="宋体"/>
          <w:sz w:val="20"/>
          <w:szCs w:val="20"/>
        </w:rPr>
        <w:t>潘钧，外语教学与研究出版社，</w:t>
      </w:r>
      <w:r>
        <w:rPr>
          <w:rFonts w:ascii="宋体" w:hAnsi="宋体" w:cs="宋体"/>
          <w:sz w:val="20"/>
          <w:szCs w:val="20"/>
        </w:rPr>
        <w:t>2008</w:t>
      </w:r>
      <w:r>
        <w:rPr>
          <w:rFonts w:hint="eastAsia" w:ascii="宋体" w:hAnsi="宋体" w:cs="宋体"/>
          <w:sz w:val="20"/>
          <w:szCs w:val="20"/>
        </w:rPr>
        <w:t>年】</w:t>
      </w:r>
    </w:p>
    <w:p>
      <w:pPr>
        <w:snapToGrid w:val="0"/>
        <w:spacing w:line="288" w:lineRule="auto"/>
        <w:ind w:left="1260" w:leftChars="600" w:firstLine="201" w:firstLineChars="100"/>
        <w:rPr>
          <w:sz w:val="20"/>
          <w:szCs w:val="20"/>
        </w:rPr>
      </w:pPr>
      <w:r>
        <w:rPr>
          <w:rFonts w:hint="eastAsia" w:ascii="宋体" w:hAnsi="宋体" w:cs="宋体"/>
          <w:b/>
          <w:bCs/>
          <w:sz w:val="20"/>
          <w:szCs w:val="20"/>
        </w:rPr>
        <w:t>【</w:t>
      </w:r>
      <w:r>
        <w:rPr>
          <w:rFonts w:hint="eastAsia" w:ascii="宋体" w:hAnsi="宋体" w:cs="宋体"/>
          <w:sz w:val="20"/>
          <w:szCs w:val="20"/>
        </w:rPr>
        <w:t>《日语语言百题》，彭广陆，北京大学出版社，</w:t>
      </w:r>
      <w:r>
        <w:rPr>
          <w:rFonts w:ascii="宋体" w:hAnsi="宋体" w:cs="宋体"/>
          <w:sz w:val="20"/>
          <w:szCs w:val="20"/>
        </w:rPr>
        <w:t>2007</w:t>
      </w:r>
      <w:r>
        <w:rPr>
          <w:rFonts w:hint="eastAsia" w:ascii="宋体" w:hAnsi="宋体" w:cs="宋体"/>
          <w:sz w:val="20"/>
          <w:szCs w:val="20"/>
        </w:rPr>
        <w:t>年】</w:t>
      </w:r>
    </w:p>
    <w:p>
      <w:pPr>
        <w:snapToGrid w:val="0"/>
        <w:spacing w:line="288" w:lineRule="auto"/>
        <w:ind w:left="1260" w:leftChars="600" w:firstLine="201" w:firstLineChars="100"/>
        <w:rPr>
          <w:sz w:val="20"/>
          <w:szCs w:val="20"/>
        </w:rPr>
      </w:pPr>
      <w:r>
        <w:rPr>
          <w:rFonts w:hint="eastAsia" w:ascii="宋体" w:hAnsi="宋体" w:cs="宋体"/>
          <w:b/>
          <w:bCs/>
          <w:sz w:val="20"/>
          <w:szCs w:val="20"/>
        </w:rPr>
        <w:t>【</w:t>
      </w:r>
      <w:r>
        <w:rPr>
          <w:rFonts w:hint="eastAsia" w:ascii="宋体" w:hAnsi="宋体" w:cs="宋体"/>
          <w:sz w:val="20"/>
          <w:szCs w:val="20"/>
        </w:rPr>
        <w:t>《日本语》，金田一春彦著、皮细庚译，华东理工大学出版社，</w:t>
      </w:r>
      <w:r>
        <w:rPr>
          <w:rFonts w:ascii="宋体" w:hAnsi="宋体" w:cs="宋体"/>
          <w:sz w:val="20"/>
          <w:szCs w:val="20"/>
        </w:rPr>
        <w:t>2017</w:t>
      </w:r>
      <w:r>
        <w:rPr>
          <w:rFonts w:hint="eastAsia" w:ascii="宋体" w:hAnsi="宋体" w:cs="宋体"/>
          <w:sz w:val="20"/>
          <w:szCs w:val="20"/>
        </w:rPr>
        <w:t>年】</w:t>
      </w:r>
    </w:p>
    <w:p>
      <w:pPr>
        <w:snapToGrid w:val="0"/>
        <w:spacing w:line="288" w:lineRule="auto"/>
        <w:ind w:left="1260" w:leftChars="600" w:firstLine="201" w:firstLineChars="100"/>
        <w:rPr>
          <w:highlight w:val="yellow"/>
        </w:rPr>
      </w:pPr>
      <w:r>
        <w:rPr>
          <w:rFonts w:hint="eastAsia" w:ascii="宋体" w:hAnsi="宋体" w:cs="宋体"/>
          <w:b/>
          <w:bCs/>
          <w:sz w:val="20"/>
          <w:szCs w:val="20"/>
        </w:rPr>
        <w:t>【</w:t>
      </w:r>
      <w:r>
        <w:rPr>
          <w:rFonts w:hint="eastAsia" w:ascii="宋体" w:hAnsi="宋体" w:cs="宋体"/>
          <w:sz w:val="20"/>
          <w:szCs w:val="20"/>
        </w:rPr>
        <w:t>《日语词汇教程》，朱京伟，外语教学与研究出版社，</w:t>
      </w:r>
      <w:r>
        <w:rPr>
          <w:rFonts w:ascii="宋体" w:hAnsi="宋体" w:cs="宋体"/>
          <w:sz w:val="20"/>
          <w:szCs w:val="20"/>
        </w:rPr>
        <w:t>2005</w:t>
      </w:r>
      <w:r>
        <w:rPr>
          <w:rFonts w:hint="eastAsia" w:ascii="宋体" w:hAnsi="宋体" w:cs="宋体"/>
          <w:sz w:val="20"/>
          <w:szCs w:val="20"/>
        </w:rPr>
        <w:t>年】</w:t>
      </w:r>
    </w:p>
    <w:p>
      <w:pPr>
        <w:snapToGrid w:val="0"/>
        <w:spacing w:line="288" w:lineRule="auto"/>
        <w:ind w:firstLine="394" w:firstLineChars="196"/>
        <w:rPr>
          <w:rFonts w:hint="eastAsia" w:eastAsia="宋体"/>
          <w:sz w:val="20"/>
          <w:szCs w:val="20"/>
          <w:highlight w:val="yellow"/>
          <w:lang w:val="en-US" w:eastAsia="zh-CN"/>
        </w:rPr>
      </w:pPr>
      <w:r>
        <w:rPr>
          <w:rFonts w:hint="eastAsia" w:ascii="宋体" w:hAnsi="宋体" w:cs="宋体"/>
          <w:b/>
          <w:bCs/>
          <w:sz w:val="20"/>
          <w:szCs w:val="20"/>
        </w:rPr>
        <w:t>课程网站网址：</w:t>
      </w:r>
      <w:r>
        <w:rPr>
          <w:rFonts w:hint="eastAsia" w:ascii="宋体" w:hAnsi="宋体" w:cs="宋体"/>
          <w:b/>
          <w:bCs/>
          <w:sz w:val="20"/>
          <w:szCs w:val="20"/>
          <w:lang w:val="en-US" w:eastAsia="zh-CN"/>
        </w:rPr>
        <w:t>无</w:t>
      </w:r>
    </w:p>
    <w:p>
      <w:pPr>
        <w:adjustRightInd w:val="0"/>
        <w:snapToGrid w:val="0"/>
        <w:spacing w:line="288" w:lineRule="auto"/>
        <w:ind w:firstLine="394" w:firstLineChars="196"/>
        <w:rPr>
          <w:sz w:val="20"/>
          <w:szCs w:val="20"/>
        </w:rPr>
      </w:pPr>
      <w:r>
        <w:rPr>
          <w:rFonts w:hint="eastAsia" w:ascii="宋体" w:hAnsi="宋体" w:cs="宋体"/>
          <w:b/>
          <w:bCs/>
          <w:sz w:val="20"/>
          <w:szCs w:val="20"/>
        </w:rPr>
        <w:t>先修课程：【</w:t>
      </w:r>
      <w:r>
        <w:rPr>
          <w:rFonts w:hint="eastAsia"/>
          <w:color w:val="000000"/>
          <w:sz w:val="20"/>
          <w:szCs w:val="20"/>
        </w:rPr>
        <w:t>基础日语</w:t>
      </w:r>
      <w:r>
        <w:rPr>
          <w:rFonts w:hint="eastAsia"/>
          <w:color w:val="000000"/>
          <w:sz w:val="20"/>
          <w:szCs w:val="20"/>
          <w:lang w:eastAsia="zh-CN"/>
        </w:rPr>
        <w:t>（</w:t>
      </w:r>
      <w:r>
        <w:rPr>
          <w:rFonts w:hint="eastAsia"/>
          <w:color w:val="000000"/>
          <w:sz w:val="20"/>
          <w:szCs w:val="20"/>
          <w:lang w:val="en-US" w:eastAsia="zh-CN"/>
        </w:rPr>
        <w:t>5</w:t>
      </w:r>
      <w:r>
        <w:rPr>
          <w:rFonts w:hint="eastAsia"/>
          <w:color w:val="000000"/>
          <w:sz w:val="20"/>
          <w:szCs w:val="20"/>
          <w:lang w:eastAsia="zh-CN"/>
        </w:rPr>
        <w:t>）</w:t>
      </w:r>
      <w:r>
        <w:rPr>
          <w:color w:val="000000"/>
          <w:sz w:val="20"/>
          <w:szCs w:val="20"/>
        </w:rPr>
        <w:t>2020056</w:t>
      </w:r>
      <w:r>
        <w:rPr>
          <w:rFonts w:hint="eastAsia"/>
          <w:color w:val="000000"/>
          <w:sz w:val="20"/>
          <w:szCs w:val="20"/>
        </w:rPr>
        <w:t>（</w:t>
      </w:r>
      <w:r>
        <w:rPr>
          <w:rFonts w:hint="eastAsia"/>
          <w:color w:val="000000"/>
          <w:sz w:val="20"/>
          <w:szCs w:val="20"/>
          <w:lang w:val="en-US" w:eastAsia="zh-CN"/>
        </w:rPr>
        <w:t>6</w:t>
      </w:r>
      <w:r>
        <w:rPr>
          <w:rFonts w:hint="eastAsia"/>
          <w:color w:val="000000"/>
          <w:sz w:val="20"/>
          <w:szCs w:val="20"/>
        </w:rPr>
        <w:t>）、日语语法</w:t>
      </w:r>
      <w:r>
        <w:rPr>
          <w:color w:val="000000"/>
          <w:sz w:val="20"/>
          <w:szCs w:val="20"/>
        </w:rPr>
        <w:t>2020090</w:t>
      </w:r>
      <w:r>
        <w:rPr>
          <w:rFonts w:hint="eastAsia"/>
          <w:color w:val="000000"/>
          <w:sz w:val="20"/>
          <w:szCs w:val="20"/>
        </w:rPr>
        <w:t>（</w:t>
      </w:r>
      <w:r>
        <w:rPr>
          <w:color w:val="000000"/>
          <w:sz w:val="20"/>
          <w:szCs w:val="20"/>
        </w:rPr>
        <w:t>2</w:t>
      </w:r>
      <w:r>
        <w:rPr>
          <w:rFonts w:hint="eastAsia"/>
          <w:color w:val="000000"/>
          <w:sz w:val="20"/>
          <w:szCs w:val="20"/>
        </w:rPr>
        <w:t>）</w:t>
      </w:r>
      <w:r>
        <w:rPr>
          <w:rFonts w:hint="eastAsia" w:ascii="宋体" w:hAnsi="宋体" w:cs="宋体"/>
          <w:sz w:val="20"/>
          <w:szCs w:val="20"/>
        </w:rPr>
        <w:t>】</w:t>
      </w: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  <w:szCs w:val="24"/>
        </w:rPr>
      </w:pPr>
      <w:r>
        <w:rPr>
          <w:rFonts w:hint="eastAsia" w:ascii="黑体" w:hAnsi="宋体" w:eastAsia="黑体" w:cs="黑体"/>
          <w:sz w:val="24"/>
          <w:szCs w:val="24"/>
        </w:rPr>
        <w:t>二、课程简介</w:t>
      </w:r>
    </w:p>
    <w:p>
      <w:pPr>
        <w:snapToGrid w:val="0"/>
        <w:spacing w:line="288" w:lineRule="auto"/>
        <w:ind w:firstLine="400" w:firstLineChars="200"/>
        <w:rPr>
          <w:sz w:val="20"/>
          <w:szCs w:val="20"/>
        </w:rPr>
      </w:pPr>
      <w:r>
        <w:rPr>
          <w:rFonts w:hint="eastAsia" w:cs="宋体"/>
          <w:sz w:val="20"/>
          <w:szCs w:val="20"/>
        </w:rPr>
        <w:t>汉日对比语言研究作为日语专业选修课之一。本课程分成几个问题点，对各个问题点从汉日对比的角度进行分析。各个部分有若干节组成，内容充实知识点丰富。各部分不仅配有知识点解说，而且都有相应练习题，能加深理解所学内容。其中，第一部分为语言一般专业知识解说，之后为语言主要内容的语法知识解说。本次自编的内容涉及词汇面广，涵盖了日语语言学的基本内容。作为日语本科生选修教材使用时，必须在充分理解的基础上，强调提高记忆与运用的重要性。作为本课程教学的基本目标，是通过汉日对比的教学讲授，并结合第二课堂的预习与复习，要求学生通过本课程的学习考核，大致掌握日语语言学的基础知识，能够从汉日对比的角度分析日语问题，加深了解一些较难的专业知识，并且能够利用所学的语言学知识，参与造句改错逐步形成自己见解，提高日语的综合理解运用能力，为进一步学习高级日语语言知识，为顺利通过各类日语等级考试，为写好毕业论文等起到促进作用。</w:t>
      </w: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  <w:szCs w:val="24"/>
        </w:rPr>
      </w:pPr>
      <w:r>
        <w:rPr>
          <w:rFonts w:hint="eastAsia" w:ascii="黑体" w:hAnsi="宋体" w:eastAsia="黑体" w:cs="黑体"/>
          <w:sz w:val="24"/>
          <w:szCs w:val="24"/>
        </w:rPr>
        <w:t>三、选课建议</w:t>
      </w:r>
    </w:p>
    <w:p>
      <w:pPr>
        <w:snapToGrid w:val="0"/>
        <w:spacing w:line="288" w:lineRule="auto"/>
        <w:ind w:firstLine="400" w:firstLineChars="200"/>
        <w:rPr>
          <w:rFonts w:ascii="Times New Roman" w:hAnsi="Times New Roman" w:cs="Times New Roman"/>
          <w:sz w:val="20"/>
          <w:szCs w:val="20"/>
        </w:rPr>
      </w:pPr>
      <w:r>
        <w:rPr>
          <w:rFonts w:hint="eastAsia" w:ascii="宋体" w:hAnsi="宋体" w:cs="宋体"/>
          <w:sz w:val="20"/>
          <w:szCs w:val="20"/>
        </w:rPr>
        <w:t>本课程适合日语本科专业学生开设。学生学完基础日语综合课程，具有初级基础语法词汇知识。由于本课程主要讲授综合语言学知识以及汉语的相关语法问题，因此建议学生针对相关知识点，阅读相关课外专业文献加深理解，要求加大第二课堂的投入力度。</w:t>
      </w: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  <w:szCs w:val="24"/>
        </w:rPr>
      </w:pPr>
      <w:r>
        <w:rPr>
          <w:rFonts w:hint="eastAsia" w:ascii="黑体" w:hAnsi="宋体" w:eastAsia="黑体" w:cs="黑体"/>
          <w:sz w:val="24"/>
          <w:szCs w:val="24"/>
        </w:rPr>
        <w:t>四、课程与专业毕业要求的关联性</w:t>
      </w:r>
    </w:p>
    <w:tbl>
      <w:tblPr>
        <w:tblStyle w:val="5"/>
        <w:tblpPr w:leftFromText="180" w:rightFromText="180" w:vertAnchor="text" w:horzAnchor="page" w:tblpX="2375" w:tblpY="242"/>
        <w:tblOverlap w:val="never"/>
        <w:tblW w:w="75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6095"/>
        <w:gridCol w:w="6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2" w:type="dxa"/>
            <w:gridSpan w:val="2"/>
          </w:tcPr>
          <w:p>
            <w:pPr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618" w:type="dxa"/>
          </w:tcPr>
          <w:p>
            <w:pPr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关联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restart"/>
            <w:vAlign w:val="center"/>
          </w:tcPr>
          <w:p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LO11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LO111</w:t>
            </w:r>
            <w:r>
              <w:rPr>
                <w:rFonts w:hint="eastAsia" w:ascii="Times New Roman" w:hAnsi="Times New Roman" w:cs="宋体"/>
                <w:kern w:val="0"/>
                <w:sz w:val="20"/>
                <w:szCs w:val="20"/>
              </w:rPr>
              <w:t>倾听他人意见、尊重他人观点、分析他人需求。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LO112</w:t>
            </w:r>
            <w:r>
              <w:rPr>
                <w:rFonts w:hint="eastAsia" w:ascii="Times New Roman" w:hAnsi="Times New Roman" w:cs="宋体"/>
                <w:kern w:val="0"/>
                <w:sz w:val="20"/>
                <w:szCs w:val="20"/>
              </w:rPr>
              <w:t>应用书面或口头形式，阐释自己的观点，有效沟通。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LO21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LO211</w:t>
            </w:r>
            <w:r>
              <w:rPr>
                <w:rFonts w:hint="eastAsia" w:ascii="Times New Roman" w:hAnsi="Times New Roman" w:cs="宋体"/>
                <w:kern w:val="0"/>
                <w:sz w:val="20"/>
                <w:szCs w:val="20"/>
              </w:rPr>
              <w:t>能根据需要自己确定学习目标，并设计学习计划。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L0212</w:t>
            </w:r>
            <w:r>
              <w:rPr>
                <w:rFonts w:hint="eastAsia" w:ascii="Times New Roman" w:hAnsi="Times New Roman" w:cs="宋体"/>
                <w:kern w:val="0"/>
                <w:sz w:val="20"/>
                <w:szCs w:val="20"/>
              </w:rPr>
              <w:t>能搜集、获取达到目标所需要的学习资源，实施学习计划、反思学习计划、持续改进，达到学习目标。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LO31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LO311</w:t>
            </w:r>
            <w:r>
              <w:rPr>
                <w:rFonts w:hint="eastAsia" w:ascii="Times New Roman" w:hAnsi="Times New Roman" w:cs="宋体"/>
                <w:kern w:val="0"/>
                <w:sz w:val="20"/>
                <w:szCs w:val="20"/>
              </w:rPr>
              <w:t>能听懂正常语速下的日语对话，根据语调和重音理解说话者的意图，能听懂语段内容，并提取信息和观点。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LO312</w:t>
            </w:r>
            <w:r>
              <w:rPr>
                <w:rFonts w:hint="eastAsia" w:ascii="Times New Roman" w:hAnsi="Times New Roman" w:cs="宋体"/>
                <w:kern w:val="0"/>
                <w:sz w:val="20"/>
                <w:szCs w:val="20"/>
              </w:rPr>
              <w:t>掌握正确的发音，能够使用日语进行交流与表达。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LO313</w:t>
            </w:r>
            <w:r>
              <w:rPr>
                <w:rFonts w:hint="eastAsia" w:ascii="Times New Roman" w:hAnsi="Times New Roman" w:cs="宋体"/>
                <w:kern w:val="0"/>
                <w:sz w:val="20"/>
                <w:szCs w:val="20"/>
              </w:rPr>
              <w:t>掌握日语阅读技能，包括细读、泛读、评读等能力，提高分析归纳、推理检验等逻辑思维能力。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LO314</w:t>
            </w:r>
            <w:r>
              <w:rPr>
                <w:rFonts w:hint="eastAsia" w:ascii="Times New Roman" w:hAnsi="Times New Roman" w:cs="宋体"/>
                <w:kern w:val="0"/>
                <w:sz w:val="20"/>
                <w:szCs w:val="20"/>
              </w:rPr>
              <w:t>了解日语写作的基础知识，摆脱汉语的思维方式，用地道的日语进行表情达意，具备必要的应用文写作技能。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LO315</w:t>
            </w:r>
            <w:r>
              <w:rPr>
                <w:rFonts w:hint="eastAsia" w:ascii="Times New Roman" w:hAnsi="Times New Roman" w:cs="宋体"/>
                <w:kern w:val="0"/>
                <w:sz w:val="20"/>
                <w:szCs w:val="20"/>
              </w:rPr>
              <w:t>了解并掌握翻译技巧，了解不同文体的语言特点和翻译方法，能使用中日两种语言进行各种翻译活动。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LO32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LO321</w:t>
            </w:r>
            <w:r>
              <w:rPr>
                <w:rFonts w:hint="eastAsia" w:ascii="Times New Roman" w:hAnsi="Times New Roman" w:cs="宋体"/>
                <w:kern w:val="0"/>
                <w:sz w:val="20"/>
                <w:szCs w:val="20"/>
              </w:rPr>
              <w:t>了解语言学的一般理论，以及语言学研究的发展与现状。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LO322</w:t>
            </w:r>
            <w:r>
              <w:rPr>
                <w:rFonts w:hint="eastAsia" w:ascii="Times New Roman" w:hAnsi="Times New Roman" w:cs="宋体"/>
                <w:kern w:val="0"/>
                <w:sz w:val="20"/>
                <w:szCs w:val="20"/>
              </w:rPr>
              <w:t>透彻分析日语语素、词汇结构以及语义句法功能，能对日语词汇学具有基本了解，并能举例进行分析归纳与总结。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LO323</w:t>
            </w:r>
            <w:r>
              <w:rPr>
                <w:rFonts w:hint="eastAsia" w:ascii="Times New Roman" w:hAnsi="Times New Roman" w:cs="宋体"/>
                <w:kern w:val="0"/>
                <w:sz w:val="20"/>
                <w:szCs w:val="20"/>
              </w:rPr>
              <w:t>了解日本文学史上不同时期的重要作家及其代表作品。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LO324</w:t>
            </w:r>
            <w:r>
              <w:rPr>
                <w:rFonts w:hint="eastAsia" w:ascii="Times New Roman" w:hAnsi="Times New Roman" w:cs="宋体"/>
                <w:kern w:val="0"/>
                <w:sz w:val="20"/>
                <w:szCs w:val="20"/>
              </w:rPr>
              <w:t>具备阅读、欣赏、理解日本文学原著的能力，掌握文学批评的基本知识和方法。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LO33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LO331</w:t>
            </w:r>
            <w:r>
              <w:rPr>
                <w:rFonts w:hint="eastAsia" w:ascii="Times New Roman" w:hAnsi="Times New Roman" w:cs="宋体"/>
                <w:kern w:val="0"/>
                <w:sz w:val="20"/>
                <w:szCs w:val="20"/>
              </w:rPr>
              <w:t>了解日本文化、社会和风土人情，认识中日文化差异。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LO332</w:t>
            </w:r>
            <w:r>
              <w:rPr>
                <w:rFonts w:hint="eastAsia" w:ascii="Times New Roman" w:hAnsi="Times New Roman" w:cs="宋体"/>
                <w:kern w:val="0"/>
                <w:sz w:val="20"/>
                <w:szCs w:val="20"/>
              </w:rPr>
              <w:t>具有跨文化交际能力，掌握有效的认知、调控、交际策略和跨文化理解能力。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LO34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LO341</w:t>
            </w:r>
            <w:r>
              <w:rPr>
                <w:rFonts w:hint="eastAsia" w:ascii="Times New Roman" w:hAnsi="Times New Roman" w:cs="宋体"/>
                <w:kern w:val="0"/>
                <w:sz w:val="20"/>
                <w:szCs w:val="20"/>
              </w:rPr>
              <w:t>掌握商务相关的基本理论知识，国家对外贸易方针、政策以及具备国际商务实务操作的技能和素质。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LO342</w:t>
            </w:r>
            <w:r>
              <w:rPr>
                <w:rFonts w:hint="eastAsia" w:ascii="Times New Roman" w:hAnsi="Times New Roman" w:cs="宋体"/>
                <w:kern w:val="0"/>
                <w:sz w:val="20"/>
                <w:szCs w:val="20"/>
              </w:rPr>
              <w:t>能够使用日语语言处理商务活动中的常规业务，能用中日文双语撰写外贸函电，填写国际贸易的单证，起草外贸合同。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LO41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L0411</w:t>
            </w:r>
            <w:r>
              <w:rPr>
                <w:rFonts w:hint="eastAsia" w:ascii="Times New Roman" w:hAnsi="Times New Roman" w:cs="宋体"/>
                <w:kern w:val="0"/>
                <w:sz w:val="20"/>
                <w:szCs w:val="20"/>
              </w:rPr>
              <w:t>遵纪守法：遵守校纪校规，具备法律意识。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L0412 </w:t>
            </w:r>
            <w:r>
              <w:rPr>
                <w:rFonts w:hint="eastAsia" w:ascii="Times New Roman" w:hAnsi="Times New Roman" w:cs="宋体"/>
                <w:kern w:val="0"/>
                <w:sz w:val="20"/>
                <w:szCs w:val="20"/>
              </w:rPr>
              <w:t>诚实守信：为人诚实，信守承诺，尽职尽责。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LO413</w:t>
            </w:r>
            <w:r>
              <w:rPr>
                <w:rFonts w:hint="eastAsia" w:ascii="Times New Roman" w:hAnsi="Times New Roman" w:cs="宋体"/>
                <w:kern w:val="0"/>
                <w:sz w:val="20"/>
                <w:szCs w:val="20"/>
              </w:rPr>
              <w:t>爱岗敬业：了解与专业相关的法律法规，充分认识本专业就业岗位在社会经济中的作用和地位，在学习和社会实践中遵守职业规范，具备职业道德操守。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LO414</w:t>
            </w:r>
            <w:r>
              <w:rPr>
                <w:rFonts w:hint="eastAsia" w:ascii="Times New Roman" w:hAnsi="Times New Roman" w:cs="宋体"/>
                <w:kern w:val="0"/>
                <w:sz w:val="20"/>
                <w:szCs w:val="20"/>
              </w:rPr>
              <w:t>身心健康，能承受学习和生活中的压力。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LO51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L0511</w:t>
            </w:r>
            <w:r>
              <w:rPr>
                <w:rFonts w:hint="eastAsia" w:ascii="Times New Roman" w:hAnsi="Times New Roman" w:cs="宋体"/>
                <w:kern w:val="0"/>
                <w:sz w:val="20"/>
                <w:szCs w:val="20"/>
              </w:rPr>
              <w:t>在集体活动中能主动担任自己的角色，与其他成员密切合作，共同完成任务。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L0512 </w:t>
            </w:r>
            <w:r>
              <w:rPr>
                <w:rFonts w:hint="eastAsia" w:ascii="Times New Roman" w:hAnsi="Times New Roman" w:cs="宋体"/>
                <w:kern w:val="0"/>
                <w:sz w:val="20"/>
                <w:szCs w:val="20"/>
              </w:rPr>
              <w:t>有质疑精神，能有逻辑的分析与批判。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L0513 </w:t>
            </w:r>
            <w:r>
              <w:rPr>
                <w:rFonts w:hint="eastAsia" w:ascii="Times New Roman" w:hAnsi="Times New Roman" w:cs="宋体"/>
                <w:kern w:val="0"/>
                <w:sz w:val="20"/>
                <w:szCs w:val="20"/>
              </w:rPr>
              <w:t>能用创新的方法或者多种方法解决复杂问题或真实问题。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L0514</w:t>
            </w:r>
            <w:r>
              <w:rPr>
                <w:rFonts w:hint="eastAsia" w:ascii="Times New Roman" w:hAnsi="Times New Roman" w:cs="宋体"/>
                <w:kern w:val="0"/>
                <w:sz w:val="20"/>
                <w:szCs w:val="20"/>
              </w:rPr>
              <w:t>了解行业前沿知识技术。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LO61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LO611</w:t>
            </w:r>
            <w:r>
              <w:rPr>
                <w:rFonts w:hint="eastAsia" w:ascii="Times New Roman" w:hAnsi="Times New Roman" w:cs="宋体"/>
                <w:kern w:val="0"/>
                <w:sz w:val="20"/>
                <w:szCs w:val="20"/>
              </w:rPr>
              <w:t>能够根据需要进行专业文献检索。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LO612</w:t>
            </w:r>
            <w:r>
              <w:rPr>
                <w:rFonts w:hint="eastAsia" w:ascii="Times New Roman" w:hAnsi="Times New Roman" w:cs="宋体"/>
                <w:kern w:val="0"/>
                <w:sz w:val="20"/>
                <w:szCs w:val="20"/>
              </w:rPr>
              <w:t>能够使用适合的工具来搜集信息，并对信息加以分析、鉴别、判断与整合。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LO613</w:t>
            </w:r>
            <w:r>
              <w:rPr>
                <w:rFonts w:hint="eastAsia" w:ascii="Times New Roman" w:hAnsi="Times New Roman" w:cs="宋体"/>
                <w:kern w:val="0"/>
                <w:sz w:val="20"/>
                <w:szCs w:val="20"/>
              </w:rPr>
              <w:t>熟练使用计算机，掌握常用办公软件。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LO71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LO711</w:t>
            </w:r>
            <w:r>
              <w:rPr>
                <w:rFonts w:hint="eastAsia" w:ascii="Times New Roman" w:hAnsi="Times New Roman" w:cs="宋体"/>
                <w:kern w:val="0"/>
                <w:sz w:val="20"/>
                <w:szCs w:val="20"/>
              </w:rPr>
              <w:t>爱党爱国：了解祖国的优秀传统文化和革命历史，构建爱党爱国的理想信念。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LO712</w:t>
            </w:r>
            <w:r>
              <w:rPr>
                <w:rFonts w:hint="eastAsia" w:ascii="Times New Roman" w:hAnsi="Times New Roman" w:cs="宋体"/>
                <w:kern w:val="0"/>
                <w:sz w:val="20"/>
                <w:szCs w:val="20"/>
              </w:rPr>
              <w:t>助人为乐：富于爱心，懂得感恩，具备助人为乐的品质。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LO713</w:t>
            </w:r>
            <w:r>
              <w:rPr>
                <w:rFonts w:hint="eastAsia" w:ascii="Times New Roman" w:hAnsi="Times New Roman" w:cs="宋体"/>
                <w:kern w:val="0"/>
                <w:sz w:val="20"/>
                <w:szCs w:val="20"/>
              </w:rPr>
              <w:t>奉献社会：具有服务企业、服务社会的意愿和行为能力。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LO714</w:t>
            </w:r>
            <w:r>
              <w:rPr>
                <w:rFonts w:hint="eastAsia" w:ascii="Times New Roman" w:hAnsi="Times New Roman" w:cs="宋体"/>
                <w:kern w:val="0"/>
                <w:sz w:val="20"/>
                <w:szCs w:val="20"/>
              </w:rPr>
              <w:t>爱护环境：具有爱护环境的意识和与自然和谐相处的环保理念。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LO81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LO811</w:t>
            </w:r>
            <w:r>
              <w:rPr>
                <w:rFonts w:hint="eastAsia" w:ascii="Times New Roman" w:hAnsi="Times New Roman" w:cs="宋体"/>
                <w:kern w:val="0"/>
                <w:sz w:val="20"/>
                <w:szCs w:val="20"/>
              </w:rPr>
              <w:t>具备外语表达沟通能力，达到本专业的要求。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LO812</w:t>
            </w:r>
            <w:r>
              <w:rPr>
                <w:rFonts w:hint="eastAsia" w:ascii="Times New Roman" w:hAnsi="Times New Roman" w:cs="宋体"/>
                <w:kern w:val="0"/>
                <w:sz w:val="20"/>
                <w:szCs w:val="20"/>
              </w:rPr>
              <w:t>理解其他国家历史文化，有跨文化交流能力。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LO813</w:t>
            </w:r>
            <w:r>
              <w:rPr>
                <w:rFonts w:hint="eastAsia" w:ascii="Times New Roman" w:hAnsi="Times New Roman" w:cs="宋体"/>
                <w:kern w:val="0"/>
                <w:sz w:val="20"/>
                <w:szCs w:val="20"/>
              </w:rPr>
              <w:t>有国际竞争与合作意识。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</w:tbl>
    <w:p>
      <w:pPr>
        <w:widowControl/>
        <w:spacing w:before="156" w:beforeLines="50" w:after="156" w:afterLines="50" w:line="288" w:lineRule="auto"/>
        <w:jc w:val="left"/>
      </w:pPr>
      <w:r>
        <w:rPr>
          <w:rFonts w:hint="eastAsia" w:cs="宋体"/>
        </w:rPr>
        <w:t>备注：</w:t>
      </w:r>
      <w:r>
        <w:t>LO=learning outcomes</w:t>
      </w:r>
      <w:r>
        <w:rPr>
          <w:rFonts w:hint="eastAsia" w:cs="宋体"/>
        </w:rPr>
        <w:t>（学习成果）</w:t>
      </w: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  <w:szCs w:val="24"/>
        </w:rPr>
      </w:pPr>
      <w:r>
        <w:rPr>
          <w:rFonts w:hint="eastAsia" w:ascii="黑体" w:hAnsi="宋体" w:eastAsia="黑体" w:cs="黑体"/>
          <w:sz w:val="24"/>
          <w:szCs w:val="24"/>
        </w:rPr>
        <w:t>五、课程目标</w:t>
      </w:r>
      <w:r>
        <w:rPr>
          <w:rFonts w:ascii="黑体" w:hAnsi="宋体" w:eastAsia="黑体" w:cs="黑体"/>
          <w:sz w:val="24"/>
          <w:szCs w:val="24"/>
        </w:rPr>
        <w:t>/</w:t>
      </w:r>
      <w:r>
        <w:rPr>
          <w:rFonts w:hint="eastAsia" w:ascii="黑体" w:hAnsi="宋体" w:eastAsia="黑体" w:cs="黑体"/>
          <w:sz w:val="24"/>
          <w:szCs w:val="24"/>
        </w:rPr>
        <w:t>课程预期学习成果</w:t>
      </w:r>
    </w:p>
    <w:tbl>
      <w:tblPr>
        <w:tblStyle w:val="5"/>
        <w:tblW w:w="7655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1133"/>
        <w:gridCol w:w="2551"/>
        <w:gridCol w:w="2160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</w:tcPr>
          <w:p>
            <w:pPr>
              <w:snapToGrid w:val="0"/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 w:cs="宋体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133" w:type="dxa"/>
            <w:tcBorders>
              <w:left w:val="nil"/>
            </w:tcBorders>
          </w:tcPr>
          <w:p>
            <w:pPr>
              <w:snapToGrid w:val="0"/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 w:cs="宋体"/>
                <w:b/>
                <w:bCs/>
                <w:sz w:val="20"/>
                <w:szCs w:val="20"/>
              </w:rPr>
              <w:t>课程预期</w:t>
            </w:r>
          </w:p>
          <w:p>
            <w:pPr>
              <w:snapToGrid w:val="0"/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 w:cs="宋体"/>
                <w:b/>
                <w:bCs/>
                <w:sz w:val="20"/>
                <w:szCs w:val="20"/>
              </w:rPr>
              <w:t>学习成果</w:t>
            </w:r>
          </w:p>
        </w:tc>
        <w:tc>
          <w:tcPr>
            <w:tcW w:w="2551" w:type="dxa"/>
            <w:tcBorders>
              <w:left w:val="nil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hint="eastAsia" w:cs="宋体"/>
                <w:b/>
                <w:bCs/>
                <w:sz w:val="20"/>
                <w:szCs w:val="20"/>
              </w:rPr>
              <w:t>课程目标</w:t>
            </w:r>
          </w:p>
          <w:p>
            <w:pPr>
              <w:snapToGrid w:val="0"/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 w:cs="宋体"/>
                <w:b/>
                <w:bCs/>
                <w:sz w:val="20"/>
                <w:szCs w:val="20"/>
              </w:rPr>
              <w:t>（细化的预期学习成果）</w:t>
            </w:r>
          </w:p>
        </w:tc>
        <w:tc>
          <w:tcPr>
            <w:tcW w:w="2160" w:type="dxa"/>
            <w:tcBorders>
              <w:left w:val="nil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 w:cs="宋体"/>
                <w:b/>
                <w:bCs/>
                <w:sz w:val="20"/>
                <w:szCs w:val="20"/>
              </w:rPr>
              <w:t>教与学方式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 w:cs="宋体"/>
                <w:b/>
                <w:bCs/>
                <w:sz w:val="20"/>
                <w:szCs w:val="20"/>
              </w:rPr>
              <w:t>评价方式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</w:trPr>
        <w:tc>
          <w:tcPr>
            <w:tcW w:w="535" w:type="dxa"/>
            <w:tcBorders>
              <w:top w:val="nil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仿宋"/>
                <w:kern w:val="0"/>
                <w:sz w:val="20"/>
                <w:szCs w:val="20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仿宋"/>
                <w:kern w:val="0"/>
                <w:sz w:val="20"/>
                <w:szCs w:val="20"/>
              </w:rPr>
              <w:t>LO211</w:t>
            </w:r>
          </w:p>
        </w:tc>
        <w:tc>
          <w:tcPr>
            <w:tcW w:w="2551" w:type="dxa"/>
            <w:tcBorders>
              <w:top w:val="nil"/>
              <w:left w:val="nil"/>
            </w:tcBorders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能根据需要确定学习目标，并设计学习计划。</w:t>
            </w:r>
          </w:p>
        </w:tc>
        <w:tc>
          <w:tcPr>
            <w:tcW w:w="2160" w:type="dxa"/>
            <w:tcBorders>
              <w:left w:val="nil"/>
            </w:tcBorders>
          </w:tcPr>
          <w:p>
            <w:pPr>
              <w:tabs>
                <w:tab w:val="left" w:pos="312"/>
              </w:tabs>
              <w:snapToGrid w:val="0"/>
              <w:spacing w:line="288" w:lineRule="auto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1.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帮助学生课前确认每章节的学习目标，要求学生按照学习目标制定学习计划。</w:t>
            </w:r>
          </w:p>
          <w:p>
            <w:pPr>
              <w:tabs>
                <w:tab w:val="left" w:pos="312"/>
              </w:tabs>
              <w:snapToGrid w:val="0"/>
              <w:spacing w:line="288" w:lineRule="auto"/>
              <w:jc w:val="left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2.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重要知识点要求熟记、背诵相关句型、熟读课文日语说明、完成课后练习。</w:t>
            </w:r>
          </w:p>
        </w:tc>
        <w:tc>
          <w:tcPr>
            <w:tcW w:w="1276" w:type="dxa"/>
            <w:tcBorders>
              <w:top w:val="nil"/>
              <w:left w:val="nil"/>
            </w:tcBorders>
            <w:vAlign w:val="center"/>
          </w:tcPr>
          <w:p>
            <w:pPr>
              <w:snapToGrid w:val="0"/>
              <w:spacing w:line="288" w:lineRule="auto"/>
              <w:jc w:val="left"/>
              <w:rPr>
                <w:rFonts w:ascii="黑体" w:hAnsi="宋体" w:eastAsia="黑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课堂表现并回答提问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4" w:hRule="atLeast"/>
        </w:trPr>
        <w:tc>
          <w:tcPr>
            <w:tcW w:w="535" w:type="dxa"/>
            <w:vMerge w:val="restart"/>
            <w:tcBorders>
              <w:top w:val="nil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仿宋"/>
                <w:kern w:val="0"/>
                <w:sz w:val="20"/>
                <w:szCs w:val="20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仿宋"/>
                <w:kern w:val="0"/>
                <w:sz w:val="20"/>
                <w:szCs w:val="20"/>
              </w:rPr>
              <w:t>L0321</w:t>
            </w:r>
          </w:p>
        </w:tc>
        <w:tc>
          <w:tcPr>
            <w:tcW w:w="2551" w:type="dxa"/>
            <w:tcBorders>
              <w:top w:val="nil"/>
              <w:left w:val="nil"/>
            </w:tcBorders>
            <w:vAlign w:val="center"/>
          </w:tcPr>
          <w:p>
            <w:pPr>
              <w:snapToGrid w:val="0"/>
              <w:spacing w:line="288" w:lineRule="auto"/>
              <w:jc w:val="left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了解日语概说的一般知识，以及语言学研究的发展与现状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。</w:t>
            </w:r>
          </w:p>
        </w:tc>
        <w:tc>
          <w:tcPr>
            <w:tcW w:w="2160" w:type="dxa"/>
            <w:tcBorders>
              <w:left w:val="nil"/>
            </w:tcBorders>
          </w:tcPr>
          <w:p>
            <w:pPr>
              <w:snapToGrid w:val="0"/>
              <w:spacing w:line="288" w:lineRule="auto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1.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辨别词类与词义的差异变化，学会从语义搭配方面进行分析。并结合课文练习加深理解。</w:t>
            </w:r>
          </w:p>
          <w:p>
            <w:pPr>
              <w:snapToGrid w:val="0"/>
              <w:spacing w:line="288" w:lineRule="auto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2.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详细解说容易产生偏误的用法，尤其是日常使用的或与等级考试有关的内容。</w:t>
            </w:r>
          </w:p>
          <w:p>
            <w:pPr>
              <w:snapToGrid w:val="0"/>
              <w:spacing w:line="288" w:lineRule="auto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3.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详细解说词汇学的重要知识点，结合日常用例加深理解与记忆。</w:t>
            </w:r>
          </w:p>
        </w:tc>
        <w:tc>
          <w:tcPr>
            <w:tcW w:w="1276" w:type="dxa"/>
            <w:tcBorders>
              <w:top w:val="nil"/>
              <w:left w:val="nil"/>
            </w:tcBorders>
            <w:vAlign w:val="center"/>
          </w:tcPr>
          <w:p>
            <w:pPr>
              <w:snapToGrid w:val="0"/>
              <w:spacing w:line="288" w:lineRule="auto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课堂检查</w:t>
            </w:r>
          </w:p>
          <w:p>
            <w:pPr>
              <w:snapToGrid w:val="0"/>
              <w:spacing w:line="288" w:lineRule="auto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课堂提问</w:t>
            </w:r>
          </w:p>
          <w:p>
            <w:pPr>
              <w:snapToGrid w:val="0"/>
              <w:spacing w:line="288" w:lineRule="auto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笔头作业</w:t>
            </w:r>
          </w:p>
          <w:p>
            <w:pPr>
              <w:snapToGrid w:val="0"/>
              <w:spacing w:line="288" w:lineRule="auto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口头作业</w:t>
            </w:r>
          </w:p>
          <w:p>
            <w:pPr>
              <w:snapToGrid w:val="0"/>
              <w:spacing w:line="288" w:lineRule="auto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小测验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53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仿宋"/>
                <w:kern w:val="0"/>
                <w:sz w:val="20"/>
                <w:szCs w:val="20"/>
              </w:rPr>
              <w:t>L0322</w:t>
            </w:r>
          </w:p>
        </w:tc>
        <w:tc>
          <w:tcPr>
            <w:tcW w:w="2551" w:type="dxa"/>
            <w:tcBorders>
              <w:left w:val="nil"/>
            </w:tcBorders>
            <w:vAlign w:val="center"/>
          </w:tcPr>
          <w:p>
            <w:pPr>
              <w:snapToGrid w:val="0"/>
              <w:spacing w:line="288" w:lineRule="auto"/>
              <w:jc w:val="left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掌握基本词汇学的要点，能够避免出错与促进正确理解使用。</w:t>
            </w:r>
          </w:p>
        </w:tc>
        <w:tc>
          <w:tcPr>
            <w:tcW w:w="2160" w:type="dxa"/>
            <w:tcBorders>
              <w:left w:val="nil"/>
            </w:tcBorders>
            <w:vAlign w:val="center"/>
          </w:tcPr>
          <w:p>
            <w:pPr>
              <w:snapToGrid w:val="0"/>
              <w:spacing w:line="288" w:lineRule="auto"/>
              <w:jc w:val="left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根据教材中各章节内容，形成语言学单元的框架结构。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>
            <w:pPr>
              <w:snapToGrid w:val="0"/>
              <w:spacing w:line="288" w:lineRule="auto"/>
              <w:jc w:val="left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结合等级考试试题进行能力验证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535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仿宋"/>
                <w:kern w:val="0"/>
                <w:sz w:val="20"/>
                <w:szCs w:val="20"/>
              </w:rPr>
              <w:t>3</w:t>
            </w:r>
          </w:p>
        </w:tc>
        <w:tc>
          <w:tcPr>
            <w:tcW w:w="1133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LO712</w:t>
            </w:r>
          </w:p>
        </w:tc>
        <w:tc>
          <w:tcPr>
            <w:tcW w:w="2551" w:type="dxa"/>
            <w:tcBorders>
              <w:left w:val="nil"/>
            </w:tcBorders>
          </w:tcPr>
          <w:p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鼓励学生懂得感恩，具备助人为乐的品质。</w:t>
            </w:r>
          </w:p>
        </w:tc>
        <w:tc>
          <w:tcPr>
            <w:tcW w:w="2160" w:type="dxa"/>
            <w:tcBorders>
              <w:left w:val="nil"/>
            </w:tcBorders>
          </w:tcPr>
          <w:p>
            <w:pPr>
              <w:snapToGrid w:val="0"/>
              <w:spacing w:line="288" w:lineRule="auto"/>
              <w:jc w:val="left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分小组完成学习任务，鼓励学生互相帮助。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口头发表</w:t>
            </w:r>
          </w:p>
        </w:tc>
      </w:tr>
    </w:tbl>
    <w:p>
      <w:pPr>
        <w:snapToGrid w:val="0"/>
        <w:spacing w:line="288" w:lineRule="auto"/>
        <w:rPr>
          <w:rFonts w:ascii="黑体" w:hAnsi="宋体" w:eastAsia="黑体" w:cs="黑体"/>
          <w:sz w:val="24"/>
          <w:szCs w:val="24"/>
        </w:rPr>
      </w:pPr>
      <w:r>
        <w:rPr>
          <w:rFonts w:ascii="黑体" w:hAnsi="宋体" w:eastAsia="黑体" w:cs="黑体"/>
          <w:sz w:val="24"/>
          <w:szCs w:val="24"/>
        </w:rPr>
        <w:t xml:space="preserve"> </w:t>
      </w: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  <w:szCs w:val="24"/>
        </w:rPr>
      </w:pPr>
      <w:r>
        <w:rPr>
          <w:rFonts w:hint="eastAsia" w:ascii="黑体" w:hAnsi="宋体" w:eastAsia="黑体" w:cs="黑体"/>
          <w:sz w:val="24"/>
          <w:szCs w:val="24"/>
        </w:rPr>
        <w:t>六、课程内容</w:t>
      </w:r>
    </w:p>
    <w:p>
      <w:pPr>
        <w:snapToGrid w:val="0"/>
        <w:spacing w:line="288" w:lineRule="auto"/>
        <w:ind w:firstLine="400" w:firstLineChars="200"/>
        <w:rPr>
          <w:rFonts w:ascii="宋体"/>
          <w:sz w:val="20"/>
          <w:szCs w:val="20"/>
        </w:rPr>
      </w:pPr>
      <w:r>
        <w:rPr>
          <w:rFonts w:hint="eastAsia" w:ascii="宋体" w:hAnsi="宋体" w:cs="宋体"/>
          <w:sz w:val="20"/>
          <w:szCs w:val="20"/>
        </w:rPr>
        <w:t>本学期主要内容有：词汇、时态和体、被动和使役、可能和语气。每周</w:t>
      </w:r>
      <w:r>
        <w:rPr>
          <w:sz w:val="20"/>
          <w:szCs w:val="20"/>
        </w:rPr>
        <w:t>2</w:t>
      </w:r>
      <w:r>
        <w:rPr>
          <w:rFonts w:hint="eastAsia" w:ascii="宋体" w:hAnsi="宋体" w:cs="宋体"/>
          <w:sz w:val="20"/>
          <w:szCs w:val="20"/>
        </w:rPr>
        <w:t>个学时，总共</w:t>
      </w:r>
      <w:r>
        <w:rPr>
          <w:sz w:val="20"/>
          <w:szCs w:val="20"/>
        </w:rPr>
        <w:t>16</w:t>
      </w:r>
      <w:r>
        <w:rPr>
          <w:rFonts w:hint="eastAsia" w:ascii="宋体" w:hAnsi="宋体" w:cs="宋体"/>
          <w:sz w:val="20"/>
          <w:szCs w:val="20"/>
        </w:rPr>
        <w:t>周</w:t>
      </w:r>
      <w:r>
        <w:rPr>
          <w:sz w:val="20"/>
          <w:szCs w:val="20"/>
        </w:rPr>
        <w:t>32</w:t>
      </w:r>
      <w:r>
        <w:rPr>
          <w:rFonts w:hint="eastAsia" w:ascii="宋体" w:hAnsi="宋体" w:cs="宋体"/>
          <w:sz w:val="20"/>
          <w:szCs w:val="20"/>
        </w:rPr>
        <w:t>学时。根据内容重点，采用灵活课时调整展开授课。即考虑到每个部分的不平衡，根据内容篇幅分配课时。学生课内实践环节约为</w:t>
      </w:r>
      <w:r>
        <w:rPr>
          <w:rFonts w:ascii="宋体" w:hAnsi="宋体" w:cs="宋体"/>
          <w:sz w:val="20"/>
          <w:szCs w:val="20"/>
        </w:rPr>
        <w:t>8</w:t>
      </w:r>
      <w:r>
        <w:rPr>
          <w:rFonts w:hint="eastAsia" w:ascii="宋体" w:hAnsi="宋体" w:cs="宋体"/>
          <w:sz w:val="20"/>
          <w:szCs w:val="20"/>
        </w:rPr>
        <w:t>学时；课外练习、阅读文献及作业等时间不计在内。</w:t>
      </w:r>
    </w:p>
    <w:p>
      <w:pPr>
        <w:snapToGrid w:val="0"/>
        <w:spacing w:line="288" w:lineRule="auto"/>
        <w:ind w:firstLine="400" w:firstLineChars="200"/>
        <w:rPr>
          <w:rFonts w:ascii="宋体"/>
          <w:sz w:val="20"/>
          <w:szCs w:val="20"/>
        </w:rPr>
      </w:pPr>
    </w:p>
    <w:tbl>
      <w:tblPr>
        <w:tblStyle w:val="5"/>
        <w:tblW w:w="85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"/>
        <w:gridCol w:w="325"/>
        <w:gridCol w:w="384"/>
        <w:gridCol w:w="992"/>
        <w:gridCol w:w="2126"/>
        <w:gridCol w:w="43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2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黑体" w:hAnsi="黑体" w:eastAsia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0"/>
                <w:szCs w:val="20"/>
              </w:rPr>
              <w:t>课时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0"/>
                <w:szCs w:val="20"/>
              </w:rPr>
              <w:t>内容构成</w:t>
            </w:r>
          </w:p>
        </w:tc>
        <w:tc>
          <w:tcPr>
            <w:tcW w:w="21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0"/>
                <w:szCs w:val="20"/>
              </w:rPr>
              <w:t>知识能力要求</w:t>
            </w:r>
          </w:p>
        </w:tc>
        <w:tc>
          <w:tcPr>
            <w:tcW w:w="43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0"/>
                <w:szCs w:val="20"/>
              </w:rPr>
              <w:t>教学重点与难点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黑体" w:hAnsi="黑体" w:eastAsia="黑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240" w:lineRule="exact"/>
              <w:jc w:val="center"/>
              <w:rPr>
                <w:rFonts w:ascii="黑体" w:hAnsi="黑体" w:eastAsia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0"/>
                <w:szCs w:val="20"/>
              </w:rPr>
              <w:t>理论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240" w:lineRule="exact"/>
              <w:jc w:val="center"/>
              <w:rPr>
                <w:rFonts w:ascii="黑体" w:hAnsi="黑体" w:eastAsia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0"/>
                <w:szCs w:val="20"/>
              </w:rPr>
              <w:t>实践</w:t>
            </w:r>
          </w:p>
        </w:tc>
        <w:tc>
          <w:tcPr>
            <w:tcW w:w="9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3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6" w:hRule="atLeast"/>
          <w:jc w:val="center"/>
        </w:trPr>
        <w:tc>
          <w:tcPr>
            <w:tcW w:w="27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1</w:t>
            </w: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6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cs="宋体"/>
              </w:rPr>
            </w:pPr>
            <w:r>
              <w:rPr>
                <w:rFonts w:ascii="宋体" w:cs="宋体"/>
              </w:rPr>
              <w:t>0</w:t>
            </w:r>
          </w:p>
        </w:tc>
        <w:tc>
          <w:tcPr>
            <w:tcW w:w="9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/>
              </w:rPr>
            </w:pPr>
            <w:r>
              <w:rPr>
                <w:rFonts w:hint="eastAsia" w:cs="宋体"/>
                <w:sz w:val="20"/>
                <w:szCs w:val="20"/>
              </w:rPr>
              <w:t>日语语言学的研究领，日语单词的关系，汉日词汇意义的不同语对日语学习的影响</w:t>
            </w:r>
          </w:p>
        </w:tc>
        <w:tc>
          <w:tcPr>
            <w:tcW w:w="21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·了解词汇的意义范围</w:t>
            </w:r>
          </w:p>
          <w:p>
            <w:pPr>
              <w:snapToGrid w:val="0"/>
              <w:spacing w:line="288" w:lineRule="auto"/>
              <w:jc w:val="left"/>
              <w:rPr>
                <w:rFonts w:hint="eastAsia" w:ascii="宋体"/>
              </w:rPr>
            </w:pPr>
            <w:r>
              <w:rPr>
                <w:rFonts w:hint="eastAsia" w:ascii="宋体" w:hAnsi="宋体" w:cs="宋体"/>
              </w:rPr>
              <w:t>·了解汉语和日语词汇意义范围的差异和误用</w:t>
            </w:r>
          </w:p>
          <w:p>
            <w:pPr>
              <w:snapToGrid w:val="0"/>
              <w:spacing w:line="288" w:lineRule="auto"/>
              <w:jc w:val="left"/>
              <w:rPr>
                <w:rFonts w:hint="eastAsia" w:ascii="宋体"/>
              </w:rPr>
            </w:pPr>
            <w:r>
              <w:rPr>
                <w:rFonts w:hint="eastAsia" w:ascii="宋体" w:hAnsi="宋体" w:cs="宋体"/>
              </w:rPr>
              <w:t>·了解文字用法的不同</w:t>
            </w:r>
          </w:p>
        </w:tc>
        <w:tc>
          <w:tcPr>
            <w:tcW w:w="43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left"/>
              <w:rPr>
                <w:rFonts w:hint="eastAsia" w:ascii="宋体"/>
              </w:rPr>
            </w:pPr>
            <w:r>
              <w:rPr>
                <w:rFonts w:hint="eastAsia" w:ascii="宋体" w:hAnsi="宋体" w:cs="宋体"/>
              </w:rPr>
              <w:t>重点：</w:t>
            </w:r>
          </w:p>
          <w:p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·日语中的汉字发展变化尤其要关注和语同汉语词汇的差异。</w:t>
            </w:r>
          </w:p>
          <w:p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·分析汉日词汇误用的原因。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5" w:hRule="atLeast"/>
          <w:jc w:val="center"/>
        </w:trPr>
        <w:tc>
          <w:tcPr>
            <w:tcW w:w="27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2</w:t>
            </w: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6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/>
              </w:rPr>
            </w:pPr>
            <w:r>
              <w:rPr>
                <w:rFonts w:ascii="宋体" w:cs="宋体"/>
              </w:rPr>
              <w:t>0</w:t>
            </w:r>
          </w:p>
        </w:tc>
        <w:tc>
          <w:tcPr>
            <w:tcW w:w="9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hint="eastAsia" w:cs="宋体"/>
                <w:sz w:val="20"/>
                <w:szCs w:val="20"/>
              </w:rPr>
              <w:t>日语词汇具有数量多结构复杂的特点。分类如“基本词汇与基础词汇”。也有词源词类语法方面的分类，多方面构成了庞大的词汇系统。</w:t>
            </w:r>
          </w:p>
        </w:tc>
        <w:tc>
          <w:tcPr>
            <w:tcW w:w="21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·了解罗马字的形成</w:t>
            </w:r>
          </w:p>
          <w:p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·了解词汇与单词</w:t>
            </w:r>
          </w:p>
          <w:p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·了解日语词汇与词汇体系</w:t>
            </w:r>
          </w:p>
          <w:p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·了解单词的构造</w:t>
            </w:r>
          </w:p>
          <w:p>
            <w:pPr>
              <w:snapToGrid w:val="0"/>
              <w:spacing w:line="288" w:lineRule="auto"/>
              <w:jc w:val="left"/>
              <w:rPr>
                <w:rFonts w:ascii="宋体"/>
              </w:rPr>
            </w:pPr>
          </w:p>
        </w:tc>
        <w:tc>
          <w:tcPr>
            <w:tcW w:w="43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重点：</w:t>
            </w:r>
          </w:p>
          <w:p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·日语词汇具有系统性，需要通过例子比较学习，并结合具体例子加深理解</w:t>
            </w:r>
            <w:r>
              <w:rPr>
                <w:rFonts w:ascii="宋体" w:hAnsi="宋体" w:cs="宋体"/>
              </w:rPr>
              <w:t>(2)</w:t>
            </w:r>
          </w:p>
          <w:p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·日语词汇分类标准不同，学习中需要理解各自特点，尤其要关注词汇的各种差异</w:t>
            </w:r>
            <w:r>
              <w:rPr>
                <w:rFonts w:ascii="宋体" w:hAnsi="宋体" w:cs="宋体"/>
              </w:rPr>
              <w:t>(2)</w:t>
            </w:r>
          </w:p>
          <w:p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·从词汇系统角度，观察复合词的结构类型、语音同词汇的关系。需要通过例子比较学习，并结合说明加深理解</w:t>
            </w:r>
            <w:r>
              <w:rPr>
                <w:rFonts w:ascii="宋体" w:hAnsi="宋体" w:cs="宋体"/>
              </w:rPr>
              <w:t>(2)</w:t>
            </w:r>
          </w:p>
          <w:p>
            <w:pPr>
              <w:jc w:val="left"/>
              <w:rPr>
                <w:rFonts w:hint="eastAsia" w:asci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3" w:hRule="atLeast"/>
          <w:jc w:val="center"/>
        </w:trPr>
        <w:tc>
          <w:tcPr>
            <w:tcW w:w="27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3</w:t>
            </w: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8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/>
              </w:rPr>
            </w:pPr>
            <w:r>
              <w:rPr>
                <w:rFonts w:ascii="宋体" w:cs="宋体"/>
              </w:rPr>
              <w:t>0</w:t>
            </w:r>
          </w:p>
        </w:tc>
        <w:tc>
          <w:tcPr>
            <w:tcW w:w="9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rPr>
                <w:rFonts w:ascii="宋体"/>
                <w:color w:val="FF0000"/>
              </w:rPr>
            </w:pPr>
            <w:r>
              <w:rPr>
                <w:rFonts w:hint="eastAsia" w:cs="宋体"/>
                <w:sz w:val="20"/>
                <w:szCs w:val="20"/>
              </w:rPr>
              <w:t>日语时态和体的表达形式和意义。汉语时态和体与日语的不同。</w:t>
            </w:r>
          </w:p>
        </w:tc>
        <w:tc>
          <w:tcPr>
            <w:tcW w:w="21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·了解日语时态和体的意义以及体系。</w:t>
            </w:r>
          </w:p>
          <w:p>
            <w:pPr>
              <w:snapToGrid w:val="0"/>
              <w:spacing w:line="288" w:lineRule="auto"/>
              <w:jc w:val="left"/>
              <w:rPr>
                <w:rFonts w:hint="eastAsia" w:ascii="宋体"/>
              </w:rPr>
            </w:pPr>
            <w:r>
              <w:rPr>
                <w:rFonts w:hint="eastAsia" w:ascii="宋体" w:hAnsi="宋体" w:cs="宋体"/>
              </w:rPr>
              <w:t>·了解汉语和日语时态和体的不同点</w:t>
            </w:r>
          </w:p>
          <w:p>
            <w:pPr>
              <w:snapToGrid w:val="0"/>
              <w:spacing w:line="288" w:lineRule="auto"/>
              <w:jc w:val="left"/>
              <w:rPr>
                <w:rFonts w:ascii="宋体"/>
              </w:rPr>
            </w:pPr>
          </w:p>
        </w:tc>
        <w:tc>
          <w:tcPr>
            <w:tcW w:w="43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重点：</w:t>
            </w:r>
          </w:p>
          <w:p>
            <w:pPr>
              <w:snapToGrid w:val="0"/>
              <w:spacing w:line="288" w:lineRule="auto"/>
              <w:jc w:val="left"/>
              <w:rPr>
                <w:rFonts w:hint="eastAsia" w:ascii="宋体"/>
              </w:rPr>
            </w:pPr>
            <w:r>
              <w:rPr>
                <w:rFonts w:hint="eastAsia" w:ascii="宋体" w:hAnsi="宋体" w:cs="宋体"/>
              </w:rPr>
              <w:t>·了解汉语和日语时态和体的不同点。</w:t>
            </w:r>
          </w:p>
          <w:p>
            <w:pPr>
              <w:snapToGrid w:val="0"/>
              <w:spacing w:line="288" w:lineRule="auto"/>
              <w:jc w:val="left"/>
              <w:rPr>
                <w:rFonts w:hint="eastAsia"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jc w:val="left"/>
              <w:rPr>
                <w:rFonts w:ascii="宋体"/>
              </w:rPr>
            </w:pPr>
          </w:p>
          <w:p>
            <w:pPr>
              <w:jc w:val="left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难点：</w:t>
            </w:r>
            <w:r>
              <w:rPr>
                <w:rFonts w:ascii="宋体" w:hAnsi="宋体" w:cs="宋体"/>
              </w:rPr>
              <w:t xml:space="preserve"> </w:t>
            </w:r>
          </w:p>
          <w:p>
            <w:pPr>
              <w:jc w:val="left"/>
              <w:rPr>
                <w:rFonts w:hint="eastAsia" w:ascii="宋体"/>
              </w:rPr>
            </w:pPr>
            <w:r>
              <w:rPr>
                <w:rFonts w:hint="eastAsia" w:ascii="宋体" w:hAnsi="宋体" w:cs="宋体"/>
              </w:rPr>
              <w:t>·汉语和日语的时态和体具有不对称性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7" w:hRule="atLeast"/>
          <w:jc w:val="center"/>
        </w:trPr>
        <w:tc>
          <w:tcPr>
            <w:tcW w:w="27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4</w:t>
            </w: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6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/>
              </w:rPr>
            </w:pPr>
            <w:r>
              <w:rPr>
                <w:rFonts w:ascii="宋体" w:cs="宋体"/>
              </w:rPr>
              <w:t>0</w:t>
            </w:r>
          </w:p>
        </w:tc>
        <w:tc>
          <w:tcPr>
            <w:tcW w:w="9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日语被动和使役态的意义和形式。</w:t>
            </w:r>
          </w:p>
          <w:p>
            <w:pPr>
              <w:snapToGrid w:val="0"/>
              <w:spacing w:line="288" w:lineRule="auto"/>
              <w:jc w:val="left"/>
              <w:rPr>
                <w:rFonts w:hint="eastAsia" w:ascii="宋体"/>
                <w:color w:val="FF0000"/>
              </w:rPr>
            </w:pPr>
            <w:r>
              <w:rPr>
                <w:rFonts w:hint="eastAsia" w:ascii="宋体" w:hAnsi="宋体" w:cs="宋体"/>
              </w:rPr>
              <w:t>汉语被动和使役态与日语的不同。</w:t>
            </w:r>
          </w:p>
        </w:tc>
        <w:tc>
          <w:tcPr>
            <w:tcW w:w="21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·了解被动使役的形式和意义。</w:t>
            </w:r>
          </w:p>
          <w:p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·了解汉语和日语被动和使役态的不同</w:t>
            </w: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ascii="宋体"/>
              </w:rPr>
            </w:pPr>
          </w:p>
        </w:tc>
        <w:tc>
          <w:tcPr>
            <w:tcW w:w="43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重点：</w:t>
            </w:r>
          </w:p>
          <w:p>
            <w:pPr>
              <w:jc w:val="left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</w:rPr>
              <w:t>·</w:t>
            </w:r>
            <w:r>
              <w:rPr>
                <w:rFonts w:hint="eastAsia" w:cs="宋体"/>
                <w:sz w:val="20"/>
                <w:szCs w:val="20"/>
              </w:rPr>
              <w:t>要求了解汉语的被动和使役态</w:t>
            </w:r>
          </w:p>
          <w:p>
            <w:pPr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 w:ascii="宋体" w:hAnsi="宋体" w:cs="宋体"/>
              </w:rPr>
              <w:t>·要求了解日语的被动和使役态</w:t>
            </w:r>
          </w:p>
          <w:p>
            <w:pPr>
              <w:jc w:val="left"/>
              <w:rPr>
                <w:rFonts w:ascii="宋体"/>
              </w:rPr>
            </w:pPr>
          </w:p>
          <w:p>
            <w:pPr>
              <w:jc w:val="left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难点：</w:t>
            </w:r>
          </w:p>
          <w:p>
            <w:pPr>
              <w:jc w:val="left"/>
              <w:rPr>
                <w:rFonts w:hint="eastAsia" w:ascii="宋体"/>
              </w:rPr>
            </w:pPr>
            <w:r>
              <w:rPr>
                <w:rFonts w:hint="eastAsia" w:ascii="宋体" w:hAnsi="宋体" w:cs="宋体"/>
              </w:rPr>
              <w:t>·汉语和日语的被动和使役态用法的不同。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7" w:hRule="atLeast"/>
          <w:jc w:val="center"/>
        </w:trPr>
        <w:tc>
          <w:tcPr>
            <w:tcW w:w="27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4</w:t>
            </w: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6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/>
              </w:rPr>
            </w:pPr>
            <w:r>
              <w:rPr>
                <w:rFonts w:ascii="宋体" w:cs="宋体"/>
              </w:rPr>
              <w:t>0</w:t>
            </w:r>
          </w:p>
        </w:tc>
        <w:tc>
          <w:tcPr>
            <w:tcW w:w="9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ind w:firstLine="105" w:firstLineChars="50"/>
              <w:rPr>
                <w:rFonts w:ascii="MS Mincho" w:hAnsi="MS Mincho" w:cs="宋体"/>
              </w:rPr>
            </w:pPr>
            <w:r>
              <w:rPr>
                <w:rFonts w:hint="eastAsia" w:ascii="MS Mincho" w:hAnsi="MS Mincho" w:cs="宋体"/>
              </w:rPr>
              <w:t>日语的可能态以及语气词。</w:t>
            </w:r>
          </w:p>
          <w:p>
            <w:pPr>
              <w:snapToGrid w:val="0"/>
              <w:spacing w:line="288" w:lineRule="auto"/>
              <w:ind w:firstLine="105" w:firstLineChars="50"/>
              <w:rPr>
                <w:rFonts w:hint="eastAsia" w:ascii="宋体"/>
              </w:rPr>
            </w:pPr>
            <w:r>
              <w:rPr>
                <w:rFonts w:hint="eastAsia" w:ascii="MS Mincho" w:hAnsi="MS Mincho" w:cs="宋体"/>
              </w:rPr>
              <w:t>汉语的可能态和语气词与日语的不同点</w:t>
            </w:r>
          </w:p>
        </w:tc>
        <w:tc>
          <w:tcPr>
            <w:tcW w:w="21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ind w:firstLine="105" w:firstLineChars="50"/>
              <w:rPr>
                <w:rFonts w:ascii="MS Mincho" w:hAnsi="MS Mincho" w:cs="宋体"/>
              </w:rPr>
            </w:pPr>
            <w:r>
              <w:rPr>
                <w:rFonts w:hint="eastAsia" w:ascii="宋体" w:hAnsi="宋体" w:cs="宋体"/>
              </w:rPr>
              <w:t>·了解</w:t>
            </w:r>
            <w:r>
              <w:rPr>
                <w:rFonts w:hint="eastAsia" w:ascii="MS Mincho" w:hAnsi="MS Mincho" w:cs="宋体"/>
              </w:rPr>
              <w:t>日语的可能态以及语气词。</w:t>
            </w:r>
          </w:p>
          <w:p>
            <w:pPr>
              <w:snapToGrid w:val="0"/>
              <w:spacing w:line="288" w:lineRule="auto"/>
              <w:jc w:val="left"/>
              <w:rPr>
                <w:rFonts w:hint="eastAsia" w:ascii="宋体"/>
              </w:rPr>
            </w:pPr>
            <w:r>
              <w:rPr>
                <w:rFonts w:hint="eastAsia" w:ascii="宋体" w:hAnsi="宋体" w:cs="宋体"/>
              </w:rPr>
              <w:t>·了解</w:t>
            </w:r>
            <w:r>
              <w:rPr>
                <w:rFonts w:hint="eastAsia" w:ascii="MS Mincho" w:hAnsi="MS Mincho" w:cs="宋体"/>
              </w:rPr>
              <w:t>汉语的可能态和语气词与日语的不同点</w:t>
            </w:r>
          </w:p>
          <w:p>
            <w:pPr>
              <w:rPr>
                <w:rFonts w:ascii="宋体"/>
              </w:rPr>
            </w:pPr>
          </w:p>
        </w:tc>
        <w:tc>
          <w:tcPr>
            <w:tcW w:w="43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重点：</w:t>
            </w:r>
          </w:p>
          <w:p>
            <w:pPr>
              <w:snapToGrid w:val="0"/>
              <w:spacing w:line="288" w:lineRule="auto"/>
              <w:ind w:firstLine="105" w:firstLineChars="50"/>
              <w:rPr>
                <w:rFonts w:ascii="MS Mincho" w:hAnsi="MS Mincho" w:cs="宋体"/>
              </w:rPr>
            </w:pPr>
            <w:r>
              <w:rPr>
                <w:rFonts w:hint="eastAsia" w:ascii="宋体" w:hAnsi="宋体" w:cs="宋体"/>
              </w:rPr>
              <w:t>·了解</w:t>
            </w:r>
            <w:r>
              <w:rPr>
                <w:rFonts w:hint="eastAsia" w:ascii="MS Mincho" w:hAnsi="MS Mincho" w:cs="宋体"/>
              </w:rPr>
              <w:t>日语的可能态以及语气词。</w:t>
            </w:r>
          </w:p>
          <w:p>
            <w:pPr>
              <w:snapToGrid w:val="0"/>
              <w:spacing w:line="288" w:lineRule="auto"/>
              <w:jc w:val="left"/>
              <w:rPr>
                <w:rFonts w:hint="eastAsia" w:ascii="宋体"/>
              </w:rPr>
            </w:pPr>
            <w:r>
              <w:rPr>
                <w:rFonts w:hint="eastAsia" w:ascii="宋体" w:hAnsi="宋体" w:cs="宋体"/>
              </w:rPr>
              <w:t>·了解</w:t>
            </w:r>
            <w:r>
              <w:rPr>
                <w:rFonts w:hint="eastAsia" w:ascii="MS Mincho" w:hAnsi="MS Mincho" w:cs="宋体"/>
              </w:rPr>
              <w:t>汉语的可能态和语气词与日语的不同点</w:t>
            </w:r>
          </w:p>
          <w:p>
            <w:pPr>
              <w:snapToGrid w:val="0"/>
              <w:spacing w:line="288" w:lineRule="auto"/>
              <w:rPr>
                <w:rFonts w:hint="eastAsia" w:ascii="MingLiU"/>
                <w:sz w:val="20"/>
                <w:szCs w:val="20"/>
              </w:rPr>
            </w:pPr>
          </w:p>
          <w:p>
            <w:pPr>
              <w:jc w:val="left"/>
              <w:rPr>
                <w:rFonts w:ascii="宋体"/>
              </w:rPr>
            </w:pPr>
          </w:p>
          <w:p>
            <w:pPr>
              <w:jc w:val="left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难点：</w:t>
            </w:r>
          </w:p>
          <w:p>
            <w:pPr>
              <w:snapToGrid w:val="0"/>
              <w:spacing w:line="288" w:lineRule="auto"/>
              <w:ind w:firstLine="105" w:firstLineChars="50"/>
              <w:rPr>
                <w:rFonts w:hint="eastAsia" w:ascii="MS Mincho" w:hAnsi="MS Mincho" w:cs="宋体"/>
              </w:rPr>
            </w:pPr>
            <w:r>
              <w:rPr>
                <w:rFonts w:hint="eastAsia" w:ascii="MS Mincho" w:hAnsi="MS Mincho" w:cs="宋体"/>
              </w:rPr>
              <w:t>汉语的可能态和语气词与日语的不同点</w:t>
            </w:r>
          </w:p>
          <w:p>
            <w:pPr>
              <w:jc w:val="left"/>
              <w:rPr>
                <w:rFonts w:hint="eastAsia" w:ascii="宋体"/>
              </w:rPr>
            </w:pPr>
          </w:p>
        </w:tc>
      </w:tr>
    </w:tbl>
    <w:p>
      <w:pPr>
        <w:snapToGrid w:val="0"/>
        <w:spacing w:line="288" w:lineRule="auto"/>
        <w:ind w:firstLine="400" w:firstLineChars="200"/>
        <w:rPr>
          <w:rFonts w:ascii="宋体"/>
          <w:sz w:val="20"/>
          <w:szCs w:val="20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  <w:szCs w:val="24"/>
        </w:rPr>
      </w:pPr>
      <w:r>
        <w:rPr>
          <w:rFonts w:hint="eastAsia" w:ascii="黑体" w:hAnsi="宋体" w:eastAsia="黑体" w:cs="黑体"/>
          <w:sz w:val="24"/>
          <w:szCs w:val="24"/>
        </w:rPr>
        <w:t>七、课内实验名称及基本要求</w:t>
      </w:r>
    </w:p>
    <w:p>
      <w:pPr>
        <w:snapToGrid w:val="0"/>
        <w:spacing w:line="288" w:lineRule="auto"/>
        <w:ind w:right="26" w:firstLine="400" w:firstLineChars="200"/>
        <w:rPr>
          <w:rFonts w:ascii="Times New Roman" w:hAnsi="Times New Roman" w:cs="Times New Roman"/>
          <w:sz w:val="20"/>
          <w:szCs w:val="20"/>
        </w:rPr>
      </w:pPr>
      <w:r>
        <w:rPr>
          <w:rFonts w:hint="eastAsia" w:ascii="宋体" w:hAnsi="宋体" w:cs="宋体"/>
          <w:sz w:val="20"/>
          <w:szCs w:val="20"/>
        </w:rPr>
        <w:t>列出课程实验的名称、学时数、实验类型（演示型、验证型、设计型、综合型）及每个实验的内容简述。</w:t>
      </w:r>
    </w:p>
    <w:tbl>
      <w:tblPr>
        <w:tblStyle w:val="5"/>
        <w:tblW w:w="9072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620"/>
        <w:gridCol w:w="3240"/>
        <w:gridCol w:w="900"/>
        <w:gridCol w:w="1057"/>
        <w:gridCol w:w="1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40" w:type="dxa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序号</w:t>
            </w:r>
          </w:p>
        </w:tc>
        <w:tc>
          <w:tcPr>
            <w:tcW w:w="1620" w:type="dxa"/>
            <w:tcBorders>
              <w:left w:val="nil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实验名称</w:t>
            </w:r>
          </w:p>
        </w:tc>
        <w:tc>
          <w:tcPr>
            <w:tcW w:w="3240" w:type="dxa"/>
            <w:tcBorders>
              <w:left w:val="nil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主要内容</w:t>
            </w:r>
          </w:p>
        </w:tc>
        <w:tc>
          <w:tcPr>
            <w:tcW w:w="900" w:type="dxa"/>
            <w:tcBorders>
              <w:left w:val="nil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实验</w:t>
            </w:r>
          </w:p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时数</w:t>
            </w:r>
          </w:p>
        </w:tc>
        <w:tc>
          <w:tcPr>
            <w:tcW w:w="1057" w:type="dxa"/>
            <w:tcBorders>
              <w:left w:val="nil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cs="宋体"/>
                <w:sz w:val="20"/>
                <w:szCs w:val="20"/>
              </w:rPr>
              <w:t>实验类型</w:t>
            </w:r>
          </w:p>
        </w:tc>
        <w:tc>
          <w:tcPr>
            <w:tcW w:w="1715" w:type="dxa"/>
            <w:tcBorders>
              <w:left w:val="nil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40" w:type="dxa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cs="宋体"/>
                <w:sz w:val="16"/>
                <w:szCs w:val="16"/>
              </w:rPr>
              <w:t>1</w:t>
            </w:r>
          </w:p>
        </w:tc>
        <w:tc>
          <w:tcPr>
            <w:tcW w:w="1620" w:type="dxa"/>
            <w:tcBorders>
              <w:left w:val="nil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cs="宋体"/>
                <w:sz w:val="20"/>
                <w:szCs w:val="20"/>
              </w:rPr>
              <w:t>日语词汇</w:t>
            </w:r>
          </w:p>
        </w:tc>
        <w:tc>
          <w:tcPr>
            <w:tcW w:w="3240" w:type="dxa"/>
            <w:tcBorders>
              <w:left w:val="nil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cs="宋体"/>
                <w:sz w:val="20"/>
                <w:szCs w:val="20"/>
              </w:rPr>
              <w:t>结合常用例子加深理解</w:t>
            </w:r>
          </w:p>
        </w:tc>
        <w:tc>
          <w:tcPr>
            <w:tcW w:w="900" w:type="dxa"/>
            <w:tcBorders>
              <w:left w:val="nil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cs="宋体"/>
                <w:sz w:val="20"/>
                <w:szCs w:val="20"/>
              </w:rPr>
              <w:t>0</w:t>
            </w:r>
          </w:p>
        </w:tc>
        <w:tc>
          <w:tcPr>
            <w:tcW w:w="1057" w:type="dxa"/>
            <w:tcBorders>
              <w:left w:val="nil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cs="宋体"/>
                <w:sz w:val="20"/>
                <w:szCs w:val="20"/>
              </w:rPr>
              <w:t>综合型</w:t>
            </w:r>
          </w:p>
        </w:tc>
        <w:tc>
          <w:tcPr>
            <w:tcW w:w="1715" w:type="dxa"/>
            <w:tcBorders>
              <w:left w:val="nil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40" w:type="dxa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cs="宋体"/>
                <w:sz w:val="16"/>
                <w:szCs w:val="16"/>
              </w:rPr>
              <w:t>2</w:t>
            </w:r>
          </w:p>
        </w:tc>
        <w:tc>
          <w:tcPr>
            <w:tcW w:w="1620" w:type="dxa"/>
            <w:tcBorders>
              <w:left w:val="nil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cs="宋体"/>
                <w:sz w:val="20"/>
                <w:szCs w:val="20"/>
              </w:rPr>
              <w:t>日语时态</w:t>
            </w:r>
          </w:p>
        </w:tc>
        <w:tc>
          <w:tcPr>
            <w:tcW w:w="3240" w:type="dxa"/>
            <w:tcBorders>
              <w:left w:val="nil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cs="宋体"/>
                <w:sz w:val="20"/>
                <w:szCs w:val="20"/>
              </w:rPr>
              <w:t>结合试题例子加深理解</w:t>
            </w:r>
          </w:p>
        </w:tc>
        <w:tc>
          <w:tcPr>
            <w:tcW w:w="900" w:type="dxa"/>
            <w:tcBorders>
              <w:left w:val="nil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cs="宋体"/>
                <w:sz w:val="20"/>
                <w:szCs w:val="20"/>
              </w:rPr>
              <w:t>0</w:t>
            </w:r>
          </w:p>
        </w:tc>
        <w:tc>
          <w:tcPr>
            <w:tcW w:w="1057" w:type="dxa"/>
            <w:tcBorders>
              <w:left w:val="nil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cs="宋体"/>
                <w:sz w:val="20"/>
                <w:szCs w:val="20"/>
              </w:rPr>
              <w:t>综合型</w:t>
            </w:r>
          </w:p>
        </w:tc>
        <w:tc>
          <w:tcPr>
            <w:tcW w:w="1715" w:type="dxa"/>
            <w:tcBorders>
              <w:left w:val="nil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40" w:type="dxa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cs="宋体"/>
                <w:sz w:val="16"/>
                <w:szCs w:val="16"/>
              </w:rPr>
              <w:t>3</w:t>
            </w:r>
          </w:p>
        </w:tc>
        <w:tc>
          <w:tcPr>
            <w:tcW w:w="1620" w:type="dxa"/>
            <w:tcBorders>
              <w:left w:val="nil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cs="宋体"/>
                <w:sz w:val="20"/>
                <w:szCs w:val="20"/>
              </w:rPr>
              <w:t>日语被动使役</w:t>
            </w:r>
          </w:p>
        </w:tc>
        <w:tc>
          <w:tcPr>
            <w:tcW w:w="3240" w:type="dxa"/>
            <w:tcBorders>
              <w:left w:val="nil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cs="宋体"/>
                <w:sz w:val="20"/>
                <w:szCs w:val="20"/>
              </w:rPr>
              <w:t>结合试题例子加深理解</w:t>
            </w:r>
          </w:p>
        </w:tc>
        <w:tc>
          <w:tcPr>
            <w:tcW w:w="900" w:type="dxa"/>
            <w:tcBorders>
              <w:left w:val="nil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cs="宋体"/>
                <w:sz w:val="20"/>
                <w:szCs w:val="20"/>
              </w:rPr>
              <w:t>0</w:t>
            </w:r>
          </w:p>
        </w:tc>
        <w:tc>
          <w:tcPr>
            <w:tcW w:w="1057" w:type="dxa"/>
            <w:tcBorders>
              <w:left w:val="nil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cs="宋体"/>
                <w:sz w:val="20"/>
                <w:szCs w:val="20"/>
              </w:rPr>
              <w:t>综合型</w:t>
            </w:r>
          </w:p>
        </w:tc>
        <w:tc>
          <w:tcPr>
            <w:tcW w:w="1715" w:type="dxa"/>
            <w:tcBorders>
              <w:left w:val="nil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40" w:type="dxa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cs="宋体"/>
                <w:sz w:val="16"/>
                <w:szCs w:val="16"/>
              </w:rPr>
              <w:t>4</w:t>
            </w:r>
          </w:p>
        </w:tc>
        <w:tc>
          <w:tcPr>
            <w:tcW w:w="1620" w:type="dxa"/>
            <w:tcBorders>
              <w:left w:val="nil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cs="宋体"/>
                <w:sz w:val="20"/>
                <w:szCs w:val="20"/>
              </w:rPr>
              <w:t>日语可能语气词</w:t>
            </w:r>
          </w:p>
        </w:tc>
        <w:tc>
          <w:tcPr>
            <w:tcW w:w="3240" w:type="dxa"/>
            <w:tcBorders>
              <w:left w:val="nil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cs="宋体"/>
                <w:sz w:val="20"/>
                <w:szCs w:val="20"/>
              </w:rPr>
              <w:t>结合常用例子加深理解</w:t>
            </w:r>
          </w:p>
        </w:tc>
        <w:tc>
          <w:tcPr>
            <w:tcW w:w="900" w:type="dxa"/>
            <w:tcBorders>
              <w:left w:val="nil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cs="宋体"/>
                <w:sz w:val="20"/>
                <w:szCs w:val="20"/>
              </w:rPr>
              <w:t>0</w:t>
            </w:r>
          </w:p>
        </w:tc>
        <w:tc>
          <w:tcPr>
            <w:tcW w:w="1057" w:type="dxa"/>
            <w:tcBorders>
              <w:left w:val="nil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cs="宋体"/>
                <w:sz w:val="20"/>
                <w:szCs w:val="20"/>
              </w:rPr>
              <w:t>综合型</w:t>
            </w:r>
          </w:p>
        </w:tc>
        <w:tc>
          <w:tcPr>
            <w:tcW w:w="1715" w:type="dxa"/>
            <w:tcBorders>
              <w:left w:val="nil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</w:tbl>
    <w:p>
      <w:pPr>
        <w:snapToGrid w:val="0"/>
        <w:spacing w:line="288" w:lineRule="auto"/>
        <w:ind w:right="2520" w:firstLine="400" w:firstLineChars="200"/>
        <w:rPr>
          <w:rFonts w:ascii="Times New Roman" w:hAnsi="Times New Roman" w:cs="Times New Roman"/>
          <w:sz w:val="20"/>
          <w:szCs w:val="20"/>
        </w:rPr>
      </w:pPr>
      <w:r>
        <w:rPr>
          <w:sz w:val="20"/>
          <w:szCs w:val="20"/>
        </w:rPr>
        <w:t xml:space="preserve"> </w:t>
      </w: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  <w:szCs w:val="24"/>
        </w:rPr>
      </w:pPr>
      <w:r>
        <w:rPr>
          <w:rFonts w:hint="eastAsia" w:ascii="黑体" w:hAnsi="宋体" w:eastAsia="黑体" w:cs="黑体"/>
          <w:sz w:val="24"/>
          <w:szCs w:val="24"/>
        </w:rPr>
        <w:t>八、评价方式与成绩</w:t>
      </w:r>
    </w:p>
    <w:tbl>
      <w:tblPr>
        <w:tblStyle w:val="5"/>
        <w:tblW w:w="8755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="156" w:beforeLines="50" w:after="156" w:afterLines="50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总评构成（</w:t>
            </w:r>
            <w:r>
              <w:rPr>
                <w:rFonts w:ascii="宋体" w:hAnsi="宋体" w:cs="宋体"/>
              </w:rPr>
              <w:t>1+X</w:t>
            </w:r>
            <w:r>
              <w:rPr>
                <w:rFonts w:hint="eastAsia" w:ascii="宋体" w:hAnsi="宋体" w:cs="宋体"/>
              </w:rPr>
              <w:t>）</w:t>
            </w:r>
          </w:p>
        </w:tc>
        <w:tc>
          <w:tcPr>
            <w:tcW w:w="5103" w:type="dxa"/>
            <w:tcBorders>
              <w:left w:val="nil"/>
            </w:tcBorders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评价方式</w:t>
            </w:r>
          </w:p>
        </w:tc>
        <w:tc>
          <w:tcPr>
            <w:tcW w:w="1843" w:type="dxa"/>
            <w:tcBorders>
              <w:left w:val="nil"/>
            </w:tcBorders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1</w:t>
            </w:r>
          </w:p>
        </w:tc>
        <w:tc>
          <w:tcPr>
            <w:tcW w:w="5103" w:type="dxa"/>
            <w:tcBorders>
              <w:left w:val="nil"/>
            </w:tcBorders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闭卷考试</w:t>
            </w:r>
          </w:p>
        </w:tc>
        <w:tc>
          <w:tcPr>
            <w:tcW w:w="1843" w:type="dxa"/>
            <w:tcBorders>
              <w:left w:val="nil"/>
            </w:tcBorders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X1</w:t>
            </w:r>
          </w:p>
        </w:tc>
        <w:tc>
          <w:tcPr>
            <w:tcW w:w="5103" w:type="dxa"/>
            <w:tcBorders>
              <w:left w:val="nil"/>
            </w:tcBorders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小测试、综合练习</w:t>
            </w:r>
          </w:p>
        </w:tc>
        <w:tc>
          <w:tcPr>
            <w:tcW w:w="1843" w:type="dxa"/>
            <w:tcBorders>
              <w:left w:val="nil"/>
            </w:tcBorders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X2</w:t>
            </w:r>
          </w:p>
        </w:tc>
        <w:tc>
          <w:tcPr>
            <w:tcW w:w="5103" w:type="dxa"/>
            <w:tcBorders>
              <w:left w:val="nil"/>
            </w:tcBorders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小测试、随堂测验</w:t>
            </w:r>
          </w:p>
        </w:tc>
        <w:tc>
          <w:tcPr>
            <w:tcW w:w="1843" w:type="dxa"/>
            <w:tcBorders>
              <w:left w:val="nil"/>
            </w:tcBorders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X3</w:t>
            </w:r>
          </w:p>
        </w:tc>
        <w:tc>
          <w:tcPr>
            <w:tcW w:w="5103" w:type="dxa"/>
            <w:tcBorders>
              <w:left w:val="nil"/>
            </w:tcBorders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小测试、大作业</w:t>
            </w:r>
          </w:p>
        </w:tc>
        <w:tc>
          <w:tcPr>
            <w:tcW w:w="1843" w:type="dxa"/>
            <w:tcBorders>
              <w:left w:val="nil"/>
            </w:tcBorders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15%</w:t>
            </w:r>
          </w:p>
        </w:tc>
      </w:tr>
    </w:tbl>
    <w:p>
      <w:pPr>
        <w:snapToGrid w:val="0"/>
        <w:spacing w:line="288" w:lineRule="auto"/>
        <w:ind w:right="2520" w:firstLine="480" w:firstLineChars="200"/>
        <w:rPr>
          <w:rFonts w:ascii="黑体" w:hAnsi="宋体" w:eastAsia="黑体"/>
          <w:sz w:val="24"/>
          <w:szCs w:val="24"/>
        </w:rPr>
      </w:pPr>
    </w:p>
    <w:p>
      <w:pPr>
        <w:snapToGrid w:val="0"/>
        <w:spacing w:line="288" w:lineRule="auto"/>
        <w:ind w:left="-200" w:leftChars="0" w:firstLine="0" w:firstLineChars="0"/>
      </w:pPr>
      <w:r>
        <w:rPr>
          <w:rFonts w:hint="eastAsia" w:ascii="宋体" w:hAnsi="宋体" w:cs="宋体"/>
          <w:sz w:val="28"/>
          <w:szCs w:val="28"/>
        </w:rPr>
        <w:t>撰写人：</w:t>
      </w:r>
      <w:r>
        <w:rPr>
          <w:rFonts w:hint="eastAsia" w:ascii="宋体" w:hAnsi="宋体" w:cs="宋体"/>
          <w:sz w:val="28"/>
          <w:szCs w:val="28"/>
        </w:rPr>
        <w:drawing>
          <wp:inline distT="0" distB="0" distL="114300" distR="114300">
            <wp:extent cx="694690" cy="254000"/>
            <wp:effectExtent l="0" t="0" r="3810" b="0"/>
            <wp:docPr id="2" name="图片 2" descr="黄春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黄春玉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bookmarkStart w:id="0" w:name="_GoBack"/>
      <w:bookmarkEnd w:id="0"/>
      <w:r>
        <w:rPr>
          <w:rFonts w:hint="eastAsia"/>
          <w:sz w:val="28"/>
          <w:szCs w:val="28"/>
        </w:rPr>
        <w:t>系主任审核签名：</w:t>
      </w:r>
      <w:r>
        <w:rPr>
          <w:rFonts w:hint="eastAsia" w:eastAsia="宋体"/>
          <w:sz w:val="28"/>
          <w:szCs w:val="28"/>
          <w:lang w:eastAsia="zh-CN"/>
        </w:rPr>
        <w:drawing>
          <wp:inline distT="0" distB="0" distL="114300" distR="114300">
            <wp:extent cx="737870" cy="267335"/>
            <wp:effectExtent l="0" t="0" r="11430" b="12065"/>
            <wp:docPr id="3" name="图片 1" descr="刘尔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刘尔瑟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37870" cy="26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审核时间：</w:t>
      </w:r>
      <w:r>
        <w:rPr>
          <w:rFonts w:hint="eastAsia"/>
          <w:sz w:val="28"/>
          <w:szCs w:val="28"/>
          <w:lang w:val="en-US" w:eastAsia="zh-CN"/>
        </w:rPr>
        <w:t>2022.9.24</w:t>
      </w:r>
    </w:p>
    <w:p>
      <w:pPr>
        <w:snapToGrid w:val="0"/>
        <w:spacing w:line="288" w:lineRule="auto"/>
        <w:ind w:firstLine="420" w:firstLineChars="200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8000012" w:usb3="00000000" w:csb0="4002009F" w:csb1="DFD7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E9B"/>
    <w:rsid w:val="00017F09"/>
    <w:rsid w:val="0004084C"/>
    <w:rsid w:val="00060F91"/>
    <w:rsid w:val="0007280E"/>
    <w:rsid w:val="000B542B"/>
    <w:rsid w:val="000C498B"/>
    <w:rsid w:val="000E2448"/>
    <w:rsid w:val="000E2528"/>
    <w:rsid w:val="000E46CA"/>
    <w:rsid w:val="001040C4"/>
    <w:rsid w:val="0012253B"/>
    <w:rsid w:val="00132535"/>
    <w:rsid w:val="0014527C"/>
    <w:rsid w:val="00156E98"/>
    <w:rsid w:val="001A752C"/>
    <w:rsid w:val="001B0E03"/>
    <w:rsid w:val="002163A4"/>
    <w:rsid w:val="00227CB5"/>
    <w:rsid w:val="00234EF2"/>
    <w:rsid w:val="00243CEA"/>
    <w:rsid w:val="00246B89"/>
    <w:rsid w:val="002710D8"/>
    <w:rsid w:val="00281361"/>
    <w:rsid w:val="0029529A"/>
    <w:rsid w:val="002A5C2F"/>
    <w:rsid w:val="002E1B96"/>
    <w:rsid w:val="002F1AD6"/>
    <w:rsid w:val="003077A2"/>
    <w:rsid w:val="00317605"/>
    <w:rsid w:val="00325EAD"/>
    <w:rsid w:val="00330C77"/>
    <w:rsid w:val="003463C3"/>
    <w:rsid w:val="0035492F"/>
    <w:rsid w:val="003627A8"/>
    <w:rsid w:val="0036363C"/>
    <w:rsid w:val="00373DEB"/>
    <w:rsid w:val="003920CA"/>
    <w:rsid w:val="003B28C9"/>
    <w:rsid w:val="003B4800"/>
    <w:rsid w:val="003F31A0"/>
    <w:rsid w:val="003F64C3"/>
    <w:rsid w:val="00480CC2"/>
    <w:rsid w:val="00491526"/>
    <w:rsid w:val="00497021"/>
    <w:rsid w:val="004A0629"/>
    <w:rsid w:val="004D6A96"/>
    <w:rsid w:val="004E3DB9"/>
    <w:rsid w:val="004F62CE"/>
    <w:rsid w:val="005064A1"/>
    <w:rsid w:val="00510BC4"/>
    <w:rsid w:val="00530418"/>
    <w:rsid w:val="005868FF"/>
    <w:rsid w:val="005B3328"/>
    <w:rsid w:val="005C45D2"/>
    <w:rsid w:val="005D2F83"/>
    <w:rsid w:val="005F0F33"/>
    <w:rsid w:val="005F2D48"/>
    <w:rsid w:val="00615A20"/>
    <w:rsid w:val="0064181F"/>
    <w:rsid w:val="00671854"/>
    <w:rsid w:val="006751CA"/>
    <w:rsid w:val="00677214"/>
    <w:rsid w:val="006A32C1"/>
    <w:rsid w:val="006B2EB2"/>
    <w:rsid w:val="006C3ACF"/>
    <w:rsid w:val="006C5C8A"/>
    <w:rsid w:val="006C5CC9"/>
    <w:rsid w:val="006E0D18"/>
    <w:rsid w:val="006F2B4B"/>
    <w:rsid w:val="006F3474"/>
    <w:rsid w:val="00707B94"/>
    <w:rsid w:val="0072176E"/>
    <w:rsid w:val="00731306"/>
    <w:rsid w:val="00732FB9"/>
    <w:rsid w:val="00733342"/>
    <w:rsid w:val="0076195E"/>
    <w:rsid w:val="0077118E"/>
    <w:rsid w:val="007724DA"/>
    <w:rsid w:val="0079448F"/>
    <w:rsid w:val="007B6321"/>
    <w:rsid w:val="007D2BA7"/>
    <w:rsid w:val="007D729F"/>
    <w:rsid w:val="00837949"/>
    <w:rsid w:val="008535B0"/>
    <w:rsid w:val="00860B29"/>
    <w:rsid w:val="0088704D"/>
    <w:rsid w:val="00887EBF"/>
    <w:rsid w:val="0089163F"/>
    <w:rsid w:val="008B3E31"/>
    <w:rsid w:val="008B7BB7"/>
    <w:rsid w:val="008C3A2F"/>
    <w:rsid w:val="008F1F97"/>
    <w:rsid w:val="008F55D8"/>
    <w:rsid w:val="00903249"/>
    <w:rsid w:val="00907FF2"/>
    <w:rsid w:val="00923002"/>
    <w:rsid w:val="009630B7"/>
    <w:rsid w:val="00977FC0"/>
    <w:rsid w:val="00984ECB"/>
    <w:rsid w:val="00995E9B"/>
    <w:rsid w:val="009E3B76"/>
    <w:rsid w:val="009E4576"/>
    <w:rsid w:val="009F38DD"/>
    <w:rsid w:val="00A0402D"/>
    <w:rsid w:val="00A07FEE"/>
    <w:rsid w:val="00A12DE6"/>
    <w:rsid w:val="00A154BC"/>
    <w:rsid w:val="00A44585"/>
    <w:rsid w:val="00A47C8B"/>
    <w:rsid w:val="00A6227B"/>
    <w:rsid w:val="00A64A52"/>
    <w:rsid w:val="00A748EC"/>
    <w:rsid w:val="00AA383E"/>
    <w:rsid w:val="00AD466F"/>
    <w:rsid w:val="00AF0F43"/>
    <w:rsid w:val="00AF3A44"/>
    <w:rsid w:val="00B16F2E"/>
    <w:rsid w:val="00B217F8"/>
    <w:rsid w:val="00B33EB2"/>
    <w:rsid w:val="00B41AA6"/>
    <w:rsid w:val="00B861D5"/>
    <w:rsid w:val="00BC226E"/>
    <w:rsid w:val="00BC74C9"/>
    <w:rsid w:val="00BE1BAD"/>
    <w:rsid w:val="00BE5B81"/>
    <w:rsid w:val="00BF32E5"/>
    <w:rsid w:val="00C3326C"/>
    <w:rsid w:val="00C53197"/>
    <w:rsid w:val="00C80E08"/>
    <w:rsid w:val="00C8778F"/>
    <w:rsid w:val="00CA044B"/>
    <w:rsid w:val="00CB2BD0"/>
    <w:rsid w:val="00CC75EC"/>
    <w:rsid w:val="00CE73C4"/>
    <w:rsid w:val="00D0003F"/>
    <w:rsid w:val="00D00343"/>
    <w:rsid w:val="00D04FD6"/>
    <w:rsid w:val="00D2204B"/>
    <w:rsid w:val="00D23CF5"/>
    <w:rsid w:val="00D242D2"/>
    <w:rsid w:val="00D408D0"/>
    <w:rsid w:val="00D50F89"/>
    <w:rsid w:val="00D63755"/>
    <w:rsid w:val="00D87FA7"/>
    <w:rsid w:val="00DE4820"/>
    <w:rsid w:val="00DF4985"/>
    <w:rsid w:val="00E019BA"/>
    <w:rsid w:val="00E24FE8"/>
    <w:rsid w:val="00E3747A"/>
    <w:rsid w:val="00E57E2E"/>
    <w:rsid w:val="00E60B20"/>
    <w:rsid w:val="00E725A3"/>
    <w:rsid w:val="00E90E0C"/>
    <w:rsid w:val="00EC5F0B"/>
    <w:rsid w:val="00EE79BC"/>
    <w:rsid w:val="00EE7E83"/>
    <w:rsid w:val="00EF2CE0"/>
    <w:rsid w:val="00EF73B9"/>
    <w:rsid w:val="00F23BFB"/>
    <w:rsid w:val="00F24334"/>
    <w:rsid w:val="00F46971"/>
    <w:rsid w:val="00F67364"/>
    <w:rsid w:val="00F73FF2"/>
    <w:rsid w:val="00F83389"/>
    <w:rsid w:val="00FC65F4"/>
    <w:rsid w:val="00FD5544"/>
    <w:rsid w:val="00FD5E6A"/>
    <w:rsid w:val="2D611FF7"/>
    <w:rsid w:val="4CBE510F"/>
    <w:rsid w:val="5BB30133"/>
    <w:rsid w:val="74F6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8"/>
    <w:semiHidden/>
    <w:qFormat/>
    <w:uiPriority w:val="99"/>
    <w:pPr>
      <w:jc w:val="left"/>
    </w:p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99"/>
    <w:pPr>
      <w:widowControl w:val="0"/>
      <w:jc w:val="both"/>
    </w:pPr>
    <w:rPr>
      <w:rFonts w:ascii="Times New Roman" w:hAnsi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文字 字符"/>
    <w:basedOn w:val="7"/>
    <w:link w:val="2"/>
    <w:qFormat/>
    <w:locked/>
    <w:uiPriority w:val="99"/>
    <w:rPr>
      <w:kern w:val="2"/>
      <w:sz w:val="22"/>
      <w:szCs w:val="22"/>
    </w:rPr>
  </w:style>
  <w:style w:type="character" w:customStyle="1" w:styleId="9">
    <w:name w:val="页脚 字符"/>
    <w:basedOn w:val="7"/>
    <w:link w:val="3"/>
    <w:qFormat/>
    <w:locked/>
    <w:uiPriority w:val="99"/>
    <w:rPr>
      <w:sz w:val="18"/>
      <w:szCs w:val="18"/>
    </w:rPr>
  </w:style>
  <w:style w:type="character" w:customStyle="1" w:styleId="10">
    <w:name w:val="页眉 字符"/>
    <w:basedOn w:val="7"/>
    <w:link w:val="4"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2.jpeg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6</Pages>
  <Words>609</Words>
  <Characters>3475</Characters>
  <Lines>28</Lines>
  <Paragraphs>8</Paragraphs>
  <TotalTime>0</TotalTime>
  <ScaleCrop>false</ScaleCrop>
  <LinksUpToDate>false</LinksUpToDate>
  <CharactersWithSpaces>4076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2022-09-23T00:38:00Z</dcterms:created>
  <dc:creator>juvg</dc:creator>
  <cp:lastModifiedBy>刘尔瑟</cp:lastModifiedBy>
  <dcterms:modified xsi:type="dcterms:W3CDTF">2022-09-24T12:13:42Z</dcterms:modified>
  <dc:title>【日语词汇学】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