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rPr>
          <w:b/>
          <w:sz w:val="28"/>
          <w:szCs w:val="30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5080"/>
                <wp:wrapNone/>
                <wp:docPr id="3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41.8pt;margin-top:27.55pt;height:22.1pt;width:207.5pt;mso-position-horizontal-relative:page;mso-position-vertical-relative:page;z-index:251658240;mso-width-relative:page;mso-height-relative:page;" fillcolor="#FFFFFF" filled="t" stroked="f" coordsize="21600,21600" o:gfxdata="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y1ZHmtQAAAAIAQAADwAAAAAAAAABACAAAAAiAAAAZHJzL2Rvd25y&#10;ZXYueG1sUEsBAhQAFAAAAAgAh07iQLIEjao7AgAATwQAAA4AAAAAAAAAAQAgAAAAIwEAAGRycy9l&#10;Mm9Eb2MueG1sUEsFBgAAAAAGAAYAWQEAANA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/>
          <w:bCs/>
          <w:kern w:val="0"/>
          <w:sz w:val="40"/>
          <w:szCs w:val="40"/>
        </w:rPr>
        <w:t xml:space="preserve">                </w:t>
      </w:r>
      <w:r>
        <w:rPr>
          <w:rFonts w:hint="eastAsia"/>
          <w:b/>
          <w:sz w:val="28"/>
          <w:szCs w:val="30"/>
        </w:rPr>
        <w:t>【基础日语】</w:t>
      </w:r>
    </w:p>
    <w:p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b/>
          <w:sz w:val="28"/>
          <w:szCs w:val="30"/>
        </w:rPr>
        <w:t>Basic Japanese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>
      <w:pPr>
        <w:numPr>
          <w:ilvl w:val="0"/>
          <w:numId w:val="1"/>
        </w:numPr>
        <w:spacing w:before="156" w:beforeLines="50" w:after="156" w:afterLines="50" w:line="288" w:lineRule="auto"/>
        <w:ind w:firstLine="360" w:firstLineChars="150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基本信息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bCs/>
          <w:color w:val="000000"/>
          <w:sz w:val="20"/>
          <w:szCs w:val="20"/>
        </w:rPr>
        <w:t>1020020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8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【日语专业本科】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院定课程必修课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bCs/>
          <w:color w:val="000000"/>
          <w:sz w:val="20"/>
          <w:szCs w:val="20"/>
        </w:rPr>
        <w:t>外国语学院日语系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>
      <w:pPr>
        <w:snapToGrid w:val="0"/>
        <w:spacing w:line="288" w:lineRule="auto"/>
        <w:ind w:firstLine="792" w:firstLineChars="396"/>
        <w:rPr>
          <w:color w:val="000000"/>
          <w:szCs w:val="21"/>
        </w:rPr>
      </w:pPr>
      <w:r>
        <w:rPr>
          <w:color w:val="000000"/>
          <w:sz w:val="20"/>
          <w:szCs w:val="20"/>
        </w:rPr>
        <w:t>教材</w:t>
      </w:r>
      <w:r>
        <w:rPr>
          <w:rFonts w:hint="eastAsia"/>
          <w:color w:val="000000"/>
          <w:sz w:val="20"/>
          <w:szCs w:val="20"/>
        </w:rPr>
        <w:t xml:space="preserve">    </w:t>
      </w:r>
      <w:r>
        <w:rPr>
          <w:color w:val="000000"/>
          <w:sz w:val="20"/>
          <w:szCs w:val="20"/>
        </w:rPr>
        <w:t>【</w:t>
      </w:r>
      <w:r>
        <w:rPr>
          <w:rFonts w:hint="eastAsia" w:ascii="宋体" w:hAnsi="宋体"/>
          <w:sz w:val="20"/>
          <w:szCs w:val="20"/>
        </w:rPr>
        <w:t>《日语综合教程》第5册；陆静华编；上海外语教育出版社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left="718" w:leftChars="342" w:firstLine="100" w:firstLineChars="5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参考</w:t>
      </w:r>
      <w:r>
        <w:rPr>
          <w:rFonts w:hint="eastAsia"/>
          <w:color w:val="000000"/>
          <w:sz w:val="20"/>
          <w:szCs w:val="20"/>
        </w:rPr>
        <w:t>书目</w:t>
      </w:r>
      <w:r>
        <w:rPr>
          <w:color w:val="000000"/>
          <w:sz w:val="20"/>
          <w:szCs w:val="20"/>
        </w:rPr>
        <w:t>【</w:t>
      </w:r>
      <w:r>
        <w:rPr>
          <w:rFonts w:hint="eastAsia" w:ascii="宋体" w:hAnsi="宋体"/>
          <w:sz w:val="20"/>
          <w:szCs w:val="20"/>
        </w:rPr>
        <w:t>《新编日语语法教程》 ； 皮细庚编；上海外语教育出版社</w:t>
      </w:r>
      <w:r>
        <w:rPr>
          <w:rFonts w:hint="eastAsia"/>
          <w:color w:val="000000"/>
          <w:sz w:val="20"/>
          <w:szCs w:val="20"/>
        </w:rPr>
        <w:t>；</w:t>
      </w:r>
    </w:p>
    <w:p>
      <w:pPr>
        <w:snapToGrid w:val="0"/>
        <w:spacing w:line="288" w:lineRule="auto"/>
        <w:ind w:firstLine="1800" w:firstLineChars="900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《实用日语语法》； 王玉珊编； 东华大学出版社；</w:t>
      </w:r>
    </w:p>
    <w:p>
      <w:pPr>
        <w:snapToGrid w:val="0"/>
        <w:spacing w:line="288" w:lineRule="auto"/>
        <w:ind w:firstLine="1800" w:firstLineChars="900"/>
        <w:rPr>
          <w:color w:val="000000"/>
          <w:sz w:val="20"/>
          <w:szCs w:val="20"/>
          <w:highlight w:val="yellow"/>
        </w:rPr>
      </w:pPr>
      <w:r>
        <w:rPr>
          <w:rFonts w:hint="eastAsia" w:ascii="宋体" w:hAnsi="宋体" w:cs="宋体"/>
          <w:kern w:val="0"/>
          <w:sz w:val="20"/>
          <w:szCs w:val="20"/>
        </w:rPr>
        <w:t>《日语近义表达方式解析辞典》； 目黑真实编； 外语教学与研究出版社】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</w:p>
    <w:p>
      <w:pPr>
        <w:snapToGrid w:val="0"/>
        <w:spacing w:line="288" w:lineRule="auto"/>
        <w:ind w:left="1416" w:leftChars="196" w:hanging="1004" w:hangingChars="500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sz w:val="20"/>
          <w:szCs w:val="20"/>
        </w:rPr>
        <w:t>《基础日语（4）》</w:t>
      </w:r>
      <w:r>
        <w:rPr>
          <w:sz w:val="20"/>
          <w:szCs w:val="20"/>
        </w:rPr>
        <w:t>202005</w:t>
      </w:r>
      <w:r>
        <w:rPr>
          <w:rFonts w:hint="eastAsia"/>
          <w:sz w:val="20"/>
          <w:szCs w:val="20"/>
        </w:rPr>
        <w:t>5（10）</w:t>
      </w:r>
      <w:r>
        <w:rPr>
          <w:color w:val="000000"/>
          <w:sz w:val="20"/>
          <w:szCs w:val="20"/>
        </w:rPr>
        <w:t>】</w:t>
      </w:r>
    </w:p>
    <w:p>
      <w:pPr>
        <w:adjustRightInd w:val="0"/>
        <w:snapToGrid w:val="0"/>
        <w:spacing w:before="156" w:beforeLines="50" w:after="156" w:afterLines="50" w:line="288" w:lineRule="auto"/>
        <w:ind w:firstLine="348" w:firstLineChars="145"/>
        <w:rPr>
          <w:b/>
          <w:color w:val="000000"/>
          <w:sz w:val="24"/>
          <w:szCs w:val="20"/>
        </w:rPr>
      </w:pPr>
      <w:r>
        <w:rPr>
          <w:rFonts w:ascii="黑体" w:hAnsi="宋体" w:eastAsia="黑体"/>
          <w:sz w:val="24"/>
        </w:rPr>
        <w:t>二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课程简介</w:t>
      </w:r>
    </w:p>
    <w:p>
      <w:pPr>
        <w:ind w:firstLine="400" w:firstLineChars="200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本课程为日语专业的学科专业基础课，面向日语本科学生。教学目的在于通过全面的训练，要求学生准确掌握日语基本词汇、基础语法以及基础句型，培养学生系统地掌握听、说、读、写、译的语言基本功，使其具备初级语言交流和运用的能力，为高级日语的学习打下扎实的基础。同时引导学生扎实学习，养成自主学习日语的习惯，初步了解日本的社会文化，丰富日本社会文化知识，培养文化理解能力。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三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选课建议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本课程适合日语本科专业三年级第一学期开设。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四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课程与</w:t>
      </w:r>
      <w:r>
        <w:rPr>
          <w:rFonts w:hint="eastAsia" w:ascii="黑体" w:hAnsi="宋体" w:eastAsia="黑体"/>
          <w:sz w:val="24"/>
        </w:rPr>
        <w:t>专业毕业要求</w:t>
      </w:r>
      <w:r>
        <w:rPr>
          <w:rFonts w:ascii="黑体" w:hAnsi="宋体" w:eastAsia="黑体"/>
          <w:sz w:val="24"/>
        </w:rPr>
        <w:t>的关联性</w:t>
      </w:r>
    </w:p>
    <w:tbl>
      <w:tblPr>
        <w:tblStyle w:val="6"/>
        <w:tblpPr w:leftFromText="180" w:rightFromText="180" w:vertAnchor="text" w:horzAnchor="page" w:tblpX="2375" w:tblpY="242"/>
        <w:tblOverlap w:val="never"/>
        <w:tblW w:w="75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6095"/>
        <w:gridCol w:w="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2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618" w:type="dxa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关联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LO11：</w:t>
            </w:r>
          </w:p>
        </w:tc>
        <w:tc>
          <w:tcPr>
            <w:tcW w:w="6095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LO111倾听他人意见、尊重他人观点、分析他人需求。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LO112应用书面或口头形式，阐释自己的观点，有效沟通。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LO21：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LO211能根据需要自己确定学习目标，并设计学习计划。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L0212能搜集、获取达到目标所需要的学习资源，实施学习计划、反思学习计划、持续改进，达到学习目标。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LO311能听懂正常语速下的日语对话，根据语调和重音理解说话者的意图，能听懂语段内容，并提取信息和观点。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LO312掌握正确的发音，能够使用日语进行交流与表达。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LO313掌握日语阅读技能，包括细读、泛读、评读等能力，提高分析归纳、推理检验等逻辑思维能力。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LO314了解日语写作的基础知识，摆脱汉语的思维方式，用地道的日语进行表情达意，具备必要的应用文写作技能。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LO315了解并掌握翻译技巧，了解不同文体的语言特点和翻译方法，能使用中日两种语言进行各种翻译活动。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LO32：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LO321了解语言学的一般理论，以及语言学研究的发展与现状。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LO322透彻分析日语语素、词汇及语法结构，能对语法现象进行分析归纳与总结。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LO323了解日本文学史上不同时期的重要作家及其代表作品。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LO324具备阅读、欣赏、理解日本文学原著的能力，掌握文学批评的基本知识和方法。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LO33：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LO331了解日本文化、社会和风土人情，认识中日文化差异。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LO332具有跨文化交际能力，掌握有效的认知、调控、交际策略和跨文化理解能力。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LO34：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LO341掌握商务相关的基本理论知识，国家对外贸易方针、政策以及具备国际商务实务操作的技能和素质。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LO342能够使用日语语言处理商务活动中的常规业务，能用中日文双语撰写外贸函电，填写国际贸易的单证，起草外贸合同。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LO41：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L0411遵纪守法：遵守校纪校规，具备法律意识。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L0412 诚实守信：为人诚实，信守承诺，尽职尽责。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LO413爱岗敬业：了解与专业相关的法律法规，充分认识本专业就业岗位在社会经济中的作用和地位，在学习和社会实践中遵守职业规范，具备职业道德操守。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LO414身心健康，能承受学习和生活中的压力。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LO51：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L0511在集体活动中能主动担任自己的角色，与其他成员密切合作，共同完成任务。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L0512 有质疑精神，能有逻辑的分析与批判。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L0513 能用创新的方法或者多种方法解决复杂问题或真实问题。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L0514了解行业前沿知识技术。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LO61：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LO611能够根据需要进行专业文献检索。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LO612能够使用适合的工具来搜集信息，并对信息加以分析、鉴别、判断与整合。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LO613熟练使用计算机，掌握常用办公软件。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LO71：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LO711爱党爱国：了解祖国的优秀传统文化和革命历史，构建爱党爱国的理想信念。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LO712助人为乐：富于爱心，懂得感恩，具备助人为乐的品质。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LO713奉献社会：具有服务企业、服务社会的意愿和行为能力。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LO714爱护环境：具有爱护环境的意识和与自然和谐相处的环保理念。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LO81：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LO811具备外语表达沟通能力，达到本专业的要求。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LO812理解其他国家历史文化，有跨文化交流能力。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LO813有国际竞争与合作意识。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>
      <w:pPr>
        <w:ind w:firstLine="420" w:firstLineChars="200"/>
      </w:pPr>
      <w:r>
        <w:rPr>
          <w:rFonts w:hint="eastAsia"/>
        </w:rPr>
        <w:t>备注：LO=</w:t>
      </w:r>
      <w:r>
        <w:t>learning outcomes</w:t>
      </w:r>
      <w:r>
        <w:rPr>
          <w:rFonts w:hint="eastAsia"/>
        </w:rPr>
        <w:t>（学习成果）</w:t>
      </w:r>
    </w:p>
    <w:p/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五、</w:t>
      </w:r>
      <w:r>
        <w:rPr>
          <w:rFonts w:ascii="黑体" w:hAnsi="宋体" w:eastAsia="黑体"/>
          <w:sz w:val="24"/>
        </w:rPr>
        <w:t>课程</w:t>
      </w:r>
      <w:r>
        <w:rPr>
          <w:rFonts w:hint="eastAsia" w:ascii="黑体" w:hAnsi="宋体" w:eastAsia="黑体"/>
          <w:sz w:val="24"/>
        </w:rPr>
        <w:t>目标/课程预期学习成果</w:t>
      </w:r>
    </w:p>
    <w:tbl>
      <w:tblPr>
        <w:tblStyle w:val="5"/>
        <w:tblpPr w:leftFromText="180" w:rightFromText="180" w:vertAnchor="text" w:horzAnchor="page" w:tblpX="2163" w:tblpY="152"/>
        <w:tblOverlap w:val="never"/>
        <w:tblW w:w="7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133"/>
        <w:gridCol w:w="2551"/>
        <w:gridCol w:w="2160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33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</w:trPr>
        <w:tc>
          <w:tcPr>
            <w:tcW w:w="535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LO212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结合所学的内容，搜集各种学习资源，制定切实可行的学习计划，在实施过程中反思学习计划，不断进行改进。</w:t>
            </w:r>
          </w:p>
        </w:tc>
        <w:tc>
          <w:tcPr>
            <w:tcW w:w="2160" w:type="dxa"/>
            <w:shd w:val="clear" w:color="auto" w:fill="auto"/>
          </w:tcPr>
          <w:p>
            <w:pPr>
              <w:snapToGrid w:val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snapToGrid w:val="0"/>
              <w:jc w:val="left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告知学生教学计划与目标，要求学生按照教学目标制定学习计划并实施。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课堂提问</w:t>
            </w:r>
          </w:p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课后练习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535" w:type="dxa"/>
            <w:vMerge w:val="restart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L0311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业余时间听日语新闻，看日语原版影视，能听懂正常语速下的日语对话，理解说话者的意图；能看懂影视作品的内容，并且对内容进行归纳。</w:t>
            </w:r>
          </w:p>
        </w:tc>
        <w:tc>
          <w:tcPr>
            <w:tcW w:w="2160" w:type="dxa"/>
            <w:shd w:val="clear" w:color="auto" w:fill="auto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1.每篇课文要求听录音，跟着录音朗读，注意读音语调。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课堂提问</w:t>
            </w:r>
          </w:p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课后练习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535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left"/>
            </w:pPr>
          </w:p>
        </w:tc>
        <w:tc>
          <w:tcPr>
            <w:tcW w:w="1133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left"/>
            </w:pPr>
          </w:p>
        </w:tc>
        <w:tc>
          <w:tcPr>
            <w:tcW w:w="2551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left"/>
            </w:pPr>
          </w:p>
        </w:tc>
        <w:tc>
          <w:tcPr>
            <w:tcW w:w="2160" w:type="dxa"/>
            <w:shd w:val="clear" w:color="auto" w:fill="auto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2.详细解说单词的意思及用法，以及在课文中的运用。</w:t>
            </w: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left"/>
              <w:rPr>
                <w:rFonts w:ascii="黑体" w:hAnsi="宋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535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left"/>
              <w:rPr>
                <w:rFonts w:ascii="黑体" w:hAnsi="宋体" w:eastAsia="黑体"/>
                <w:sz w:val="24"/>
              </w:rPr>
            </w:pPr>
          </w:p>
        </w:tc>
        <w:tc>
          <w:tcPr>
            <w:tcW w:w="1133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left"/>
              <w:rPr>
                <w:rFonts w:ascii="黑体" w:hAnsi="宋体" w:eastAsia="黑体"/>
                <w:sz w:val="24"/>
              </w:rPr>
            </w:pPr>
          </w:p>
        </w:tc>
        <w:tc>
          <w:tcPr>
            <w:tcW w:w="2551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left"/>
              <w:rPr>
                <w:rFonts w:ascii="黑体" w:hAnsi="宋体" w:eastAsia="黑体"/>
                <w:sz w:val="24"/>
              </w:rPr>
            </w:pPr>
          </w:p>
        </w:tc>
        <w:tc>
          <w:tcPr>
            <w:tcW w:w="2160" w:type="dxa"/>
            <w:shd w:val="clear" w:color="auto" w:fill="auto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3.详细解说本课的语法及句型，进行造句、翻译练习等。</w:t>
            </w: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left"/>
              <w:rPr>
                <w:rFonts w:ascii="黑体" w:hAnsi="宋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</w:trPr>
        <w:tc>
          <w:tcPr>
            <w:tcW w:w="535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L0312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通过听新闻、看日剧，掌握正确的日语发音，能够使用表达准确的日语与他人进行交流。</w:t>
            </w:r>
          </w:p>
        </w:tc>
        <w:tc>
          <w:tcPr>
            <w:tcW w:w="2160" w:type="dxa"/>
            <w:shd w:val="clear" w:color="auto" w:fill="auto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每篇课文要求听录音，跟着录音朗读，注意读音与语调。课堂上对发音进行纠错指正。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课堂提问</w:t>
            </w:r>
          </w:p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课后练习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</w:trPr>
        <w:tc>
          <w:tcPr>
            <w:tcW w:w="535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L0313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结合自己的日语水平，阅读一些程度相当的日语原版书籍，掌握日语阅读技能，提高分析归纳等逻辑思维能力。</w:t>
            </w:r>
          </w:p>
        </w:tc>
        <w:tc>
          <w:tcPr>
            <w:tcW w:w="2160" w:type="dxa"/>
            <w:shd w:val="clear" w:color="auto" w:fill="auto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带领学生阅读课文，理解文章内容，概括文章结构，评价文章内容。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课堂提问</w:t>
            </w:r>
          </w:p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课后练习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4" w:hRule="atLeast"/>
        </w:trPr>
        <w:tc>
          <w:tcPr>
            <w:tcW w:w="535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L0315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结合翻译课程的学习掌握一定的翻译技巧，了解不同构造的句子特点和翻译方法，能够使用中日两种语言进行翻译。</w:t>
            </w:r>
          </w:p>
        </w:tc>
        <w:tc>
          <w:tcPr>
            <w:tcW w:w="2160" w:type="dxa"/>
            <w:shd w:val="clear" w:color="auto" w:fill="auto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讲解单词与语法过程中，带领学生做中译日或日译中练习，使学生掌握中日互译技巧。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课堂提问</w:t>
            </w:r>
          </w:p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课后练习</w:t>
            </w:r>
          </w:p>
          <w:p>
            <w:pPr>
              <w:jc w:val="left"/>
              <w:rPr>
                <w:rFonts w:ascii="黑体" w:hAnsi="宋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L0322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结合语法课程的学习，分析日语语素、词汇及语法结构，能对课文中出现的语法现象进行较为全面的分析归纳。</w:t>
            </w:r>
          </w:p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详细解说单词的意思及用法，特别是在课文中的使用。</w:t>
            </w:r>
          </w:p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详细解说本课出现语法及句型，进行造句、翻译练习。每课结束后进行总结归纳。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课堂提问</w:t>
            </w:r>
          </w:p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课后练习</w:t>
            </w:r>
          </w:p>
          <w:p>
            <w:pPr>
              <w:snapToGrid w:val="0"/>
              <w:spacing w:line="288" w:lineRule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LO332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结合日本文化课程的学习，具备一定的跨文化交际能力，掌握基本的交际策略。</w:t>
            </w:r>
          </w:p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通过阅读课文，进一步了解日本社会文化。通过学习单词与语法，能用日语实现交流。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课堂提问</w:t>
            </w:r>
          </w:p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课后练习</w:t>
            </w:r>
          </w:p>
        </w:tc>
      </w:tr>
    </w:tbl>
    <w:p>
      <w:pPr>
        <w:widowControl/>
        <w:spacing w:before="156" w:beforeLines="50" w:after="156" w:afterLines="50" w:line="288" w:lineRule="auto"/>
        <w:jc w:val="left"/>
        <w:rPr>
          <w:rFonts w:ascii="黑体" w:hAnsi="宋体" w:eastAsia="黑体"/>
          <w:sz w:val="24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六、</w:t>
      </w:r>
      <w:r>
        <w:rPr>
          <w:rFonts w:ascii="黑体" w:hAnsi="宋体" w:eastAsia="黑体"/>
          <w:sz w:val="24"/>
        </w:rPr>
        <w:t>课程内容</w:t>
      </w:r>
    </w:p>
    <w:p>
      <w:pPr>
        <w:snapToGrid w:val="0"/>
        <w:spacing w:line="288" w:lineRule="auto"/>
        <w:ind w:firstLine="400" w:firstLineChars="200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本课程共计128学时，含理论学时128学时，实践学时0学时。周课时为8学时，按照</w:t>
      </w:r>
    </w:p>
    <w:p>
      <w:pPr>
        <w:snapToGrid w:val="0"/>
        <w:spacing w:line="288" w:lineRule="auto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每12学时教一课的教学进度开展教学。每课的内容分为六个版块，由本文、注释、单词、语法、近义词、练习组成。</w:t>
      </w:r>
    </w:p>
    <w:tbl>
      <w:tblPr>
        <w:tblStyle w:val="6"/>
        <w:tblW w:w="8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"/>
        <w:gridCol w:w="1214"/>
        <w:gridCol w:w="2707"/>
        <w:gridCol w:w="3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</w:tcPr>
          <w:p>
            <w:pPr>
              <w:snapToGrid w:val="0"/>
              <w:spacing w:line="288" w:lineRule="auto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单元</w:t>
            </w:r>
          </w:p>
        </w:tc>
        <w:tc>
          <w:tcPr>
            <w:tcW w:w="1214" w:type="dxa"/>
          </w:tcPr>
          <w:p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内容构成</w:t>
            </w:r>
          </w:p>
        </w:tc>
        <w:tc>
          <w:tcPr>
            <w:tcW w:w="2707" w:type="dxa"/>
          </w:tcPr>
          <w:p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知识能力要求</w:t>
            </w:r>
          </w:p>
        </w:tc>
        <w:tc>
          <w:tcPr>
            <w:tcW w:w="3827" w:type="dxa"/>
          </w:tcPr>
          <w:p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教学重点与难点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0" w:type="dxa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</w:tc>
        <w:tc>
          <w:tcPr>
            <w:tcW w:w="1214" w:type="dxa"/>
          </w:tcPr>
          <w:p>
            <w:pPr>
              <w:snapToGrid w:val="0"/>
              <w:spacing w:line="288" w:lineRule="auto"/>
              <w:rPr>
                <w:rFonts w:ascii="宋体" w:hAnsi="宋体" w:cs="Arial" w:eastAsiaTheme="minorEastAsia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第１課　</w:t>
            </w:r>
          </w:p>
          <w:p>
            <w:pPr>
              <w:snapToGrid w:val="0"/>
              <w:spacing w:line="288" w:lineRule="auto"/>
              <w:rPr>
                <w:rFonts w:ascii="宋体" w:hAnsi="宋体" w:cs="Arial" w:eastAsiaTheme="minorEastAsia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海の中に母がいる</w:t>
            </w:r>
          </w:p>
          <w:p>
            <w:pPr>
              <w:snapToGrid w:val="0"/>
              <w:spacing w:line="288" w:lineRule="auto"/>
              <w:ind w:firstLine="90" w:firstLineChars="50"/>
              <w:rPr>
                <w:rFonts w:ascii="MS Mincho" w:hAnsi="MS Mincho" w:cs="Arial" w:eastAsiaTheme="minorEastAsia"/>
                <w:kern w:val="0"/>
                <w:sz w:val="18"/>
                <w:szCs w:val="18"/>
                <w:lang w:eastAsia="ja-JP"/>
              </w:rPr>
            </w:pPr>
          </w:p>
          <w:p>
            <w:pPr>
              <w:snapToGrid w:val="0"/>
              <w:spacing w:line="288" w:lineRule="auto"/>
              <w:rPr>
                <w:rFonts w:ascii="宋体" w:hAnsi="宋体" w:cs="Arial" w:eastAsiaTheme="minorEastAsia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第２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課　</w:t>
            </w:r>
          </w:p>
          <w:p>
            <w:pPr>
              <w:snapToGrid w:val="0"/>
              <w:spacing w:line="288" w:lineRule="auto"/>
              <w:rPr>
                <w:rFonts w:ascii="宋体" w:hAnsi="宋体" w:cs="Arial" w:eastAsiaTheme="minorEastAsia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田中正造</w:t>
            </w:r>
          </w:p>
          <w:p>
            <w:pPr>
              <w:snapToGrid w:val="0"/>
              <w:spacing w:line="288" w:lineRule="auto"/>
              <w:rPr>
                <w:rFonts w:ascii="MS Mincho" w:hAnsi="MS Mincho" w:cs="Arial" w:eastAsiaTheme="minorEastAsia"/>
                <w:kern w:val="0"/>
                <w:sz w:val="18"/>
                <w:szCs w:val="18"/>
                <w:lang w:eastAsia="ja-JP"/>
              </w:rPr>
            </w:pPr>
          </w:p>
          <w:p>
            <w:pPr>
              <w:snapToGrid w:val="0"/>
              <w:spacing w:line="288" w:lineRule="auto"/>
              <w:rPr>
                <w:rFonts w:ascii="宋体" w:hAnsi="宋体" w:cs="Arial" w:eastAsiaTheme="minorEastAsia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第３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課　</w:t>
            </w:r>
          </w:p>
          <w:p>
            <w:pPr>
              <w:snapToGrid w:val="0"/>
              <w:spacing w:line="288" w:lineRule="auto"/>
              <w:rPr>
                <w:rFonts w:eastAsiaTheme="minorEastAsia"/>
                <w:bCs/>
                <w:sz w:val="20"/>
                <w:szCs w:val="20"/>
                <w:lang w:eastAsia="ja-JP"/>
              </w:rPr>
            </w:pP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日常の思想</w:t>
            </w:r>
          </w:p>
        </w:tc>
        <w:tc>
          <w:tcPr>
            <w:tcW w:w="2707" w:type="dxa"/>
          </w:tcPr>
          <w:p>
            <w:pPr>
              <w:numPr>
                <w:ilvl w:val="0"/>
                <w:numId w:val="2"/>
              </w:num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熟记单词。</w:t>
            </w:r>
          </w:p>
          <w:p>
            <w:pPr>
              <w:numPr>
                <w:ilvl w:val="0"/>
                <w:numId w:val="2"/>
              </w:numPr>
              <w:snapToGrid w:val="0"/>
              <w:spacing w:line="288" w:lineRule="auto"/>
              <w:rPr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t>掌握所学的语法：</w:t>
            </w:r>
          </w:p>
          <w:p>
            <w:pPr>
              <w:snapToGrid w:val="0"/>
              <w:spacing w:line="288" w:lineRule="auto"/>
              <w:rPr>
                <w:rFonts w:eastAsiaTheme="minorEastAsia"/>
                <w:bCs/>
                <w:sz w:val="20"/>
                <w:szCs w:val="20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～とすると</w:t>
            </w:r>
            <w:r>
              <w:rPr>
                <w:rFonts w:hint="eastAsia" w:ascii="MS Mincho" w:hAnsi="MS Mincho"/>
                <w:bCs/>
                <w:szCs w:val="21"/>
                <w:lang w:eastAsia="ja-JP"/>
              </w:rPr>
              <w:t>、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～といっても</w:t>
            </w:r>
            <w:r>
              <w:rPr>
                <w:rFonts w:hint="eastAsia" w:ascii="MS Mincho" w:hAnsi="MS Mincho"/>
                <w:bCs/>
                <w:szCs w:val="21"/>
                <w:lang w:eastAsia="ja-JP"/>
              </w:rPr>
              <w:t>、</w:t>
            </w:r>
            <w:r>
              <w:rPr>
                <w:rFonts w:hint="eastAsia" w:ascii="MS Mincho" w:hAnsi="MS Mincho" w:eastAsia="MS Mincho" w:cs="MS Mincho"/>
                <w:lang w:eastAsia="ja-JP"/>
              </w:rPr>
              <w:t>～つくす、～に終わる、～と並んで、～としても</w:t>
            </w:r>
            <w:r>
              <w:rPr>
                <w:rFonts w:hint="eastAsia" w:ascii="MS Mincho" w:hAnsi="MS Mincho" w:cs="MS Mincho" w:eastAsiaTheme="minorEastAsia"/>
                <w:lang w:eastAsia="ja-JP"/>
              </w:rPr>
              <w:t>等</w:t>
            </w:r>
          </w:p>
          <w:p>
            <w:pPr>
              <w:numPr>
                <w:ilvl w:val="0"/>
                <w:numId w:val="2"/>
              </w:num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要求熟读课文，背诵课文重点段落，正确理解新单词和新语法在文中的意义。</w:t>
            </w:r>
          </w:p>
          <w:p>
            <w:pPr>
              <w:numPr>
                <w:ilvl w:val="0"/>
                <w:numId w:val="2"/>
              </w:num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帮助学生分析理解课文的内容，提高学生的日语阅读能力。</w:t>
            </w:r>
          </w:p>
          <w:p>
            <w:pPr>
              <w:numPr>
                <w:ilvl w:val="0"/>
                <w:numId w:val="2"/>
              </w:num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通过练习考查本课知识的掌握情况。</w:t>
            </w:r>
          </w:p>
        </w:tc>
        <w:tc>
          <w:tcPr>
            <w:tcW w:w="3827" w:type="dxa"/>
          </w:tcPr>
          <w:p>
            <w:pPr>
              <w:numPr>
                <w:ilvl w:val="0"/>
                <w:numId w:val="3"/>
              </w:num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结合课文详细讲解课文中出现的新单词、新句型的用法。</w:t>
            </w:r>
          </w:p>
          <w:p>
            <w:pPr>
              <w:numPr>
                <w:ilvl w:val="0"/>
                <w:numId w:val="3"/>
              </w:num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详细讲解课文，对课文中出现的人物特征进行分析，使学生透彻理解课文内容，对课文内容进行较为全面的归纳。</w:t>
            </w:r>
          </w:p>
          <w:p>
            <w:pPr>
              <w:numPr>
                <w:ilvl w:val="0"/>
                <w:numId w:val="3"/>
              </w:num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运用本课的新单词和新语法，较好地完成课后练习。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440" w:type="dxa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</w:t>
            </w:r>
          </w:p>
        </w:tc>
        <w:tc>
          <w:tcPr>
            <w:tcW w:w="1214" w:type="dxa"/>
          </w:tcPr>
          <w:p>
            <w:pPr>
              <w:snapToGrid w:val="0"/>
              <w:spacing w:line="288" w:lineRule="auto"/>
              <w:rPr>
                <w:rFonts w:eastAsiaTheme="minorEastAsia"/>
                <w:bCs/>
                <w:sz w:val="20"/>
                <w:szCs w:val="20"/>
                <w:lang w:eastAsia="ja-JP"/>
              </w:rPr>
            </w:pPr>
          </w:p>
          <w:p>
            <w:pPr>
              <w:snapToGrid w:val="0"/>
              <w:spacing w:line="288" w:lineRule="auto"/>
              <w:rPr>
                <w:rFonts w:ascii="宋体" w:hAnsi="宋体" w:cs="Arial" w:eastAsiaTheme="minorEastAsia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第４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課　庭</w:t>
            </w:r>
          </w:p>
          <w:p>
            <w:pPr>
              <w:snapToGrid w:val="0"/>
              <w:spacing w:line="288" w:lineRule="auto"/>
              <w:rPr>
                <w:rFonts w:ascii="宋体" w:hAnsi="宋体" w:cs="Arial" w:eastAsiaTheme="minorEastAsia"/>
                <w:kern w:val="0"/>
                <w:sz w:val="18"/>
                <w:szCs w:val="18"/>
                <w:lang w:eastAsia="ja-JP"/>
              </w:rPr>
            </w:pPr>
          </w:p>
          <w:p>
            <w:pPr>
              <w:snapToGrid w:val="0"/>
              <w:spacing w:line="288" w:lineRule="auto"/>
              <w:rPr>
                <w:rFonts w:ascii="宋体" w:hAnsi="宋体" w:cs="Arial" w:eastAsiaTheme="minorEastAsia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第６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課　</w:t>
            </w:r>
          </w:p>
          <w:p>
            <w:pPr>
              <w:snapToGrid w:val="0"/>
              <w:spacing w:line="288" w:lineRule="auto"/>
              <w:rPr>
                <w:rFonts w:ascii="宋体" w:hAnsi="宋体" w:cs="Arial" w:eastAsiaTheme="minorEastAsia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なぜ車輪動物がいないのか</w:t>
            </w:r>
          </w:p>
          <w:p>
            <w:pPr>
              <w:snapToGrid w:val="0"/>
              <w:spacing w:line="288" w:lineRule="auto"/>
              <w:rPr>
                <w:rFonts w:ascii="宋体" w:hAnsi="宋体" w:cs="Arial" w:eastAsiaTheme="minorEastAsia"/>
                <w:kern w:val="0"/>
                <w:sz w:val="18"/>
                <w:szCs w:val="18"/>
                <w:lang w:eastAsia="ja-JP"/>
              </w:rPr>
            </w:pPr>
          </w:p>
          <w:p>
            <w:pPr>
              <w:snapToGrid w:val="0"/>
              <w:spacing w:line="288" w:lineRule="auto"/>
              <w:rPr>
                <w:rFonts w:ascii="宋体" w:hAnsi="宋体" w:cs="Arial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第７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課　</w:t>
            </w:r>
          </w:p>
          <w:p>
            <w:pPr>
              <w:snapToGrid w:val="0"/>
              <w:spacing w:line="288" w:lineRule="auto"/>
              <w:rPr>
                <w:rFonts w:eastAsiaTheme="minorEastAsia"/>
                <w:bCs/>
                <w:sz w:val="20"/>
                <w:szCs w:val="20"/>
                <w:lang w:eastAsia="ja-JP"/>
              </w:rPr>
            </w:pP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紅山桜　</w:t>
            </w:r>
          </w:p>
        </w:tc>
        <w:tc>
          <w:tcPr>
            <w:tcW w:w="2707" w:type="dxa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 w:eastAsiaTheme="minorEastAsia"/>
                <w:bCs/>
                <w:sz w:val="20"/>
                <w:szCs w:val="20"/>
              </w:rPr>
              <w:t>1.</w:t>
            </w:r>
            <w:r>
              <w:rPr>
                <w:rFonts w:hint="eastAsia"/>
                <w:bCs/>
                <w:sz w:val="20"/>
                <w:szCs w:val="20"/>
              </w:rPr>
              <w:t>熟记单词。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2.掌握所学的语法：</w:t>
            </w:r>
          </w:p>
          <w:p>
            <w:pPr>
              <w:snapToGrid w:val="0"/>
              <w:spacing w:line="288" w:lineRule="auto"/>
              <w:rPr>
                <w:rFonts w:eastAsiaTheme="minorEastAsia"/>
                <w:bCs/>
                <w:sz w:val="20"/>
                <w:szCs w:val="20"/>
                <w:lang w:eastAsia="ja-JP"/>
              </w:rPr>
            </w:pPr>
            <w:r>
              <w:rPr>
                <w:rFonts w:hint="eastAsia" w:eastAsia="MS Mincho"/>
                <w:bCs/>
                <w:sz w:val="20"/>
                <w:szCs w:val="20"/>
                <w:lang w:eastAsia="ja-JP"/>
              </w:rPr>
              <w:t>～ことで、～にせよ、～分には、～からみれば、～じみる、～ぞい</w:t>
            </w:r>
            <w:r>
              <w:rPr>
                <w:rFonts w:hint="eastAsia" w:eastAsiaTheme="minorEastAsia"/>
                <w:bCs/>
                <w:sz w:val="20"/>
                <w:szCs w:val="20"/>
                <w:lang w:eastAsia="ja-JP"/>
              </w:rPr>
              <w:t>等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3.要求熟读课文，背诵课文重点段落，正确理解新单词和新语法在文中的意义。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4.帮助学生分析理解课文的内容，提高学生的日语阅读能力。</w:t>
            </w:r>
          </w:p>
          <w:p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5.通过练习考查本课知识的掌握情况。</w:t>
            </w:r>
          </w:p>
        </w:tc>
        <w:tc>
          <w:tcPr>
            <w:tcW w:w="3827" w:type="dxa"/>
          </w:tcPr>
          <w:p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1.结合课文详细讲解课文中出现的新单词、新句型的用法。</w:t>
            </w:r>
          </w:p>
          <w:p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2.详细讲解课文，对课文中出现的情景描写进行分析，使学生透彻理解课文内容，对课文内容进行较为全面的归纳。</w:t>
            </w:r>
          </w:p>
          <w:p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3.运用本课的新单词和新语法，较好地完成课后练习。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0" w:type="dxa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1214" w:type="dxa"/>
          </w:tcPr>
          <w:p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 w:eastAsia="MS Mincho"/>
                <w:bCs/>
                <w:sz w:val="20"/>
                <w:szCs w:val="20"/>
                <w:lang w:eastAsia="ja-JP"/>
              </w:rPr>
              <w:t>　</w:t>
            </w:r>
          </w:p>
          <w:p>
            <w:pPr>
              <w:snapToGrid w:val="0"/>
              <w:spacing w:line="288" w:lineRule="auto"/>
              <w:rPr>
                <w:rFonts w:ascii="宋体" w:hAnsi="宋体" w:cs="Arial" w:eastAsiaTheme="minorEastAsia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第８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課　蘭</w:t>
            </w:r>
          </w:p>
          <w:p>
            <w:pPr>
              <w:snapToGrid w:val="0"/>
              <w:spacing w:line="288" w:lineRule="auto"/>
              <w:rPr>
                <w:rFonts w:ascii="宋体" w:hAnsi="宋体" w:cs="Arial" w:eastAsiaTheme="minorEastAsia"/>
                <w:kern w:val="0"/>
                <w:sz w:val="18"/>
                <w:szCs w:val="18"/>
                <w:lang w:eastAsia="ja-JP"/>
              </w:rPr>
            </w:pPr>
          </w:p>
          <w:p>
            <w:pPr>
              <w:snapToGrid w:val="0"/>
              <w:spacing w:line="288" w:lineRule="auto"/>
              <w:rPr>
                <w:rFonts w:ascii="宋体" w:hAnsi="宋体" w:cs="Arial" w:eastAsiaTheme="minorEastAsia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第１０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課　屋根の上のサワン</w:t>
            </w:r>
          </w:p>
          <w:p>
            <w:pPr>
              <w:snapToGrid w:val="0"/>
              <w:spacing w:line="288" w:lineRule="auto"/>
              <w:rPr>
                <w:rFonts w:ascii="宋体" w:hAnsi="宋体" w:cs="Arial" w:eastAsiaTheme="minorEastAsia"/>
                <w:kern w:val="0"/>
                <w:sz w:val="18"/>
                <w:szCs w:val="18"/>
                <w:lang w:eastAsia="ja-JP"/>
              </w:rPr>
            </w:pPr>
          </w:p>
          <w:p>
            <w:pPr>
              <w:snapToGrid w:val="0"/>
              <w:spacing w:line="288" w:lineRule="auto"/>
              <w:rPr>
                <w:rFonts w:eastAsiaTheme="minorEastAsia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2707" w:type="dxa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1.熟记单词。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2.掌握所学的语法：</w:t>
            </w:r>
          </w:p>
          <w:p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 w:eastAsia="MS Mincho"/>
                <w:bCs/>
                <w:sz w:val="20"/>
                <w:szCs w:val="20"/>
                <w:lang w:eastAsia="ja-JP"/>
              </w:rPr>
              <w:t>～かかる、～てのこと、</w:t>
            </w:r>
          </w:p>
          <w:p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 w:eastAsia="MS Mincho"/>
                <w:bCs/>
                <w:sz w:val="20"/>
                <w:szCs w:val="20"/>
                <w:lang w:eastAsia="ja-JP"/>
              </w:rPr>
              <w:t>～でもって、～でいる、</w:t>
            </w:r>
          </w:p>
          <w:p>
            <w:pPr>
              <w:snapToGrid w:val="0"/>
              <w:spacing w:line="288" w:lineRule="auto"/>
              <w:rPr>
                <w:rFonts w:eastAsiaTheme="minorEastAsia"/>
                <w:bCs/>
                <w:sz w:val="20"/>
                <w:szCs w:val="20"/>
                <w:lang w:eastAsia="ja-JP"/>
              </w:rPr>
            </w:pPr>
            <w:r>
              <w:rPr>
                <w:rFonts w:hint="eastAsia" w:eastAsia="MS Mincho"/>
                <w:bCs/>
                <w:sz w:val="20"/>
                <w:szCs w:val="20"/>
                <w:lang w:eastAsia="ja-JP"/>
              </w:rPr>
              <w:t>～つき、～となると</w:t>
            </w:r>
            <w:r>
              <w:rPr>
                <w:rFonts w:hint="eastAsia" w:eastAsiaTheme="minorEastAsia"/>
                <w:bCs/>
                <w:sz w:val="20"/>
                <w:szCs w:val="20"/>
                <w:lang w:eastAsia="ja-JP"/>
              </w:rPr>
              <w:t>等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t>3.要求熟读课文，背诵课文重点段落，正确理解新单词和新语法在文中的意义。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4.帮助学生分析理解课文的内容，提高学生的日语阅读能力。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5.通过练习考查本课知识的掌握情况。</w:t>
            </w:r>
          </w:p>
        </w:tc>
        <w:tc>
          <w:tcPr>
            <w:tcW w:w="3827" w:type="dxa"/>
          </w:tcPr>
          <w:p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1.结合课文详细讲解课文中出现的新单词、新句型的用法。</w:t>
            </w:r>
          </w:p>
          <w:p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2.详细讲解课文，对课文中出现的拟人化手法进行分析，使学生透彻理解课文内容，对课文内容进行较为全面的归纳。</w:t>
            </w:r>
          </w:p>
          <w:p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3.运用本课的新单词和新语法，较好地完成课后练习。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</w:tc>
      </w:tr>
    </w:tbl>
    <w:p>
      <w:pPr>
        <w:snapToGrid w:val="0"/>
        <w:spacing w:line="288" w:lineRule="auto"/>
        <w:ind w:right="26"/>
        <w:rPr>
          <w:sz w:val="20"/>
          <w:szCs w:val="20"/>
        </w:rPr>
      </w:pPr>
    </w:p>
    <w:tbl>
      <w:tblPr>
        <w:tblStyle w:val="5"/>
        <w:tblpPr w:leftFromText="180" w:rightFromText="180" w:vertAnchor="text" w:horzAnchor="page" w:tblpX="1853" w:tblpY="717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期终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考试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eastAsia="MS Mincho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随堂测试+平时成绩</w:t>
            </w:r>
            <w:r>
              <w:rPr>
                <w:rFonts w:hint="eastAsia" w:ascii="宋体" w:hAnsi="宋体" w:eastAsia="MS Mincho"/>
                <w:bCs/>
                <w:color w:val="000000"/>
                <w:szCs w:val="20"/>
              </w:rPr>
              <w:t>（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课堂提问及课后练习等</w:t>
            </w:r>
            <w:r>
              <w:rPr>
                <w:rFonts w:hint="eastAsia" w:ascii="宋体" w:hAnsi="宋体" w:eastAsia="MS Mincho"/>
                <w:bCs/>
                <w:color w:val="000000"/>
                <w:szCs w:val="20"/>
              </w:rPr>
              <w:t>）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随堂测试+平时成绩</w:t>
            </w:r>
            <w:r>
              <w:rPr>
                <w:rFonts w:hint="eastAsia" w:ascii="宋体" w:hAnsi="宋体" w:eastAsia="MS Mincho"/>
                <w:bCs/>
                <w:color w:val="000000"/>
                <w:szCs w:val="20"/>
              </w:rPr>
              <w:t>（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课堂提问及课后练习等</w:t>
            </w:r>
            <w:r>
              <w:rPr>
                <w:rFonts w:hint="eastAsia" w:ascii="宋体" w:hAnsi="宋体" w:eastAsia="MS Mincho"/>
                <w:bCs/>
                <w:color w:val="000000"/>
                <w:szCs w:val="20"/>
              </w:rPr>
              <w:t>）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随堂测试+平时成绩</w:t>
            </w:r>
            <w:r>
              <w:rPr>
                <w:rFonts w:hint="eastAsia" w:ascii="宋体" w:hAnsi="宋体" w:eastAsia="MS Mincho"/>
                <w:bCs/>
                <w:color w:val="000000"/>
                <w:szCs w:val="20"/>
              </w:rPr>
              <w:t>（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课堂提问及课后练习等</w:t>
            </w:r>
            <w:r>
              <w:rPr>
                <w:rFonts w:hint="eastAsia" w:ascii="宋体" w:hAnsi="宋体" w:eastAsia="MS Mincho"/>
                <w:bCs/>
                <w:color w:val="000000"/>
                <w:szCs w:val="20"/>
              </w:rPr>
              <w:t>）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</w:tbl>
    <w:p>
      <w:pPr>
        <w:snapToGrid w:val="0"/>
        <w:spacing w:line="288" w:lineRule="auto"/>
        <w:ind w:right="2520" w:firstLine="480" w:firstLineChars="200"/>
        <w:rPr>
          <w:sz w:val="20"/>
          <w:szCs w:val="20"/>
        </w:rPr>
      </w:pPr>
      <w:r>
        <w:rPr>
          <w:rFonts w:hint="eastAsia" w:ascii="黑体" w:hAnsi="宋体" w:eastAsia="黑体"/>
          <w:sz w:val="24"/>
        </w:rPr>
        <w:t>七、评价方式与成绩</w:t>
      </w:r>
    </w:p>
    <w:p>
      <w:pPr>
        <w:snapToGrid w:val="0"/>
        <w:spacing w:line="288" w:lineRule="auto"/>
        <w:ind w:firstLine="840" w:firstLineChars="300"/>
        <w:rPr>
          <w:sz w:val="28"/>
          <w:szCs w:val="28"/>
        </w:rPr>
      </w:pPr>
    </w:p>
    <w:p>
      <w:pPr>
        <w:snapToGrid w:val="0"/>
        <w:spacing w:line="288" w:lineRule="auto"/>
        <w:ind w:firstLine="840" w:firstLineChars="300"/>
        <w:rPr>
          <w:sz w:val="28"/>
          <w:szCs w:val="28"/>
        </w:rPr>
      </w:pPr>
      <w:bookmarkStart w:id="1" w:name="_GoBack"/>
      <w:bookmarkEnd w:id="1"/>
    </w:p>
    <w:p>
      <w:pPr>
        <w:snapToGrid w:val="0"/>
        <w:spacing w:line="288" w:lineRule="auto"/>
        <w:rPr>
          <w:rFonts w:hint="default" w:eastAsia="宋体"/>
          <w:szCs w:val="21"/>
          <w:lang w:val="en-US" w:eastAsia="zh-CN"/>
        </w:rPr>
      </w:pPr>
      <w:r>
        <w:rPr>
          <w:rFonts w:hint="eastAsia"/>
          <w:szCs w:val="21"/>
        </w:rPr>
        <w:t>撰写人：</w:t>
      </w:r>
      <w:r>
        <w:rPr>
          <w:szCs w:val="21"/>
        </w:rPr>
        <w:t xml:space="preserve"> </w:t>
      </w:r>
      <w:r>
        <w:rPr>
          <w:szCs w:val="21"/>
        </w:rPr>
        <w:drawing>
          <wp:inline distT="0" distB="0" distL="0" distR="0">
            <wp:extent cx="856615" cy="445770"/>
            <wp:effectExtent l="0" t="0" r="6985" b="11430"/>
            <wp:docPr id="4" name="图片 4" descr="F:\日语专业课程教学进度表19级\日语系专兼职教师电子签名\专职老师\潘小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:\日语专业课程教学进度表19级\日语系专兼职教师电子签名\专职老师\潘小宁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6615" cy="44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 xml:space="preserve">  </w:t>
      </w:r>
      <w:r>
        <w:rPr>
          <w:rFonts w:hint="eastAsia"/>
          <w:szCs w:val="21"/>
        </w:rPr>
        <w:t xml:space="preserve"> 系主任审核签名：  </w:t>
      </w:r>
      <w:r>
        <w:rPr>
          <w:rFonts w:hint="eastAsia"/>
          <w:szCs w:val="21"/>
        </w:rPr>
        <w:drawing>
          <wp:inline distT="0" distB="0" distL="114300" distR="114300">
            <wp:extent cx="927735" cy="336550"/>
            <wp:effectExtent l="0" t="0" r="12065" b="6350"/>
            <wp:docPr id="2" name="图片 2" descr="刘尔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刘尔瑟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7735" cy="33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 xml:space="preserve">   审核时间：2022.9</w:t>
      </w:r>
      <w:r>
        <w:rPr>
          <w:rFonts w:hint="eastAsia"/>
          <w:szCs w:val="21"/>
          <w:lang w:val="en-US" w:eastAsia="zh-CN"/>
        </w:rPr>
        <w:t>.20</w:t>
      </w:r>
    </w:p>
    <w:p>
      <w:pPr>
        <w:snapToGrid w:val="0"/>
        <w:spacing w:line="288" w:lineRule="auto"/>
        <w:rPr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D713015"/>
    <w:multiLevelType w:val="singleLevel"/>
    <w:tmpl w:val="AD713015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161D6148"/>
    <w:multiLevelType w:val="singleLevel"/>
    <w:tmpl w:val="161D614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9B3DFE8"/>
    <w:multiLevelType w:val="singleLevel"/>
    <w:tmpl w:val="59B3DFE8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1F"/>
    <w:rsid w:val="00023E97"/>
    <w:rsid w:val="00036D4C"/>
    <w:rsid w:val="00065341"/>
    <w:rsid w:val="000A5657"/>
    <w:rsid w:val="000C5C77"/>
    <w:rsid w:val="001072BC"/>
    <w:rsid w:val="00147696"/>
    <w:rsid w:val="00170842"/>
    <w:rsid w:val="00256B39"/>
    <w:rsid w:val="0026033C"/>
    <w:rsid w:val="002A6E32"/>
    <w:rsid w:val="002A7A72"/>
    <w:rsid w:val="002E3244"/>
    <w:rsid w:val="002E3721"/>
    <w:rsid w:val="00313BBA"/>
    <w:rsid w:val="0032602E"/>
    <w:rsid w:val="003367AE"/>
    <w:rsid w:val="003467F0"/>
    <w:rsid w:val="003850F0"/>
    <w:rsid w:val="0038595F"/>
    <w:rsid w:val="003B1258"/>
    <w:rsid w:val="003C5F2E"/>
    <w:rsid w:val="004100B0"/>
    <w:rsid w:val="0044222A"/>
    <w:rsid w:val="004F0D3E"/>
    <w:rsid w:val="005041EE"/>
    <w:rsid w:val="005164D5"/>
    <w:rsid w:val="005467DC"/>
    <w:rsid w:val="00553D03"/>
    <w:rsid w:val="005B2B6D"/>
    <w:rsid w:val="005B4B4E"/>
    <w:rsid w:val="005F2FC4"/>
    <w:rsid w:val="00624FE1"/>
    <w:rsid w:val="00644B43"/>
    <w:rsid w:val="006B79BB"/>
    <w:rsid w:val="006D5999"/>
    <w:rsid w:val="006E58D6"/>
    <w:rsid w:val="007208D6"/>
    <w:rsid w:val="00750571"/>
    <w:rsid w:val="00787ADA"/>
    <w:rsid w:val="007B2AC0"/>
    <w:rsid w:val="007E653F"/>
    <w:rsid w:val="00831A4B"/>
    <w:rsid w:val="00891E1D"/>
    <w:rsid w:val="008B397C"/>
    <w:rsid w:val="008B47F4"/>
    <w:rsid w:val="008B56E1"/>
    <w:rsid w:val="008D3625"/>
    <w:rsid w:val="008D468F"/>
    <w:rsid w:val="00900019"/>
    <w:rsid w:val="0099063E"/>
    <w:rsid w:val="009D6411"/>
    <w:rsid w:val="00A63B8A"/>
    <w:rsid w:val="00A769B1"/>
    <w:rsid w:val="00A837D5"/>
    <w:rsid w:val="00AA769E"/>
    <w:rsid w:val="00AC04A0"/>
    <w:rsid w:val="00AC4C45"/>
    <w:rsid w:val="00B46F21"/>
    <w:rsid w:val="00B511A5"/>
    <w:rsid w:val="00B736A7"/>
    <w:rsid w:val="00B7651F"/>
    <w:rsid w:val="00B92243"/>
    <w:rsid w:val="00C00AE9"/>
    <w:rsid w:val="00C3018E"/>
    <w:rsid w:val="00C56E09"/>
    <w:rsid w:val="00CF096B"/>
    <w:rsid w:val="00D3771F"/>
    <w:rsid w:val="00D4380D"/>
    <w:rsid w:val="00E16D30"/>
    <w:rsid w:val="00E33169"/>
    <w:rsid w:val="00E70904"/>
    <w:rsid w:val="00E71C59"/>
    <w:rsid w:val="00EC66EE"/>
    <w:rsid w:val="00ED6A74"/>
    <w:rsid w:val="00EF44B1"/>
    <w:rsid w:val="00F35AA0"/>
    <w:rsid w:val="00F371B4"/>
    <w:rsid w:val="00FF4F5D"/>
    <w:rsid w:val="016E63C2"/>
    <w:rsid w:val="024B0C39"/>
    <w:rsid w:val="0A8128A6"/>
    <w:rsid w:val="0B86220C"/>
    <w:rsid w:val="0BF32A1B"/>
    <w:rsid w:val="10BD2C22"/>
    <w:rsid w:val="20BF374D"/>
    <w:rsid w:val="22987C80"/>
    <w:rsid w:val="24192CCC"/>
    <w:rsid w:val="39A66CD4"/>
    <w:rsid w:val="3CD52CE1"/>
    <w:rsid w:val="410F2E6A"/>
    <w:rsid w:val="4430136C"/>
    <w:rsid w:val="4AB0382B"/>
    <w:rsid w:val="569868B5"/>
    <w:rsid w:val="5B7A77CD"/>
    <w:rsid w:val="5FBD1AAB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3299</Words>
  <Characters>703</Characters>
  <Lines>5</Lines>
  <Paragraphs>7</Paragraphs>
  <TotalTime>0</TotalTime>
  <ScaleCrop>false</ScaleCrop>
  <LinksUpToDate>false</LinksUpToDate>
  <CharactersWithSpaces>3995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2022-09-17T07:40:00Z</dcterms:created>
  <dc:creator>juvg</dc:creator>
  <cp:lastModifiedBy>刘尔瑟</cp:lastModifiedBy>
  <dcterms:modified xsi:type="dcterms:W3CDTF">2022-09-20T06:33:50Z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