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88" w:lineRule="auto"/>
        <w:ind w:firstLine="3360" w:firstLineChars="1600"/>
        <w:rPr>
          <w:b/>
          <w:sz w:val="28"/>
          <w:szCs w:val="30"/>
        </w:rPr>
      </w:pPr>
      <w:r>
        <w:pict>
          <v:shape id="文本框 1" o:spid="_x0000_s1026" o:spt="202" type="#_x0000_t202" style="position:absolute;left:0pt;margin-left:41.8pt;margin-top:27.55pt;height:22.1pt;width:207.5pt;mso-position-horizontal-relative:page;mso-position-vertical-relative:page;z-index:251658240;mso-width-relative:page;mso-height-relative:page;" stroked="f" coordsize="21600,21600" o:gfxdata="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l5Iqb9MAAAAJAQAADwAAAAAAAAABACAAAAAiAAAA&#10;ZHJzL2Rvd25yZXYueG1sUEsBAhQAFAAAAAgAh07iQHjEpCJFAgAAWQQAAA4AAAAAAAAAAQAgAAAA&#10;IgEAAGRycy9lMm9Eb2MueG1sUEsFBgAAAAAGAAYAWQEAANkFAAAAAA==&#10;">
            <v:path/>
            <v:fill focussize="0,0"/>
            <v:stroke on="f" weight="0.5pt" joinstyle="miter"/>
            <v:imagedata o:title=""/>
            <o:lock v:ext="edit"/>
            <v:textbox>
              <w:txbxContent>
                <w:p>
                  <w:pPr>
                    <w:jc w:val="left"/>
                    <w:rPr>
                      <w:rFonts w:ascii="宋体" w:hAnsi="宋体"/>
                      <w:spacing w:val="2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/>
                      <w:spacing w:val="20"/>
                      <w:sz w:val="24"/>
                      <w:szCs w:val="24"/>
                    </w:rPr>
                    <w:t>SJQU-</w:t>
                  </w:r>
                  <w:r>
                    <w:rPr>
                      <w:rFonts w:ascii="宋体" w:hAnsi="宋体"/>
                      <w:spacing w:val="20"/>
                      <w:sz w:val="24"/>
                      <w:szCs w:val="24"/>
                    </w:rPr>
                    <w:t>Q</w:t>
                  </w:r>
                  <w:r>
                    <w:rPr>
                      <w:rFonts w:hint="eastAsia" w:ascii="宋体" w:hAnsi="宋体"/>
                      <w:spacing w:val="20"/>
                      <w:sz w:val="24"/>
                      <w:szCs w:val="24"/>
                    </w:rPr>
                    <w:t>R-JW-</w:t>
                  </w:r>
                  <w:r>
                    <w:rPr>
                      <w:rFonts w:ascii="宋体" w:hAnsi="宋体"/>
                      <w:spacing w:val="20"/>
                      <w:sz w:val="24"/>
                      <w:szCs w:val="24"/>
                    </w:rPr>
                    <w:t>0</w:t>
                  </w:r>
                  <w:r>
                    <w:rPr>
                      <w:rFonts w:hint="eastAsia" w:ascii="宋体" w:hAnsi="宋体"/>
                      <w:spacing w:val="20"/>
                      <w:sz w:val="24"/>
                      <w:szCs w:val="24"/>
                    </w:rPr>
                    <w:t>33（A</w:t>
                  </w:r>
                  <w:r>
                    <w:rPr>
                      <w:rFonts w:ascii="宋体" w:hAnsi="宋体"/>
                      <w:spacing w:val="20"/>
                      <w:sz w:val="24"/>
                      <w:szCs w:val="24"/>
                    </w:rPr>
                    <w:t>0）</w:t>
                  </w:r>
                </w:p>
              </w:txbxContent>
            </v:textbox>
          </v:shape>
        </w:pict>
      </w:r>
      <w:r>
        <w:rPr>
          <w:rFonts w:hint="eastAsia"/>
          <w:b/>
          <w:sz w:val="28"/>
          <w:szCs w:val="30"/>
        </w:rPr>
        <w:t>【科技日语翻译】</w:t>
      </w:r>
    </w:p>
    <w:p>
      <w:pPr>
        <w:shd w:val="clear" w:color="auto" w:fill="F5F5F5"/>
        <w:jc w:val="center"/>
        <w:textAlignment w:val="top"/>
        <w:rPr>
          <w:rFonts w:ascii="Arial" w:hAnsi="Arial" w:cs="Arial"/>
          <w:color w:val="888888"/>
          <w:kern w:val="0"/>
          <w:sz w:val="20"/>
          <w:szCs w:val="20"/>
        </w:rPr>
      </w:pPr>
      <w:r>
        <w:rPr>
          <w:rFonts w:hint="eastAsia"/>
          <w:b/>
          <w:sz w:val="28"/>
          <w:szCs w:val="30"/>
        </w:rPr>
        <w:t>【s</w:t>
      </w:r>
      <w:r>
        <w:rPr>
          <w:b/>
          <w:sz w:val="28"/>
          <w:szCs w:val="30"/>
        </w:rPr>
        <w:t xml:space="preserve">ci- tech </w:t>
      </w:r>
      <w:r>
        <w:rPr>
          <w:rFonts w:hint="eastAsia"/>
          <w:b/>
          <w:sz w:val="28"/>
          <w:szCs w:val="30"/>
        </w:rPr>
        <w:t>Japanese</w:t>
      </w:r>
      <w:r>
        <w:rPr>
          <w:b/>
          <w:sz w:val="28"/>
          <w:szCs w:val="30"/>
        </w:rPr>
        <w:t xml:space="preserve"> translation</w:t>
      </w:r>
      <w:r>
        <w:rPr>
          <w:rFonts w:hint="eastAsia"/>
          <w:b/>
          <w:sz w:val="28"/>
          <w:szCs w:val="30"/>
        </w:rPr>
        <w:t>】</w:t>
      </w:r>
      <w:bookmarkStart w:id="0" w:name="a2"/>
      <w:bookmarkEnd w:id="0"/>
    </w:p>
    <w:p>
      <w:pPr>
        <w:spacing w:before="156" w:beforeLines="50" w:after="156" w:afterLines="50" w:line="288" w:lineRule="auto"/>
        <w:ind w:firstLine="361" w:firstLineChars="150"/>
        <w:rPr>
          <w:rFonts w:asciiTheme="majorEastAsia" w:hAnsiTheme="majorEastAsia" w:eastAsiaTheme="majorEastAsia"/>
          <w:b/>
          <w:sz w:val="24"/>
        </w:rPr>
      </w:pPr>
    </w:p>
    <w:p>
      <w:pPr>
        <w:spacing w:before="156" w:beforeLines="50" w:after="156" w:afterLines="50" w:line="288" w:lineRule="auto"/>
        <w:ind w:firstLine="361" w:firstLineChars="150"/>
        <w:rPr>
          <w:rFonts w:asciiTheme="majorEastAsia" w:hAnsiTheme="majorEastAsia" w:eastAsiaTheme="majorEastAsia"/>
          <w:b/>
          <w:color w:val="008080"/>
          <w:sz w:val="30"/>
          <w:szCs w:val="30"/>
        </w:rPr>
      </w:pPr>
      <w:r>
        <w:rPr>
          <w:rFonts w:asciiTheme="majorEastAsia" w:hAnsiTheme="majorEastAsia" w:eastAsiaTheme="majorEastAsia"/>
          <w:b/>
          <w:sz w:val="24"/>
        </w:rPr>
        <w:t>一</w:t>
      </w:r>
      <w:r>
        <w:rPr>
          <w:rFonts w:hint="eastAsia" w:asciiTheme="majorEastAsia" w:hAnsiTheme="majorEastAsia" w:eastAsiaTheme="majorEastAsia"/>
          <w:b/>
          <w:sz w:val="24"/>
        </w:rPr>
        <w:t>、</w:t>
      </w:r>
      <w:r>
        <w:rPr>
          <w:rFonts w:asciiTheme="majorEastAsia" w:hAnsiTheme="majorEastAsia" w:eastAsiaTheme="majorEastAsia"/>
          <w:b/>
          <w:sz w:val="24"/>
        </w:rPr>
        <w:t>基本信息</w:t>
      </w:r>
    </w:p>
    <w:p>
      <w:pPr>
        <w:snapToGrid w:val="0"/>
        <w:spacing w:line="288" w:lineRule="auto"/>
        <w:ind w:firstLine="394" w:firstLineChars="196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课程代码：</w:t>
      </w:r>
      <w:r>
        <w:rPr>
          <w:color w:val="000000"/>
          <w:sz w:val="20"/>
          <w:szCs w:val="20"/>
        </w:rPr>
        <w:t>【</w:t>
      </w:r>
      <w:r>
        <w:rPr>
          <w:rFonts w:hint="eastAsia"/>
          <w:color w:val="000000"/>
          <w:sz w:val="20"/>
          <w:szCs w:val="20"/>
        </w:rPr>
        <w:t>1020029</w:t>
      </w:r>
      <w:bookmarkStart w:id="1" w:name="_GoBack"/>
      <w:bookmarkEnd w:id="1"/>
      <w:r>
        <w:rPr>
          <w:color w:val="000000"/>
          <w:sz w:val="20"/>
          <w:szCs w:val="20"/>
        </w:rPr>
        <w:t>】</w:t>
      </w:r>
    </w:p>
    <w:p>
      <w:pPr>
        <w:snapToGrid w:val="0"/>
        <w:spacing w:line="288" w:lineRule="auto"/>
        <w:ind w:firstLine="394" w:firstLineChars="196"/>
        <w:rPr>
          <w:color w:val="000000"/>
          <w:szCs w:val="21"/>
        </w:rPr>
      </w:pPr>
      <w:r>
        <w:rPr>
          <w:b/>
          <w:bCs/>
          <w:color w:val="000000"/>
          <w:sz w:val="20"/>
          <w:szCs w:val="20"/>
        </w:rPr>
        <w:t>课程学分：</w:t>
      </w:r>
      <w:r>
        <w:rPr>
          <w:color w:val="000000"/>
          <w:sz w:val="20"/>
          <w:szCs w:val="20"/>
        </w:rPr>
        <w:t>【</w:t>
      </w:r>
      <w:r>
        <w:rPr>
          <w:rFonts w:hint="eastAsia"/>
          <w:color w:val="000000"/>
          <w:sz w:val="20"/>
          <w:szCs w:val="20"/>
        </w:rPr>
        <w:t>2</w:t>
      </w:r>
      <w:r>
        <w:rPr>
          <w:color w:val="000000"/>
          <w:sz w:val="20"/>
          <w:szCs w:val="20"/>
        </w:rPr>
        <w:t>】</w:t>
      </w:r>
    </w:p>
    <w:p>
      <w:pPr>
        <w:snapToGrid w:val="0"/>
        <w:spacing w:line="288" w:lineRule="auto"/>
        <w:ind w:firstLine="394" w:firstLineChars="196"/>
        <w:rPr>
          <w:color w:val="000000"/>
          <w:szCs w:val="21"/>
        </w:rPr>
      </w:pPr>
      <w:r>
        <w:rPr>
          <w:b/>
          <w:bCs/>
          <w:color w:val="000000"/>
          <w:sz w:val="20"/>
          <w:szCs w:val="20"/>
        </w:rPr>
        <w:t>面向专业：</w:t>
      </w:r>
      <w:r>
        <w:rPr>
          <w:color w:val="000000"/>
          <w:sz w:val="20"/>
          <w:szCs w:val="20"/>
        </w:rPr>
        <w:t>【</w:t>
      </w:r>
      <w:r>
        <w:rPr>
          <w:rFonts w:hint="eastAsia"/>
          <w:color w:val="000000"/>
          <w:sz w:val="20"/>
          <w:szCs w:val="20"/>
        </w:rPr>
        <w:t>日语专业本科</w:t>
      </w:r>
      <w:r>
        <w:rPr>
          <w:color w:val="000000"/>
          <w:sz w:val="20"/>
          <w:szCs w:val="20"/>
        </w:rPr>
        <w:t>】</w:t>
      </w:r>
    </w:p>
    <w:p>
      <w:pPr>
        <w:snapToGrid w:val="0"/>
        <w:spacing w:line="288" w:lineRule="auto"/>
        <w:ind w:firstLine="394" w:firstLineChars="196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课程性质：</w:t>
      </w:r>
      <w:r>
        <w:rPr>
          <w:color w:val="000000"/>
          <w:sz w:val="20"/>
          <w:szCs w:val="20"/>
        </w:rPr>
        <w:t>【</w:t>
      </w:r>
      <w:r>
        <w:rPr>
          <w:rFonts w:hint="eastAsia"/>
          <w:color w:val="000000"/>
          <w:sz w:val="20"/>
          <w:szCs w:val="20"/>
        </w:rPr>
        <w:t>系级选修课</w:t>
      </w:r>
      <w:r>
        <w:rPr>
          <w:color w:val="000000"/>
          <w:sz w:val="20"/>
          <w:szCs w:val="20"/>
        </w:rPr>
        <w:t>】</w:t>
      </w:r>
    </w:p>
    <w:p>
      <w:pPr>
        <w:snapToGrid w:val="0"/>
        <w:spacing w:line="288" w:lineRule="auto"/>
        <w:ind w:firstLine="394" w:firstLineChars="196"/>
        <w:rPr>
          <w:b/>
          <w:bCs/>
          <w:color w:val="000000"/>
          <w:szCs w:val="21"/>
        </w:rPr>
      </w:pPr>
      <w:r>
        <w:rPr>
          <w:b/>
          <w:bCs/>
          <w:color w:val="000000"/>
          <w:sz w:val="20"/>
          <w:szCs w:val="20"/>
        </w:rPr>
        <w:t>开课院系：</w:t>
      </w:r>
      <w:r>
        <w:rPr>
          <w:rFonts w:hint="eastAsia"/>
          <w:bCs/>
          <w:color w:val="000000"/>
          <w:sz w:val="20"/>
          <w:szCs w:val="20"/>
        </w:rPr>
        <w:t>外国语学院日语系</w:t>
      </w:r>
    </w:p>
    <w:p>
      <w:pPr>
        <w:snapToGrid w:val="0"/>
        <w:spacing w:line="288" w:lineRule="auto"/>
        <w:ind w:firstLine="394" w:firstLineChars="196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使用教材：</w:t>
      </w:r>
    </w:p>
    <w:p>
      <w:pPr>
        <w:tabs>
          <w:tab w:val="left" w:pos="4253"/>
        </w:tabs>
        <w:snapToGrid w:val="0"/>
        <w:spacing w:line="288" w:lineRule="auto"/>
        <w:ind w:firstLine="792" w:firstLineChars="396"/>
        <w:rPr>
          <w:color w:val="000000"/>
          <w:szCs w:val="21"/>
        </w:rPr>
      </w:pPr>
      <w:r>
        <w:rPr>
          <w:color w:val="000000"/>
          <w:sz w:val="20"/>
          <w:szCs w:val="20"/>
        </w:rPr>
        <w:t>教材【</w:t>
      </w:r>
      <w:r>
        <w:rPr>
          <w:rFonts w:hint="eastAsia"/>
          <w:color w:val="000000"/>
          <w:sz w:val="20"/>
          <w:szCs w:val="20"/>
        </w:rPr>
        <w:t>IT日语；总主编 谭晶华 主编（日）大桥国治 上海外语教育出版社</w:t>
      </w:r>
      <w:r>
        <w:rPr>
          <w:color w:val="000000"/>
          <w:sz w:val="20"/>
          <w:szCs w:val="20"/>
        </w:rPr>
        <w:t>】</w:t>
      </w:r>
    </w:p>
    <w:p>
      <w:pPr>
        <w:snapToGrid w:val="0"/>
        <w:spacing w:line="288" w:lineRule="auto"/>
        <w:ind w:firstLine="800" w:firstLineChars="400"/>
        <w:jc w:val="left"/>
        <w:rPr>
          <w:rFonts w:ascii="MS UI Gothic" w:hAnsi="MS UI Gothic" w:eastAsia="MS UI Gothic"/>
          <w:b/>
          <w:bCs/>
          <w:color w:val="000000"/>
          <w:sz w:val="20"/>
          <w:szCs w:val="20"/>
          <w:lang w:eastAsia="ja-JP"/>
        </w:rPr>
      </w:pPr>
      <w:r>
        <w:rPr>
          <w:color w:val="000000"/>
          <w:sz w:val="20"/>
          <w:szCs w:val="20"/>
          <w:lang w:eastAsia="ja-JP"/>
        </w:rPr>
        <w:t>参考</w:t>
      </w:r>
      <w:r>
        <w:rPr>
          <w:rFonts w:hint="eastAsia"/>
          <w:color w:val="000000"/>
          <w:sz w:val="20"/>
          <w:szCs w:val="20"/>
          <w:lang w:eastAsia="ja-JP"/>
        </w:rPr>
        <w:t>书目</w:t>
      </w:r>
      <w:r>
        <w:rPr>
          <w:color w:val="000000"/>
          <w:sz w:val="20"/>
          <w:szCs w:val="20"/>
          <w:lang w:eastAsia="ja-JP"/>
        </w:rPr>
        <w:t>【</w:t>
      </w:r>
      <w:r>
        <w:rPr>
          <w:rFonts w:hint="eastAsia"/>
          <w:color w:val="000000"/>
          <w:sz w:val="20"/>
          <w:szCs w:val="20"/>
          <w:lang w:eastAsia="ja-JP"/>
        </w:rPr>
        <w:t>windows XP</w:t>
      </w:r>
      <w:r>
        <w:rPr>
          <w:rFonts w:hint="eastAsia" w:ascii="MS UI Gothic" w:hAnsi="MS UI Gothic" w:eastAsia="MS UI Gothic"/>
          <w:color w:val="000000"/>
          <w:sz w:val="20"/>
          <w:szCs w:val="20"/>
          <w:lang w:eastAsia="ja-JP"/>
        </w:rPr>
        <w:t>マスターバイブル　</w:t>
      </w:r>
      <w:r>
        <w:rPr>
          <w:rFonts w:hint="eastAsia" w:eastAsia="MS Mincho"/>
          <w:color w:val="000000"/>
          <w:sz w:val="20"/>
          <w:szCs w:val="20"/>
          <w:lang w:eastAsia="ja-JP"/>
        </w:rPr>
        <w:t>大原浩二著　　</w:t>
      </w:r>
      <w:r>
        <w:rPr>
          <w:rFonts w:hint="eastAsia" w:ascii="MS UI Gothic" w:hAnsi="MS UI Gothic" w:eastAsia="MS UI Gothic"/>
          <w:color w:val="000000"/>
          <w:sz w:val="20"/>
          <w:szCs w:val="20"/>
          <w:lang w:eastAsia="ja-JP"/>
        </w:rPr>
        <w:t>ソフトバンクパブリッシング出版</w:t>
      </w:r>
      <w:r>
        <w:rPr>
          <w:rFonts w:ascii="MS UI Gothic" w:hAnsi="MS UI Gothic" w:eastAsia="MS UI Gothic"/>
          <w:color w:val="000000"/>
          <w:sz w:val="20"/>
          <w:szCs w:val="20"/>
          <w:lang w:eastAsia="ja-JP"/>
        </w:rPr>
        <w:t>】</w:t>
      </w:r>
    </w:p>
    <w:p>
      <w:pPr>
        <w:snapToGrid w:val="0"/>
        <w:spacing w:line="288" w:lineRule="auto"/>
        <w:ind w:firstLine="1600" w:firstLineChars="800"/>
        <w:rPr>
          <w:rFonts w:ascii="MS UI Gothic" w:hAnsi="MS UI Gothic" w:eastAsia="MS UI Gothic"/>
          <w:color w:val="000000"/>
          <w:sz w:val="20"/>
          <w:szCs w:val="20"/>
        </w:rPr>
      </w:pPr>
      <w:r>
        <w:rPr>
          <w:rFonts w:ascii="MS UI Gothic" w:hAnsi="MS UI Gothic" w:eastAsia="MS UI Gothic"/>
          <w:color w:val="000000"/>
          <w:sz w:val="20"/>
          <w:szCs w:val="20"/>
        </w:rPr>
        <w:t>【</w:t>
      </w:r>
      <w:r>
        <w:rPr>
          <w:rFonts w:hint="eastAsia" w:ascii="MS UI Gothic" w:hAnsi="MS UI Gothic" w:eastAsiaTheme="minorEastAsia"/>
          <w:color w:val="000000"/>
          <w:sz w:val="20"/>
          <w:szCs w:val="20"/>
        </w:rPr>
        <w:t>信息科技 第一册、第二册 华东师范大学出版社</w:t>
      </w:r>
      <w:r>
        <w:rPr>
          <w:rFonts w:ascii="MS UI Gothic" w:hAnsi="MS UI Gothic" w:eastAsia="MS UI Gothic"/>
          <w:color w:val="000000"/>
          <w:sz w:val="20"/>
          <w:szCs w:val="20"/>
        </w:rPr>
        <w:t>】</w:t>
      </w:r>
    </w:p>
    <w:p>
      <w:pPr>
        <w:snapToGrid w:val="0"/>
        <w:spacing w:line="288" w:lineRule="auto"/>
        <w:ind w:firstLine="394" w:firstLineChars="196"/>
        <w:jc w:val="left"/>
        <w:rPr>
          <w:rFonts w:eastAsia="MS Mincho"/>
          <w:b/>
          <w:bCs/>
          <w:color w:val="000000"/>
          <w:sz w:val="20"/>
          <w:szCs w:val="20"/>
        </w:rPr>
      </w:pPr>
    </w:p>
    <w:p>
      <w:pPr>
        <w:snapToGrid w:val="0"/>
        <w:spacing w:line="288" w:lineRule="auto"/>
        <w:ind w:firstLine="394" w:firstLineChars="196"/>
        <w:jc w:val="left"/>
        <w:rPr>
          <w:color w:val="000000"/>
          <w:sz w:val="20"/>
          <w:szCs w:val="20"/>
        </w:rPr>
      </w:pPr>
      <w:r>
        <w:rPr>
          <w:rFonts w:hint="eastAsia"/>
          <w:b/>
          <w:bCs/>
          <w:color w:val="000000"/>
          <w:sz w:val="20"/>
          <w:szCs w:val="20"/>
        </w:rPr>
        <w:t>课程网站网址：</w:t>
      </w:r>
      <w:r>
        <w:rPr>
          <w:b/>
          <w:bCs/>
          <w:color w:val="000000"/>
          <w:sz w:val="20"/>
          <w:szCs w:val="20"/>
        </w:rPr>
        <w:t>http://kczx.gench.edu.cn/G2S/Template/View.aspx?action=view&amp;courseType=0&amp;courseId</w:t>
      </w:r>
    </w:p>
    <w:p>
      <w:pPr>
        <w:adjustRightInd w:val="0"/>
        <w:snapToGrid w:val="0"/>
        <w:spacing w:line="288" w:lineRule="auto"/>
        <w:ind w:firstLine="394" w:firstLineChars="196"/>
        <w:rPr>
          <w:b/>
          <w:bCs/>
          <w:color w:val="000000"/>
          <w:sz w:val="20"/>
          <w:szCs w:val="20"/>
        </w:rPr>
      </w:pPr>
    </w:p>
    <w:p>
      <w:pPr>
        <w:adjustRightInd w:val="0"/>
        <w:snapToGrid w:val="0"/>
        <w:spacing w:line="288" w:lineRule="auto"/>
        <w:ind w:firstLine="394" w:firstLineChars="196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先修课程：</w:t>
      </w:r>
      <w:r>
        <w:rPr>
          <w:color w:val="000000"/>
          <w:sz w:val="20"/>
          <w:szCs w:val="20"/>
        </w:rPr>
        <w:t>【</w:t>
      </w:r>
      <w:r>
        <w:rPr>
          <w:rFonts w:hint="eastAsia"/>
          <w:color w:val="000000"/>
          <w:sz w:val="20"/>
          <w:szCs w:val="20"/>
        </w:rPr>
        <w:t>基础日语（4）2020055</w:t>
      </w:r>
      <w:r>
        <w:rPr>
          <w:color w:val="000000"/>
          <w:sz w:val="20"/>
          <w:szCs w:val="20"/>
        </w:rPr>
        <w:t>】</w:t>
      </w:r>
    </w:p>
    <w:p>
      <w:pPr>
        <w:adjustRightInd w:val="0"/>
        <w:snapToGrid w:val="0"/>
        <w:spacing w:line="288" w:lineRule="auto"/>
        <w:ind w:firstLine="392" w:firstLineChars="196"/>
        <w:rPr>
          <w:color w:val="000000"/>
          <w:sz w:val="20"/>
          <w:szCs w:val="20"/>
        </w:rPr>
      </w:pPr>
    </w:p>
    <w:p>
      <w:pPr>
        <w:spacing w:before="156" w:beforeLines="50" w:after="156" w:afterLines="50" w:line="288" w:lineRule="auto"/>
        <w:ind w:firstLine="361" w:firstLineChars="150"/>
        <w:rPr>
          <w:rFonts w:asciiTheme="majorEastAsia" w:hAnsiTheme="majorEastAsia" w:eastAsiaTheme="majorEastAsia"/>
          <w:b/>
          <w:sz w:val="24"/>
        </w:rPr>
      </w:pPr>
      <w:r>
        <w:rPr>
          <w:rFonts w:asciiTheme="majorEastAsia" w:hAnsiTheme="majorEastAsia" w:eastAsiaTheme="majorEastAsia"/>
          <w:b/>
          <w:sz w:val="24"/>
        </w:rPr>
        <w:t>二</w:t>
      </w:r>
      <w:r>
        <w:rPr>
          <w:rFonts w:hint="eastAsia" w:asciiTheme="majorEastAsia" w:hAnsiTheme="majorEastAsia" w:eastAsiaTheme="majorEastAsia"/>
          <w:b/>
          <w:sz w:val="24"/>
        </w:rPr>
        <w:t>、</w:t>
      </w:r>
      <w:r>
        <w:rPr>
          <w:rFonts w:asciiTheme="majorEastAsia" w:hAnsiTheme="majorEastAsia" w:eastAsiaTheme="majorEastAsia"/>
          <w:b/>
          <w:sz w:val="24"/>
        </w:rPr>
        <w:t>课程简介</w:t>
      </w:r>
    </w:p>
    <w:p>
      <w:pPr>
        <w:snapToGrid w:val="0"/>
        <w:spacing w:line="380" w:lineRule="exact"/>
        <w:ind w:left="401" w:leftChars="191" w:firstLine="391"/>
        <w:rPr>
          <w:rFonts w:eastAsia="MS Mincho" w:asciiTheme="majorEastAsia" w:hAnsiTheme="majorEastAsia"/>
          <w:color w:val="000000"/>
          <w:sz w:val="18"/>
          <w:szCs w:val="18"/>
        </w:rPr>
      </w:pPr>
      <w:r>
        <w:rPr>
          <w:rFonts w:hint="eastAsia" w:asciiTheme="majorEastAsia" w:hAnsiTheme="majorEastAsia" w:eastAsiaTheme="majorEastAsia"/>
          <w:color w:val="000000"/>
          <w:sz w:val="18"/>
          <w:szCs w:val="18"/>
        </w:rPr>
        <w:t>本课程的教学对象为日语系本科专业三年级第五学期的学生。其主要目的是帮助学生巩固以往所学的日语语言知识，在此基础上接触、模仿IT日语表达形式与技巧，借助日语了解信息技术发展过程、应用现状和今后发展趋势。</w:t>
      </w:r>
    </w:p>
    <w:p>
      <w:pPr>
        <w:snapToGrid w:val="0"/>
        <w:spacing w:line="380" w:lineRule="exact"/>
        <w:ind w:left="401" w:leftChars="191" w:firstLine="391"/>
        <w:rPr>
          <w:rFonts w:asciiTheme="majorEastAsia" w:hAnsiTheme="majorEastAsia" w:eastAsiaTheme="minorEastAsia"/>
          <w:color w:val="000000"/>
          <w:sz w:val="18"/>
          <w:szCs w:val="18"/>
        </w:rPr>
      </w:pPr>
      <w:r>
        <w:rPr>
          <w:rFonts w:hint="eastAsia" w:asciiTheme="majorEastAsia" w:hAnsiTheme="majorEastAsia" w:eastAsiaTheme="minorEastAsia"/>
          <w:color w:val="000000"/>
          <w:sz w:val="18"/>
          <w:szCs w:val="18"/>
        </w:rPr>
        <w:t>本课程共10课，涵盖“电脑的基本构造”、“操作系统及应用构造”、“互联网”、“手机”、“生活在信息时代”等10个主题。通过朗朗上口的会话体文章和简明易懂的说明文，深入浅出地传授与IT相关知识、日语词汇、表达方式、用日语介绍IT基础知识，旨在帮助学生学会用日语讲述IT相关的话题，加深对信息时代的生活方式、工作方式以及思维方式的认知。</w:t>
      </w:r>
    </w:p>
    <w:p>
      <w:pPr>
        <w:snapToGrid w:val="0"/>
        <w:spacing w:line="380" w:lineRule="exact"/>
        <w:ind w:left="401" w:leftChars="191" w:firstLine="391"/>
        <w:rPr>
          <w:color w:val="000000"/>
          <w:sz w:val="20"/>
          <w:szCs w:val="20"/>
          <w:lang w:eastAsia="ja-JP"/>
        </w:rPr>
      </w:pPr>
      <w:r>
        <w:rPr>
          <w:rFonts w:hint="eastAsia" w:asciiTheme="majorEastAsia" w:hAnsiTheme="majorEastAsia" w:eastAsiaTheme="majorEastAsia"/>
          <w:color w:val="000000"/>
          <w:sz w:val="18"/>
          <w:szCs w:val="18"/>
        </w:rPr>
        <w:t>作为一门选修课，考虑到学分以及总课时的安排并根据该课本编著者的建议，本学期的讲解、练习只限于前8课。</w:t>
      </w:r>
      <w:r>
        <w:rPr>
          <w:rFonts w:hint="eastAsia" w:ascii="MS Mincho" w:hAnsi="MS Mincho" w:eastAsiaTheme="minorEastAsia"/>
          <w:color w:val="000000"/>
          <w:sz w:val="18"/>
          <w:szCs w:val="18"/>
          <w:lang w:eastAsia="ja-JP"/>
        </w:rPr>
        <w:t>标题如下所示，</w:t>
      </w:r>
      <w:r>
        <w:rPr>
          <w:rFonts w:hint="eastAsia" w:asciiTheme="majorEastAsia" w:hAnsiTheme="majorEastAsia" w:eastAsiaTheme="majorEastAsia"/>
          <w:color w:val="000000"/>
          <w:sz w:val="18"/>
          <w:szCs w:val="18"/>
          <w:lang w:eastAsia="ja-JP"/>
        </w:rPr>
        <w:t xml:space="preserve">第一课 </w:t>
      </w:r>
      <w:r>
        <w:rPr>
          <w:rFonts w:hint="eastAsia" w:eastAsia="MS Mincho" w:asciiTheme="majorEastAsia" w:hAnsiTheme="majorEastAsia"/>
          <w:color w:val="000000"/>
          <w:sz w:val="18"/>
          <w:szCs w:val="18"/>
          <w:lang w:eastAsia="ja-JP"/>
        </w:rPr>
        <w:t>デジタル情報とは、</w:t>
      </w:r>
      <w:r>
        <w:rPr>
          <w:rFonts w:hint="eastAsia" w:asciiTheme="majorEastAsia" w:hAnsiTheme="majorEastAsia" w:eastAsiaTheme="majorEastAsia"/>
          <w:color w:val="000000"/>
          <w:sz w:val="18"/>
          <w:szCs w:val="18"/>
          <w:lang w:eastAsia="ja-JP"/>
        </w:rPr>
        <w:t>第二课</w:t>
      </w:r>
      <w:r>
        <w:rPr>
          <w:rFonts w:hint="eastAsia" w:ascii="MS Mincho" w:hAnsi="MS Mincho" w:eastAsia="MS Mincho"/>
          <w:color w:val="000000"/>
          <w:sz w:val="18"/>
          <w:szCs w:val="18"/>
          <w:lang w:eastAsia="ja-JP"/>
        </w:rPr>
        <w:t>　パソコンの基本構成、</w:t>
      </w:r>
      <w:r>
        <w:rPr>
          <w:rFonts w:hint="eastAsia" w:asciiTheme="majorEastAsia" w:hAnsiTheme="majorEastAsia" w:eastAsiaTheme="majorEastAsia"/>
          <w:color w:val="000000"/>
          <w:sz w:val="18"/>
          <w:szCs w:val="18"/>
          <w:lang w:eastAsia="ja-JP"/>
        </w:rPr>
        <w:t xml:space="preserve"> 第三课 </w:t>
      </w:r>
      <w:r>
        <w:rPr>
          <w:rFonts w:hint="eastAsia" w:ascii="MS Mincho" w:hAnsi="MS Mincho" w:eastAsia="MS Mincho"/>
          <w:color w:val="000000"/>
          <w:sz w:val="18"/>
          <w:szCs w:val="18"/>
          <w:lang w:eastAsia="ja-JP"/>
        </w:rPr>
        <w:t>OSとアプリケーション、</w:t>
      </w:r>
      <w:r>
        <w:rPr>
          <w:rFonts w:hint="eastAsia" w:asciiTheme="majorEastAsia" w:hAnsiTheme="majorEastAsia" w:eastAsiaTheme="majorEastAsia"/>
          <w:color w:val="000000"/>
          <w:sz w:val="18"/>
          <w:szCs w:val="18"/>
          <w:lang w:eastAsia="ja-JP"/>
        </w:rPr>
        <w:t xml:space="preserve">第四课 </w:t>
      </w:r>
      <w:r>
        <w:rPr>
          <w:rFonts w:hint="eastAsia" w:ascii="MS Mincho" w:hAnsi="MS Mincho" w:eastAsia="MS Mincho"/>
          <w:color w:val="000000"/>
          <w:sz w:val="18"/>
          <w:szCs w:val="18"/>
          <w:lang w:eastAsia="ja-JP"/>
        </w:rPr>
        <w:t>インターネット、</w:t>
      </w:r>
      <w:r>
        <w:rPr>
          <w:rFonts w:hint="eastAsia" w:asciiTheme="majorEastAsia" w:hAnsiTheme="majorEastAsia" w:eastAsiaTheme="majorEastAsia"/>
          <w:color w:val="000000"/>
          <w:sz w:val="18"/>
          <w:szCs w:val="18"/>
          <w:lang w:eastAsia="ja-JP"/>
        </w:rPr>
        <w:t xml:space="preserve">第五课 </w:t>
      </w:r>
      <w:r>
        <w:rPr>
          <w:rFonts w:hint="eastAsia" w:ascii="MS Mincho" w:hAnsi="MS Mincho" w:eastAsia="MS Mincho"/>
          <w:color w:val="000000"/>
          <w:sz w:val="18"/>
          <w:szCs w:val="18"/>
          <w:lang w:eastAsia="ja-JP"/>
        </w:rPr>
        <w:t>携帯電話とスマホ、</w:t>
      </w:r>
      <w:r>
        <w:rPr>
          <w:rFonts w:hint="eastAsia" w:asciiTheme="majorEastAsia" w:hAnsiTheme="majorEastAsia" w:eastAsiaTheme="majorEastAsia"/>
          <w:color w:val="000000"/>
          <w:sz w:val="18"/>
          <w:szCs w:val="18"/>
          <w:lang w:eastAsia="ja-JP"/>
        </w:rPr>
        <w:t xml:space="preserve">第六课 </w:t>
      </w:r>
      <w:r>
        <w:rPr>
          <w:rFonts w:hint="eastAsia" w:ascii="MS Mincho" w:hAnsi="MS Mincho" w:eastAsia="MS Mincho"/>
          <w:color w:val="000000"/>
          <w:sz w:val="18"/>
          <w:szCs w:val="18"/>
          <w:lang w:eastAsia="ja-JP"/>
        </w:rPr>
        <w:t>IT世界での日常会話</w:t>
      </w:r>
      <w:r>
        <w:rPr>
          <w:rFonts w:hint="eastAsia" w:ascii="MS Mincho" w:hAnsi="MS Mincho" w:eastAsiaTheme="minorEastAsia"/>
          <w:color w:val="000000"/>
          <w:sz w:val="18"/>
          <w:szCs w:val="18"/>
          <w:lang w:eastAsia="ja-JP"/>
        </w:rPr>
        <w:t>、</w:t>
      </w:r>
      <w:r>
        <w:rPr>
          <w:rFonts w:hint="eastAsia" w:asciiTheme="majorEastAsia" w:hAnsiTheme="majorEastAsia" w:eastAsiaTheme="majorEastAsia"/>
          <w:color w:val="000000"/>
          <w:sz w:val="18"/>
          <w:szCs w:val="18"/>
          <w:lang w:eastAsia="ja-JP"/>
        </w:rPr>
        <w:t xml:space="preserve">第七课 </w:t>
      </w:r>
      <w:r>
        <w:rPr>
          <w:rFonts w:hint="eastAsia" w:ascii="MS Mincho" w:hAnsi="MS Mincho" w:eastAsia="MS Mincho"/>
          <w:color w:val="000000"/>
          <w:sz w:val="18"/>
          <w:szCs w:val="18"/>
          <w:lang w:eastAsia="ja-JP"/>
        </w:rPr>
        <w:t>コンピュータの安全性と機密保持、</w:t>
      </w:r>
      <w:r>
        <w:rPr>
          <w:rFonts w:hint="eastAsia" w:asciiTheme="majorEastAsia" w:hAnsiTheme="majorEastAsia" w:eastAsiaTheme="majorEastAsia"/>
          <w:color w:val="000000"/>
          <w:sz w:val="18"/>
          <w:szCs w:val="18"/>
          <w:lang w:eastAsia="ja-JP"/>
        </w:rPr>
        <w:t xml:space="preserve">第八课 </w:t>
      </w:r>
      <w:r>
        <w:rPr>
          <w:rFonts w:hint="eastAsia" w:ascii="MS Mincho" w:hAnsi="MS Mincho" w:eastAsia="MS Mincho"/>
          <w:color w:val="000000"/>
          <w:sz w:val="18"/>
          <w:szCs w:val="18"/>
          <w:lang w:eastAsia="ja-JP"/>
        </w:rPr>
        <w:t>コンビニのお話。</w:t>
      </w:r>
      <w:r>
        <w:rPr>
          <w:rFonts w:hint="eastAsia" w:ascii="MS Mincho" w:hAnsi="MS Mincho" w:eastAsiaTheme="minorEastAsia"/>
          <w:color w:val="000000"/>
          <w:sz w:val="20"/>
          <w:szCs w:val="20"/>
          <w:lang w:eastAsia="ja-JP"/>
        </w:rPr>
        <w:t xml:space="preserve">  </w:t>
      </w:r>
    </w:p>
    <w:p>
      <w:pPr>
        <w:spacing w:before="156" w:beforeLines="50" w:after="156" w:afterLines="50" w:line="288" w:lineRule="auto"/>
        <w:ind w:firstLine="361" w:firstLineChars="150"/>
        <w:rPr>
          <w:rFonts w:asciiTheme="majorEastAsia" w:hAnsiTheme="majorEastAsia" w:eastAsiaTheme="majorEastAsia"/>
          <w:b/>
          <w:sz w:val="24"/>
          <w:lang w:eastAsia="ja-JP"/>
        </w:rPr>
      </w:pPr>
    </w:p>
    <w:p>
      <w:pPr>
        <w:spacing w:before="156" w:beforeLines="50" w:after="156" w:afterLines="50" w:line="288" w:lineRule="auto"/>
        <w:ind w:firstLine="361" w:firstLineChars="150"/>
        <w:rPr>
          <w:rFonts w:asciiTheme="majorEastAsia" w:hAnsiTheme="majorEastAsia" w:eastAsiaTheme="majorEastAsia"/>
          <w:b/>
          <w:sz w:val="24"/>
        </w:rPr>
      </w:pPr>
      <w:r>
        <w:rPr>
          <w:rFonts w:asciiTheme="majorEastAsia" w:hAnsiTheme="majorEastAsia" w:eastAsiaTheme="majorEastAsia"/>
          <w:b/>
          <w:sz w:val="24"/>
        </w:rPr>
        <w:t>三</w:t>
      </w:r>
      <w:r>
        <w:rPr>
          <w:rFonts w:hint="eastAsia" w:asciiTheme="majorEastAsia" w:hAnsiTheme="majorEastAsia" w:eastAsiaTheme="majorEastAsia"/>
          <w:b/>
          <w:sz w:val="24"/>
        </w:rPr>
        <w:t>、</w:t>
      </w:r>
      <w:r>
        <w:rPr>
          <w:rFonts w:asciiTheme="majorEastAsia" w:hAnsiTheme="majorEastAsia" w:eastAsiaTheme="majorEastAsia"/>
          <w:b/>
          <w:sz w:val="24"/>
        </w:rPr>
        <w:t>选课建议</w:t>
      </w:r>
    </w:p>
    <w:p>
      <w:pPr>
        <w:snapToGrid w:val="0"/>
        <w:spacing w:line="288" w:lineRule="auto"/>
        <w:ind w:firstLine="360" w:firstLineChars="200"/>
        <w:rPr>
          <w:rFonts w:asciiTheme="majorEastAsia" w:hAnsiTheme="majorEastAsia" w:eastAsiaTheme="majorEastAsia"/>
          <w:color w:val="000000"/>
          <w:sz w:val="18"/>
          <w:szCs w:val="18"/>
        </w:rPr>
      </w:pPr>
      <w:r>
        <w:rPr>
          <w:rFonts w:hint="eastAsia" w:asciiTheme="majorEastAsia" w:hAnsiTheme="majorEastAsia" w:eastAsiaTheme="majorEastAsia"/>
          <w:color w:val="000000"/>
          <w:sz w:val="18"/>
          <w:szCs w:val="18"/>
        </w:rPr>
        <w:t>本课程为日语专业本科三年级第五学期开设。要求具备一定的日语基础知识和初步的日语表达能力。</w:t>
      </w:r>
    </w:p>
    <w:p>
      <w:pPr>
        <w:snapToGrid w:val="0"/>
        <w:spacing w:line="288" w:lineRule="auto"/>
        <w:ind w:firstLine="400" w:firstLineChars="200"/>
        <w:rPr>
          <w:color w:val="000000"/>
          <w:sz w:val="20"/>
          <w:szCs w:val="20"/>
        </w:rPr>
      </w:pPr>
    </w:p>
    <w:p>
      <w:pPr>
        <w:spacing w:before="156" w:beforeLines="50" w:after="156" w:afterLines="50" w:line="288" w:lineRule="auto"/>
        <w:ind w:firstLine="361" w:firstLineChars="150"/>
        <w:rPr>
          <w:rFonts w:asciiTheme="majorEastAsia" w:hAnsiTheme="majorEastAsia" w:eastAsiaTheme="majorEastAsia"/>
          <w:b/>
          <w:sz w:val="24"/>
        </w:rPr>
      </w:pPr>
      <w:r>
        <w:rPr>
          <w:rFonts w:asciiTheme="majorEastAsia" w:hAnsiTheme="majorEastAsia" w:eastAsiaTheme="majorEastAsia"/>
          <w:b/>
          <w:sz w:val="24"/>
        </w:rPr>
        <w:t>四</w:t>
      </w:r>
      <w:r>
        <w:rPr>
          <w:rFonts w:hint="eastAsia" w:asciiTheme="majorEastAsia" w:hAnsiTheme="majorEastAsia" w:eastAsiaTheme="majorEastAsia"/>
          <w:b/>
          <w:sz w:val="24"/>
        </w:rPr>
        <w:t>、</w:t>
      </w:r>
      <w:r>
        <w:rPr>
          <w:rFonts w:asciiTheme="majorEastAsia" w:hAnsiTheme="majorEastAsia" w:eastAsiaTheme="majorEastAsia"/>
          <w:b/>
          <w:sz w:val="24"/>
        </w:rPr>
        <w:t>课程与</w:t>
      </w:r>
      <w:r>
        <w:rPr>
          <w:rFonts w:hint="eastAsia" w:asciiTheme="majorEastAsia" w:hAnsiTheme="majorEastAsia" w:eastAsiaTheme="majorEastAsia"/>
          <w:b/>
          <w:sz w:val="24"/>
        </w:rPr>
        <w:t>专业毕业要求</w:t>
      </w:r>
      <w:r>
        <w:rPr>
          <w:rFonts w:asciiTheme="majorEastAsia" w:hAnsiTheme="majorEastAsia" w:eastAsiaTheme="majorEastAsia"/>
          <w:b/>
          <w:sz w:val="24"/>
        </w:rPr>
        <w:t>的关联性</w:t>
      </w:r>
    </w:p>
    <w:tbl>
      <w:tblPr>
        <w:tblStyle w:val="5"/>
        <w:tblpPr w:leftFromText="180" w:rightFromText="180" w:vertAnchor="text" w:horzAnchor="page" w:tblpX="2199" w:tblpY="242"/>
        <w:tblOverlap w:val="never"/>
        <w:tblW w:w="770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79"/>
        <w:gridCol w:w="7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79" w:type="dxa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</w:rPr>
              <w:t>专业毕业要求</w:t>
            </w:r>
          </w:p>
        </w:tc>
        <w:tc>
          <w:tcPr>
            <w:tcW w:w="727" w:type="dxa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</w:rPr>
              <w:t>关联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79" w:type="dxa"/>
            <w:vAlign w:val="center"/>
          </w:tcPr>
          <w:p>
            <w:pPr>
              <w:ind w:left="540" w:hanging="540" w:hangingChars="300"/>
              <w:rPr>
                <w:rFonts w:asciiTheme="majorEastAsia" w:hAnsiTheme="majorEastAsia" w:eastAsia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18"/>
                <w:szCs w:val="18"/>
              </w:rPr>
              <w:t>LO11：</w:t>
            </w: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了解IT日语文章中所涉及的专业基础知识，掌握专业领域的相关词汇，认识模拟信息向数字化信息演变的过程及其作用。</w:t>
            </w:r>
          </w:p>
        </w:tc>
        <w:tc>
          <w:tcPr>
            <w:tcW w:w="727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79" w:type="dxa"/>
            <w:vAlign w:val="center"/>
          </w:tcPr>
          <w:p>
            <w:pPr>
              <w:widowControl/>
              <w:rPr>
                <w:rFonts w:asciiTheme="majorEastAsia" w:hAnsiTheme="majorEastAsia" w:eastAsia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18"/>
                <w:szCs w:val="18"/>
              </w:rPr>
              <w:t>LO21：借助辞典读懂所指定的IT日语文章中叙述内容，扩大词汇量，尤其是外来语。</w:t>
            </w:r>
          </w:p>
        </w:tc>
        <w:tc>
          <w:tcPr>
            <w:tcW w:w="72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sym w:font="Wingdings 2" w:char="F09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6979" w:type="dxa"/>
            <w:vAlign w:val="center"/>
          </w:tcPr>
          <w:p>
            <w:pPr>
              <w:widowControl/>
              <w:rPr>
                <w:rFonts w:asciiTheme="majorEastAsia" w:hAnsiTheme="majorEastAsia" w:eastAsia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18"/>
                <w:szCs w:val="18"/>
              </w:rPr>
              <w:t>LO31：熟悉、模仿IT日语表达形式和具体技巧，培养IT日语方面的书写、口述能力。</w:t>
            </w:r>
            <w:r>
              <w:rPr>
                <w:rFonts w:asciiTheme="majorEastAsia" w:hAnsiTheme="majorEastAsia" w:eastAsiaTheme="majorEastAsia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72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79" w:type="dxa"/>
            <w:vAlign w:val="center"/>
          </w:tcPr>
          <w:p>
            <w:pPr>
              <w:widowControl/>
              <w:rPr>
                <w:rFonts w:asciiTheme="majorEastAsia" w:hAnsiTheme="majorEastAsia" w:eastAsia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18"/>
                <w:szCs w:val="18"/>
              </w:rPr>
              <w:t>LO32：逐渐培养积极思考，喜欢阅读，主动获取新知识的良好习惯。</w:t>
            </w:r>
            <w:r>
              <w:rPr>
                <w:rFonts w:asciiTheme="majorEastAsia" w:hAnsiTheme="majorEastAsia" w:eastAsiaTheme="majorEastAsia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72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sym w:font="Wingdings 2" w:char="F09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79" w:type="dxa"/>
            <w:vAlign w:val="center"/>
          </w:tcPr>
          <w:p>
            <w:pPr>
              <w:widowControl/>
              <w:rPr>
                <w:rFonts w:asciiTheme="majorEastAsia" w:hAnsiTheme="majorEastAsia" w:eastAsia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18"/>
                <w:szCs w:val="18"/>
              </w:rPr>
              <w:t>LO33：根据命题要求，用日语独自撰写表达正确、逻辑贯通的IT相关语句或文章。</w:t>
            </w:r>
          </w:p>
        </w:tc>
        <w:tc>
          <w:tcPr>
            <w:tcW w:w="72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79" w:type="dxa"/>
            <w:vAlign w:val="center"/>
          </w:tcPr>
          <w:p>
            <w:pPr>
              <w:widowControl/>
              <w:ind w:left="540" w:hanging="540" w:hangingChars="300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18"/>
                <w:szCs w:val="18"/>
              </w:rPr>
              <w:t>LO34：通过互联网了解IT技术发展的现状及趋势，阅读相关专著，成为一名新时代所需的既会日语，又懂IT知识的复合型人才。</w:t>
            </w:r>
          </w:p>
        </w:tc>
        <w:tc>
          <w:tcPr>
            <w:tcW w:w="72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sym w:font="Wingdings 2" w:char="F09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79" w:type="dxa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72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</w:tbl>
    <w:p>
      <w:pPr>
        <w:spacing w:before="156" w:beforeLines="50" w:after="156" w:afterLines="50" w:line="288" w:lineRule="auto"/>
        <w:ind w:firstLine="315" w:firstLineChars="150"/>
      </w:pPr>
      <w:r>
        <w:rPr>
          <w:rFonts w:hint="eastAsia"/>
        </w:rPr>
        <w:t>备注：LO=</w:t>
      </w:r>
      <w:r>
        <w:t>learning outcomes</w:t>
      </w:r>
      <w:r>
        <w:rPr>
          <w:rFonts w:hint="eastAsia"/>
        </w:rPr>
        <w:t>（学习成果）</w:t>
      </w:r>
    </w:p>
    <w:p>
      <w:pPr>
        <w:spacing w:before="156" w:beforeLines="50" w:after="156" w:afterLines="50" w:line="288" w:lineRule="auto"/>
        <w:ind w:firstLine="315" w:firstLineChars="150"/>
      </w:pPr>
    </w:p>
    <w:p>
      <w:pPr>
        <w:spacing w:before="156" w:beforeLines="50" w:after="156" w:afterLines="50" w:line="288" w:lineRule="auto"/>
        <w:ind w:firstLine="361" w:firstLineChars="150"/>
        <w:rPr>
          <w:rFonts w:asciiTheme="majorEastAsia" w:hAnsiTheme="majorEastAsia" w:eastAsiaTheme="majorEastAsia"/>
          <w:b/>
          <w:sz w:val="24"/>
        </w:rPr>
      </w:pPr>
      <w:r>
        <w:rPr>
          <w:rFonts w:hint="eastAsia" w:asciiTheme="majorEastAsia" w:hAnsiTheme="majorEastAsia" w:eastAsiaTheme="majorEastAsia"/>
          <w:b/>
          <w:sz w:val="24"/>
        </w:rPr>
        <w:t>五、</w:t>
      </w:r>
      <w:r>
        <w:rPr>
          <w:rFonts w:asciiTheme="majorEastAsia" w:hAnsiTheme="majorEastAsia" w:eastAsiaTheme="majorEastAsia"/>
          <w:b/>
          <w:sz w:val="24"/>
        </w:rPr>
        <w:t>课程</w:t>
      </w:r>
      <w:r>
        <w:rPr>
          <w:rFonts w:hint="eastAsia" w:asciiTheme="majorEastAsia" w:hAnsiTheme="majorEastAsia" w:eastAsiaTheme="majorEastAsia"/>
          <w:b/>
          <w:sz w:val="24"/>
        </w:rPr>
        <w:t>目标/课程预期学习成果</w:t>
      </w:r>
    </w:p>
    <w:tbl>
      <w:tblPr>
        <w:tblStyle w:val="4"/>
        <w:tblpPr w:leftFromText="180" w:rightFromText="180" w:vertAnchor="text" w:horzAnchor="page" w:tblpX="1845" w:tblpY="152"/>
        <w:tblOverlap w:val="never"/>
        <w:tblW w:w="931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7"/>
        <w:gridCol w:w="1381"/>
        <w:gridCol w:w="2901"/>
        <w:gridCol w:w="2583"/>
        <w:gridCol w:w="14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947" w:type="dxa"/>
            <w:shd w:val="clear" w:color="auto" w:fill="auto"/>
          </w:tcPr>
          <w:p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序号</w:t>
            </w:r>
          </w:p>
        </w:tc>
        <w:tc>
          <w:tcPr>
            <w:tcW w:w="1381" w:type="dxa"/>
            <w:shd w:val="clear" w:color="auto" w:fill="auto"/>
          </w:tcPr>
          <w:p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课程预期</w:t>
            </w:r>
          </w:p>
          <w:p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学习成果</w:t>
            </w:r>
          </w:p>
        </w:tc>
        <w:tc>
          <w:tcPr>
            <w:tcW w:w="2901" w:type="dxa"/>
            <w:shd w:val="clear" w:color="auto" w:fill="auto"/>
            <w:vAlign w:val="center"/>
          </w:tcPr>
          <w:p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  <w:highlight w:val="yellow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课程目标</w:t>
            </w:r>
          </w:p>
          <w:p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（细化的预期学习成果）</w:t>
            </w:r>
          </w:p>
        </w:tc>
        <w:tc>
          <w:tcPr>
            <w:tcW w:w="2583" w:type="dxa"/>
            <w:shd w:val="clear" w:color="auto" w:fill="auto"/>
            <w:vAlign w:val="center"/>
          </w:tcPr>
          <w:p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教与学方式</w:t>
            </w:r>
          </w:p>
        </w:tc>
        <w:tc>
          <w:tcPr>
            <w:tcW w:w="1499" w:type="dxa"/>
            <w:shd w:val="clear" w:color="auto" w:fill="auto"/>
            <w:vAlign w:val="center"/>
          </w:tcPr>
          <w:p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评价方式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2" w:hRule="atLeast"/>
        </w:trPr>
        <w:tc>
          <w:tcPr>
            <w:tcW w:w="947" w:type="dxa"/>
            <w:shd w:val="clear" w:color="auto" w:fill="auto"/>
          </w:tcPr>
          <w:p>
            <w:pPr>
              <w:rPr>
                <w:rFonts w:asciiTheme="majorEastAsia" w:hAnsiTheme="majorEastAsia" w:eastAsia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1381" w:type="dxa"/>
            <w:shd w:val="clear" w:color="auto" w:fill="auto"/>
            <w:vAlign w:val="center"/>
          </w:tcPr>
          <w:p>
            <w:pPr>
              <w:rPr>
                <w:rFonts w:asciiTheme="majorEastAsia" w:hAnsiTheme="majorEastAsia" w:eastAsia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18"/>
                <w:szCs w:val="18"/>
              </w:rPr>
              <w:t>LO211</w:t>
            </w:r>
          </w:p>
        </w:tc>
        <w:tc>
          <w:tcPr>
            <w:tcW w:w="2901" w:type="dxa"/>
            <w:shd w:val="clear" w:color="auto" w:fill="auto"/>
          </w:tcPr>
          <w:p>
            <w:pPr>
              <w:rPr>
                <w:rFonts w:asciiTheme="majorEastAsia" w:hAnsiTheme="majorEastAsia" w:eastAsia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18"/>
                <w:szCs w:val="18"/>
              </w:rPr>
              <w:t>能够明确所学IT日语文章要点，通过网络等途径收集、获取有助于本课程学习的相关资料，了解与IT日语所涉及常识。能在课前根据要求制定学习计划并加以实施。每周课后反思、确认学习计划完成情况。</w:t>
            </w:r>
          </w:p>
        </w:tc>
        <w:tc>
          <w:tcPr>
            <w:tcW w:w="2583" w:type="dxa"/>
            <w:shd w:val="clear" w:color="auto" w:fill="auto"/>
          </w:tcPr>
          <w:p>
            <w:pPr>
              <w:snapToGrid w:val="0"/>
              <w:spacing w:line="288" w:lineRule="auto"/>
              <w:jc w:val="center"/>
              <w:rPr>
                <w:rFonts w:asciiTheme="majorEastAsia" w:hAnsiTheme="majorEastAsia" w:eastAsia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18"/>
                <w:szCs w:val="18"/>
              </w:rPr>
              <w:t>1.帮助学生课前确认所指定的演讲稿主题，收集相关资料，要求学生积极提问并按照学习计划课后进行拓展性学习。</w:t>
            </w:r>
          </w:p>
        </w:tc>
        <w:tc>
          <w:tcPr>
            <w:tcW w:w="1499" w:type="dxa"/>
            <w:shd w:val="clear" w:color="auto" w:fill="auto"/>
          </w:tcPr>
          <w:p>
            <w:pPr>
              <w:snapToGrid w:val="0"/>
              <w:spacing w:line="288" w:lineRule="auto"/>
              <w:jc w:val="center"/>
              <w:rPr>
                <w:rFonts w:asciiTheme="majorEastAsia" w:hAnsiTheme="majorEastAsia" w:eastAsia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18"/>
                <w:szCs w:val="18"/>
              </w:rPr>
              <w:t>通过课堂问答环节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947" w:type="dxa"/>
            <w:vMerge w:val="restart"/>
            <w:shd w:val="clear" w:color="auto" w:fill="auto"/>
          </w:tcPr>
          <w:p>
            <w:pPr>
              <w:rPr>
                <w:rFonts w:asciiTheme="majorEastAsia" w:hAnsiTheme="majorEastAsia" w:eastAsia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1381" w:type="dxa"/>
            <w:vMerge w:val="restart"/>
            <w:shd w:val="clear" w:color="auto" w:fill="auto"/>
          </w:tcPr>
          <w:p>
            <w:pPr>
              <w:rPr>
                <w:rFonts w:asciiTheme="majorEastAsia" w:hAnsiTheme="majorEastAsia" w:eastAsia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18"/>
                <w:szCs w:val="18"/>
              </w:rPr>
              <w:t>LO32</w:t>
            </w:r>
          </w:p>
        </w:tc>
        <w:tc>
          <w:tcPr>
            <w:tcW w:w="2901" w:type="dxa"/>
            <w:shd w:val="clear" w:color="auto" w:fill="auto"/>
          </w:tcPr>
          <w:p>
            <w:pPr>
              <w:rPr>
                <w:rFonts w:asciiTheme="majorEastAsia" w:hAnsiTheme="majorEastAsia" w:eastAsia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18"/>
                <w:szCs w:val="18"/>
              </w:rPr>
              <w:t>能够阅读IT日语科普类文章，逐句口译成汉语，归纳每个段落的主要内容以及整篇文章要旨。用汉语进行简单评价，结合日常生活谈自己认识。</w:t>
            </w:r>
          </w:p>
        </w:tc>
        <w:tc>
          <w:tcPr>
            <w:tcW w:w="2583" w:type="dxa"/>
            <w:shd w:val="clear" w:color="auto" w:fill="auto"/>
          </w:tcPr>
          <w:p>
            <w:pPr>
              <w:snapToGrid w:val="0"/>
              <w:spacing w:line="288" w:lineRule="auto"/>
              <w:jc w:val="center"/>
              <w:rPr>
                <w:rFonts w:asciiTheme="majorEastAsia" w:hAnsiTheme="majorEastAsia" w:eastAsia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18"/>
                <w:szCs w:val="18"/>
              </w:rPr>
              <w:t>1.带领学生大声朗读，注意语音语调。</w:t>
            </w:r>
          </w:p>
          <w:p>
            <w:pPr>
              <w:snapToGrid w:val="0"/>
              <w:spacing w:line="288" w:lineRule="auto"/>
              <w:rPr>
                <w:rFonts w:asciiTheme="majorEastAsia" w:hAnsiTheme="majorEastAsia" w:eastAsia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18"/>
                <w:szCs w:val="18"/>
              </w:rPr>
              <w:t>2.对难懂句子或表达形式进行详尽讲解。</w:t>
            </w:r>
          </w:p>
        </w:tc>
        <w:tc>
          <w:tcPr>
            <w:tcW w:w="1499" w:type="dxa"/>
            <w:shd w:val="clear" w:color="auto" w:fill="auto"/>
          </w:tcPr>
          <w:p>
            <w:pPr>
              <w:snapToGrid w:val="0"/>
              <w:spacing w:line="288" w:lineRule="auto"/>
              <w:jc w:val="center"/>
              <w:rPr>
                <w:rFonts w:asciiTheme="majorEastAsia" w:hAnsiTheme="majorEastAsia" w:eastAsia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18"/>
                <w:szCs w:val="18"/>
              </w:rPr>
              <w:t>通过课堂问答环节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 w:hRule="atLeast"/>
        </w:trPr>
        <w:tc>
          <w:tcPr>
            <w:tcW w:w="947" w:type="dxa"/>
            <w:vMerge w:val="continue"/>
            <w:shd w:val="clear" w:color="auto" w:fill="auto"/>
          </w:tcPr>
          <w:p>
            <w:pPr>
              <w:rPr>
                <w:rFonts w:asciiTheme="majorEastAsia" w:hAnsiTheme="majorEastAsia" w:eastAsiaTheme="majorEastAsia"/>
                <w:color w:val="000000"/>
                <w:sz w:val="18"/>
                <w:szCs w:val="18"/>
              </w:rPr>
            </w:pPr>
          </w:p>
        </w:tc>
        <w:tc>
          <w:tcPr>
            <w:tcW w:w="1381" w:type="dxa"/>
            <w:vMerge w:val="continue"/>
            <w:shd w:val="clear" w:color="auto" w:fill="auto"/>
          </w:tcPr>
          <w:p>
            <w:pPr>
              <w:rPr>
                <w:rFonts w:asciiTheme="majorEastAsia" w:hAnsiTheme="majorEastAsia" w:eastAsiaTheme="majorEastAsia"/>
                <w:color w:val="000000"/>
                <w:sz w:val="18"/>
                <w:szCs w:val="18"/>
              </w:rPr>
            </w:pPr>
          </w:p>
        </w:tc>
        <w:tc>
          <w:tcPr>
            <w:tcW w:w="2901" w:type="dxa"/>
            <w:shd w:val="clear" w:color="auto" w:fill="auto"/>
          </w:tcPr>
          <w:p>
            <w:pPr>
              <w:rPr>
                <w:rFonts w:asciiTheme="majorEastAsia" w:hAnsiTheme="majorEastAsia" w:eastAsia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18"/>
                <w:szCs w:val="18"/>
              </w:rPr>
              <w:t>通读IT日语文章，做到发音正确，停顿恰当。根据具体内容，二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～</w:t>
            </w:r>
            <w:r>
              <w:rPr>
                <w:rFonts w:hint="eastAsia" w:asciiTheme="majorEastAsia" w:hAnsiTheme="majorEastAsia" w:eastAsiaTheme="majorEastAsia"/>
                <w:color w:val="000000"/>
                <w:sz w:val="18"/>
                <w:szCs w:val="18"/>
              </w:rPr>
              <w:t>三人一组扮演不同角色练习对话，借此提高表达能力。</w:t>
            </w:r>
          </w:p>
        </w:tc>
        <w:tc>
          <w:tcPr>
            <w:tcW w:w="2583" w:type="dxa"/>
            <w:shd w:val="clear" w:color="auto" w:fill="auto"/>
          </w:tcPr>
          <w:p>
            <w:pPr>
              <w:snapToGrid w:val="0"/>
              <w:spacing w:line="288" w:lineRule="auto"/>
              <w:rPr>
                <w:rFonts w:asciiTheme="majorEastAsia" w:hAnsiTheme="majorEastAsia" w:eastAsia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18"/>
                <w:szCs w:val="18"/>
              </w:rPr>
              <w:t>纠正发音，例举具体句型进行造句，加深对特定语境中各类表达形式的理解。</w:t>
            </w:r>
          </w:p>
        </w:tc>
        <w:tc>
          <w:tcPr>
            <w:tcW w:w="1499" w:type="dxa"/>
            <w:shd w:val="clear" w:color="auto" w:fill="auto"/>
          </w:tcPr>
          <w:p>
            <w:pPr>
              <w:snapToGrid w:val="0"/>
              <w:spacing w:line="288" w:lineRule="auto"/>
              <w:jc w:val="center"/>
              <w:rPr>
                <w:rFonts w:asciiTheme="majorEastAsia" w:hAnsiTheme="majorEastAsia" w:eastAsia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18"/>
                <w:szCs w:val="18"/>
              </w:rPr>
              <w:t>通过课堂问答环节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 w:hRule="atLeast"/>
        </w:trPr>
        <w:tc>
          <w:tcPr>
            <w:tcW w:w="947" w:type="dxa"/>
            <w:vMerge w:val="continue"/>
            <w:shd w:val="clear" w:color="auto" w:fill="auto"/>
          </w:tcPr>
          <w:p>
            <w:pPr>
              <w:rPr>
                <w:rFonts w:asciiTheme="majorEastAsia" w:hAnsiTheme="majorEastAsia" w:eastAsiaTheme="majorEastAsia"/>
                <w:color w:val="000000"/>
                <w:sz w:val="18"/>
                <w:szCs w:val="18"/>
              </w:rPr>
            </w:pPr>
          </w:p>
        </w:tc>
        <w:tc>
          <w:tcPr>
            <w:tcW w:w="1381" w:type="dxa"/>
            <w:vMerge w:val="continue"/>
            <w:shd w:val="clear" w:color="auto" w:fill="auto"/>
          </w:tcPr>
          <w:p>
            <w:pPr>
              <w:rPr>
                <w:rFonts w:asciiTheme="majorEastAsia" w:hAnsiTheme="majorEastAsia" w:eastAsiaTheme="majorEastAsia"/>
                <w:color w:val="000000"/>
                <w:sz w:val="18"/>
                <w:szCs w:val="18"/>
              </w:rPr>
            </w:pPr>
          </w:p>
        </w:tc>
        <w:tc>
          <w:tcPr>
            <w:tcW w:w="2901" w:type="dxa"/>
            <w:shd w:val="clear" w:color="auto" w:fill="auto"/>
          </w:tcPr>
          <w:p>
            <w:pPr>
              <w:rPr>
                <w:rFonts w:asciiTheme="majorEastAsia" w:hAnsiTheme="majorEastAsia" w:eastAsia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18"/>
                <w:szCs w:val="18"/>
              </w:rPr>
              <w:t>围绕不同论述主题，提高分析归纳、推理检验等逻辑思维能力。对所涉及的主题提高自己的认识。</w:t>
            </w:r>
          </w:p>
        </w:tc>
        <w:tc>
          <w:tcPr>
            <w:tcW w:w="2583" w:type="dxa"/>
            <w:shd w:val="clear" w:color="auto" w:fill="auto"/>
          </w:tcPr>
          <w:p>
            <w:pPr>
              <w:snapToGrid w:val="0"/>
              <w:spacing w:line="288" w:lineRule="auto"/>
              <w:rPr>
                <w:rFonts w:asciiTheme="majorEastAsia" w:hAnsiTheme="majorEastAsia" w:eastAsia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18"/>
                <w:szCs w:val="18"/>
              </w:rPr>
              <w:t>要求学生用日语进行问答，当即给予评判、纠正，演示。</w:t>
            </w:r>
          </w:p>
        </w:tc>
        <w:tc>
          <w:tcPr>
            <w:tcW w:w="1499" w:type="dxa"/>
            <w:shd w:val="clear" w:color="auto" w:fill="auto"/>
          </w:tcPr>
          <w:p>
            <w:pPr>
              <w:snapToGrid w:val="0"/>
              <w:spacing w:line="288" w:lineRule="auto"/>
              <w:jc w:val="center"/>
              <w:rPr>
                <w:rFonts w:asciiTheme="majorEastAsia" w:hAnsiTheme="majorEastAsia" w:eastAsia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18"/>
                <w:szCs w:val="18"/>
              </w:rPr>
              <w:t>通过课堂问答环节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947" w:type="dxa"/>
            <w:vMerge w:val="restart"/>
            <w:shd w:val="clear" w:color="auto" w:fill="auto"/>
          </w:tcPr>
          <w:p>
            <w:pPr>
              <w:rPr>
                <w:rFonts w:asciiTheme="majorEastAsia" w:hAnsiTheme="majorEastAsia" w:eastAsia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1381" w:type="dxa"/>
            <w:vMerge w:val="restart"/>
            <w:shd w:val="clear" w:color="auto" w:fill="auto"/>
          </w:tcPr>
          <w:p>
            <w:pPr>
              <w:rPr>
                <w:rFonts w:asciiTheme="majorEastAsia" w:hAnsiTheme="majorEastAsia" w:eastAsia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18"/>
                <w:szCs w:val="18"/>
              </w:rPr>
              <w:t>LO711</w:t>
            </w:r>
          </w:p>
        </w:tc>
        <w:tc>
          <w:tcPr>
            <w:tcW w:w="2901" w:type="dxa"/>
            <w:shd w:val="clear" w:color="auto" w:fill="auto"/>
          </w:tcPr>
          <w:p>
            <w:pPr>
              <w:rPr>
                <w:rFonts w:asciiTheme="majorEastAsia" w:hAnsiTheme="majorEastAsia" w:eastAsia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18"/>
                <w:szCs w:val="18"/>
              </w:rPr>
              <w:t>活用所学的词语、句型、表达形式，结合本课程内容逐步学会用日语表达IT相关事宜。</w:t>
            </w:r>
          </w:p>
        </w:tc>
        <w:tc>
          <w:tcPr>
            <w:tcW w:w="2583" w:type="dxa"/>
            <w:shd w:val="clear" w:color="auto" w:fill="auto"/>
          </w:tcPr>
          <w:p>
            <w:pPr>
              <w:snapToGrid w:val="0"/>
              <w:spacing w:line="288" w:lineRule="auto"/>
              <w:rPr>
                <w:rFonts w:asciiTheme="majorEastAsia" w:hAnsiTheme="majorEastAsia" w:eastAsia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18"/>
                <w:szCs w:val="18"/>
              </w:rPr>
              <w:t>根据具体情况，要求学生背诵经典语句、段落。</w:t>
            </w:r>
          </w:p>
        </w:tc>
        <w:tc>
          <w:tcPr>
            <w:tcW w:w="1499" w:type="dxa"/>
            <w:shd w:val="clear" w:color="auto" w:fill="auto"/>
          </w:tcPr>
          <w:p>
            <w:pPr>
              <w:snapToGrid w:val="0"/>
              <w:spacing w:line="288" w:lineRule="auto"/>
              <w:jc w:val="center"/>
              <w:rPr>
                <w:rFonts w:asciiTheme="majorEastAsia" w:hAnsiTheme="majorEastAsia" w:eastAsia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18"/>
                <w:szCs w:val="18"/>
              </w:rPr>
              <w:t>通过课堂问答环节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 w:hRule="atLeast"/>
        </w:trPr>
        <w:tc>
          <w:tcPr>
            <w:tcW w:w="947" w:type="dxa"/>
            <w:vMerge w:val="continue"/>
            <w:shd w:val="clear" w:color="auto" w:fill="auto"/>
          </w:tcPr>
          <w:p>
            <w:pPr>
              <w:rPr>
                <w:rFonts w:asciiTheme="majorEastAsia" w:hAnsiTheme="majorEastAsia" w:eastAsiaTheme="majorEastAsia"/>
                <w:color w:val="000000"/>
                <w:sz w:val="18"/>
                <w:szCs w:val="18"/>
              </w:rPr>
            </w:pPr>
          </w:p>
        </w:tc>
        <w:tc>
          <w:tcPr>
            <w:tcW w:w="1381" w:type="dxa"/>
            <w:vMerge w:val="continue"/>
            <w:shd w:val="clear" w:color="auto" w:fill="auto"/>
          </w:tcPr>
          <w:p>
            <w:pPr>
              <w:rPr>
                <w:rFonts w:asciiTheme="majorEastAsia" w:hAnsiTheme="majorEastAsia" w:eastAsiaTheme="majorEastAsia"/>
                <w:color w:val="000000"/>
                <w:sz w:val="18"/>
                <w:szCs w:val="18"/>
              </w:rPr>
            </w:pPr>
          </w:p>
        </w:tc>
        <w:tc>
          <w:tcPr>
            <w:tcW w:w="2901" w:type="dxa"/>
            <w:shd w:val="clear" w:color="auto" w:fill="auto"/>
          </w:tcPr>
          <w:p>
            <w:pPr>
              <w:rPr>
                <w:rFonts w:asciiTheme="majorEastAsia" w:hAnsiTheme="majorEastAsia" w:eastAsia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18"/>
                <w:szCs w:val="18"/>
              </w:rPr>
              <w:t>通过本课程学习了解信息技术的重要性，培养新一代知识面广、应用能力强的人才。</w:t>
            </w:r>
          </w:p>
        </w:tc>
        <w:tc>
          <w:tcPr>
            <w:tcW w:w="2583" w:type="dxa"/>
            <w:shd w:val="clear" w:color="auto" w:fill="auto"/>
          </w:tcPr>
          <w:p>
            <w:pPr>
              <w:snapToGrid w:val="0"/>
              <w:spacing w:line="288" w:lineRule="auto"/>
              <w:rPr>
                <w:rFonts w:asciiTheme="majorEastAsia" w:hAnsiTheme="majorEastAsia" w:eastAsia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18"/>
                <w:szCs w:val="18"/>
              </w:rPr>
              <w:t>鼓励学生根据不同题材主动收集相关资料，拓展话题的深度。</w:t>
            </w:r>
          </w:p>
        </w:tc>
        <w:tc>
          <w:tcPr>
            <w:tcW w:w="1499" w:type="dxa"/>
            <w:shd w:val="clear" w:color="auto" w:fill="auto"/>
          </w:tcPr>
          <w:p>
            <w:pPr>
              <w:snapToGrid w:val="0"/>
              <w:spacing w:line="288" w:lineRule="auto"/>
              <w:jc w:val="center"/>
              <w:rPr>
                <w:rFonts w:asciiTheme="majorEastAsia" w:hAnsiTheme="majorEastAsia" w:eastAsia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18"/>
                <w:szCs w:val="18"/>
              </w:rPr>
              <w:t>通过课堂问答环节</w:t>
            </w:r>
          </w:p>
        </w:tc>
      </w:tr>
    </w:tbl>
    <w:p>
      <w:pPr>
        <w:snapToGrid w:val="0"/>
        <w:spacing w:line="288" w:lineRule="auto"/>
        <w:rPr>
          <w:rFonts w:asciiTheme="majorEastAsia" w:hAnsiTheme="majorEastAsia" w:eastAsiaTheme="majorEastAsia"/>
          <w:color w:val="000000"/>
          <w:sz w:val="18"/>
          <w:szCs w:val="18"/>
        </w:rPr>
      </w:pPr>
    </w:p>
    <w:p>
      <w:pPr>
        <w:spacing w:before="156" w:beforeLines="50" w:after="156" w:afterLines="50" w:line="288" w:lineRule="auto"/>
        <w:rPr>
          <w:rFonts w:asciiTheme="majorEastAsia" w:hAnsiTheme="majorEastAsia" w:eastAsiaTheme="majorEastAsia"/>
          <w:b/>
          <w:sz w:val="24"/>
        </w:rPr>
      </w:pPr>
    </w:p>
    <w:p>
      <w:pPr>
        <w:spacing w:before="156" w:beforeLines="50" w:after="156" w:afterLines="50" w:line="288" w:lineRule="auto"/>
        <w:ind w:firstLine="236" w:firstLineChars="98"/>
        <w:rPr>
          <w:rFonts w:asciiTheme="majorEastAsia" w:hAnsiTheme="majorEastAsia" w:eastAsiaTheme="majorEastAsia"/>
          <w:b/>
          <w:sz w:val="24"/>
        </w:rPr>
      </w:pPr>
      <w:r>
        <w:rPr>
          <w:rFonts w:hint="eastAsia" w:asciiTheme="majorEastAsia" w:hAnsiTheme="majorEastAsia" w:eastAsiaTheme="majorEastAsia"/>
          <w:b/>
          <w:sz w:val="24"/>
        </w:rPr>
        <w:t>六、</w:t>
      </w:r>
      <w:r>
        <w:rPr>
          <w:rFonts w:asciiTheme="majorEastAsia" w:hAnsiTheme="majorEastAsia" w:eastAsiaTheme="majorEastAsia"/>
          <w:b/>
          <w:sz w:val="24"/>
        </w:rPr>
        <w:t>课程内容</w:t>
      </w:r>
    </w:p>
    <w:p>
      <w:pPr>
        <w:rPr>
          <w:rFonts w:asciiTheme="majorEastAsia" w:hAnsiTheme="majorEastAsia" w:eastAsiaTheme="majorEastAsia"/>
          <w:color w:val="000000"/>
          <w:sz w:val="18"/>
          <w:szCs w:val="18"/>
        </w:rPr>
      </w:pPr>
      <w:r>
        <w:rPr>
          <w:rFonts w:hint="eastAsia" w:asciiTheme="majorEastAsia" w:hAnsiTheme="majorEastAsia" w:eastAsiaTheme="majorEastAsia"/>
          <w:color w:val="000000"/>
          <w:sz w:val="18"/>
          <w:szCs w:val="18"/>
        </w:rPr>
        <w:t>本课程共计32个学时，周课时为2学时，其中包括分析讲解、朗读、归纳翻译、讨论等项内容。根据本教材编著者建议按每两周一课的教学进度展开教学。本学期内容大致分为三个单元：第一至第三课（科普知识篇）、第四至第六课（实际应用篇）、第七至第八课（提高拓展篇）。每次教学具体可分为：分析讲解、朗读、归纳翻译、讨论拓展这四个环节。</w:t>
      </w:r>
    </w:p>
    <w:p>
      <w:pPr>
        <w:snapToGrid w:val="0"/>
        <w:spacing w:line="288" w:lineRule="auto"/>
        <w:ind w:right="26"/>
        <w:rPr>
          <w:rFonts w:asciiTheme="majorEastAsia" w:hAnsiTheme="majorEastAsia" w:eastAsiaTheme="majorEastAsia"/>
          <w:sz w:val="18"/>
          <w:szCs w:val="18"/>
        </w:rPr>
      </w:pPr>
    </w:p>
    <w:tbl>
      <w:tblPr>
        <w:tblStyle w:val="4"/>
        <w:tblW w:w="9027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7"/>
        <w:gridCol w:w="1297"/>
        <w:gridCol w:w="2539"/>
        <w:gridCol w:w="3282"/>
        <w:gridCol w:w="709"/>
        <w:gridCol w:w="6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单元</w:t>
            </w: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内容构成</w:t>
            </w:r>
          </w:p>
        </w:tc>
        <w:tc>
          <w:tcPr>
            <w:tcW w:w="2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知识能力要求</w:t>
            </w:r>
          </w:p>
        </w:tc>
        <w:tc>
          <w:tcPr>
            <w:tcW w:w="3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教学重难点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理论课时</w:t>
            </w:r>
          </w:p>
        </w:tc>
        <w:tc>
          <w:tcPr>
            <w:tcW w:w="66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实践课时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1" w:hRule="exact"/>
        </w:trPr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1</w:t>
            </w: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ind w:firstLine="90" w:firstLineChars="50"/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科普知识</w:t>
            </w:r>
          </w:p>
        </w:tc>
        <w:tc>
          <w:tcPr>
            <w:tcW w:w="2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理解IT日语文章中所涉及的专业基础知识，掌握相关的外来语词汇，认识模拟信息向数字化信息演变的过程及作用。</w:t>
            </w:r>
          </w:p>
        </w:tc>
        <w:tc>
          <w:tcPr>
            <w:tcW w:w="3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重点讲解每篇IT日语文章中难解词语的含义，分析词语搭配、各类惯用型、句型使用时的要求，段落之间的过渡与衔接以及各种逻辑关系。</w:t>
            </w:r>
          </w:p>
        </w:tc>
        <w:tc>
          <w:tcPr>
            <w:tcW w:w="709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0</w:t>
            </w:r>
          </w:p>
        </w:tc>
        <w:tc>
          <w:tcPr>
            <w:tcW w:w="663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2" w:hRule="exact"/>
        </w:trPr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2</w:t>
            </w: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ind w:firstLine="90" w:firstLineChars="50"/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实际应用</w:t>
            </w:r>
          </w:p>
        </w:tc>
        <w:tc>
          <w:tcPr>
            <w:tcW w:w="2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理解IT日语文章中所涉及的专业基础知识，掌握相关的外来语词汇，认识模拟信息向数字化信息演变的过程及作用。</w:t>
            </w:r>
          </w:p>
        </w:tc>
        <w:tc>
          <w:tcPr>
            <w:tcW w:w="3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重点讲解每篇IT日语文章中难解词语的含义，分析词语搭配、各类惯用型、句型使用时的要求，段落之间的过渡与衔接以及各种逻辑关系。</w:t>
            </w:r>
          </w:p>
        </w:tc>
        <w:tc>
          <w:tcPr>
            <w:tcW w:w="709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0</w:t>
            </w:r>
          </w:p>
        </w:tc>
        <w:tc>
          <w:tcPr>
            <w:tcW w:w="663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5" w:hRule="exact"/>
        </w:trPr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3</w:t>
            </w:r>
          </w:p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Theme="majorEastAsia" w:hAnsiTheme="majorEastAsia" w:eastAsiaTheme="majorEastAsia"/>
                <w:sz w:val="18"/>
                <w:szCs w:val="18"/>
              </w:rPr>
            </w:pPr>
          </w:p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Theme="majorEastAsia" w:hAnsiTheme="majorEastAsia" w:eastAsiaTheme="majorEastAsia"/>
                <w:sz w:val="18"/>
                <w:szCs w:val="18"/>
              </w:rPr>
            </w:pP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ind w:firstLine="90" w:firstLineChars="50"/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提高拓展</w:t>
            </w:r>
          </w:p>
        </w:tc>
        <w:tc>
          <w:tcPr>
            <w:tcW w:w="2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理解IT日语文章中所涉及的专业基础知识，掌握相关的外来语词汇，认识模拟信息向数字化信息演变的过程及作用。</w:t>
            </w:r>
          </w:p>
        </w:tc>
        <w:tc>
          <w:tcPr>
            <w:tcW w:w="3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重点讲解每篇IT日语文章中难解词语的含义，分析词语搭配、各类惯用型、句型使用时的要求，段落之间的过渡与衔接以及各种逻辑关系。</w:t>
            </w:r>
          </w:p>
        </w:tc>
        <w:tc>
          <w:tcPr>
            <w:tcW w:w="709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0</w:t>
            </w:r>
          </w:p>
        </w:tc>
        <w:tc>
          <w:tcPr>
            <w:tcW w:w="663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2</w:t>
            </w:r>
          </w:p>
        </w:tc>
      </w:tr>
    </w:tbl>
    <w:p>
      <w:pPr>
        <w:snapToGrid w:val="0"/>
        <w:spacing w:line="288" w:lineRule="auto"/>
        <w:ind w:right="2520" w:firstLine="400" w:firstLineChars="200"/>
        <w:rPr>
          <w:sz w:val="20"/>
          <w:szCs w:val="20"/>
        </w:rPr>
      </w:pPr>
    </w:p>
    <w:p>
      <w:pPr>
        <w:snapToGrid w:val="0"/>
        <w:spacing w:line="288" w:lineRule="auto"/>
        <w:ind w:right="2520" w:firstLine="400" w:firstLineChars="200"/>
        <w:rPr>
          <w:sz w:val="20"/>
          <w:szCs w:val="20"/>
        </w:rPr>
      </w:pPr>
    </w:p>
    <w:p>
      <w:pPr>
        <w:snapToGrid w:val="0"/>
        <w:spacing w:line="288" w:lineRule="auto"/>
        <w:ind w:right="2520" w:firstLine="400" w:firstLineChars="200"/>
        <w:rPr>
          <w:sz w:val="20"/>
          <w:szCs w:val="20"/>
        </w:rPr>
      </w:pPr>
    </w:p>
    <w:p>
      <w:pPr>
        <w:spacing w:before="156" w:beforeLines="50" w:after="156" w:afterLines="50" w:line="288" w:lineRule="auto"/>
        <w:ind w:firstLine="236" w:firstLineChars="98"/>
        <w:rPr>
          <w:rFonts w:asciiTheme="majorEastAsia" w:hAnsiTheme="majorEastAsia" w:eastAsiaTheme="majorEastAsia"/>
          <w:b/>
          <w:sz w:val="24"/>
        </w:rPr>
      </w:pPr>
      <w:r>
        <w:rPr>
          <w:rFonts w:hint="eastAsia" w:asciiTheme="majorEastAsia" w:hAnsiTheme="majorEastAsia" w:eastAsiaTheme="majorEastAsia"/>
          <w:b/>
          <w:sz w:val="24"/>
        </w:rPr>
        <w:t>七、实践环节各阶段名称及基本要求</w:t>
      </w:r>
    </w:p>
    <w:p>
      <w:pPr>
        <w:snapToGrid w:val="0"/>
        <w:spacing w:line="288" w:lineRule="auto"/>
        <w:ind w:right="26" w:firstLine="400" w:firstLineChars="200"/>
        <w:rPr>
          <w:rFonts w:ascii="宋体" w:hAnsi="宋体"/>
          <w:sz w:val="20"/>
          <w:szCs w:val="20"/>
        </w:rPr>
      </w:pPr>
      <w:r>
        <w:rPr>
          <w:rFonts w:hint="eastAsia" w:ascii="宋体" w:hAnsi="宋体"/>
          <w:sz w:val="20"/>
          <w:szCs w:val="20"/>
        </w:rPr>
        <w:t>列出实践环节各阶段的名称、实践的天数或周数及每个阶段的内容简述。</w:t>
      </w:r>
    </w:p>
    <w:tbl>
      <w:tblPr>
        <w:tblStyle w:val="4"/>
        <w:tblW w:w="8647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2171"/>
        <w:gridCol w:w="3240"/>
        <w:gridCol w:w="1260"/>
        <w:gridCol w:w="11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序号</w:t>
            </w:r>
          </w:p>
        </w:tc>
        <w:tc>
          <w:tcPr>
            <w:tcW w:w="2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ind w:firstLine="300" w:firstLineChars="150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各阶段名称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ind w:firstLine="900" w:firstLineChars="450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实践主要内容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天数/周数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exac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rPr>
                <w:rFonts w:ascii="宋体"/>
                <w:sz w:val="16"/>
                <w:szCs w:val="16"/>
              </w:rPr>
            </w:pPr>
            <w:r>
              <w:rPr>
                <w:rFonts w:hint="eastAsia" w:ascii="宋体"/>
                <w:sz w:val="16"/>
                <w:szCs w:val="16"/>
              </w:rPr>
              <w:t>1</w:t>
            </w:r>
          </w:p>
        </w:tc>
        <w:tc>
          <w:tcPr>
            <w:tcW w:w="2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根据命题回答问题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分析、练习、讨论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2课时</w:t>
            </w:r>
          </w:p>
        </w:tc>
        <w:tc>
          <w:tcPr>
            <w:tcW w:w="112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rPr>
                <w:rFonts w:ascii="宋体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rPr>
                <w:rFonts w:ascii="宋体"/>
                <w:sz w:val="16"/>
                <w:szCs w:val="16"/>
              </w:rPr>
            </w:pPr>
            <w:r>
              <w:rPr>
                <w:rFonts w:hint="eastAsia" w:ascii="宋体"/>
                <w:sz w:val="16"/>
                <w:szCs w:val="16"/>
              </w:rPr>
              <w:t>2</w:t>
            </w:r>
          </w:p>
        </w:tc>
        <w:tc>
          <w:tcPr>
            <w:tcW w:w="2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根据命题回答问题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分析、练习、讨论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2课时</w:t>
            </w:r>
          </w:p>
        </w:tc>
        <w:tc>
          <w:tcPr>
            <w:tcW w:w="112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rPr>
                <w:rFonts w:ascii="宋体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2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112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rPr>
                <w:rFonts w:ascii="宋体"/>
                <w:sz w:val="16"/>
                <w:szCs w:val="16"/>
              </w:rPr>
            </w:pPr>
          </w:p>
        </w:tc>
      </w:tr>
    </w:tbl>
    <w:p>
      <w:pPr>
        <w:snapToGrid w:val="0"/>
        <w:spacing w:line="240" w:lineRule="exact"/>
        <w:ind w:right="2517"/>
        <w:rPr>
          <w:rFonts w:ascii="黑体" w:hAnsi="宋体" w:eastAsia="黑体"/>
          <w:sz w:val="24"/>
        </w:rPr>
      </w:pPr>
    </w:p>
    <w:p>
      <w:pPr>
        <w:spacing w:before="156" w:beforeLines="50" w:after="156" w:afterLines="50" w:line="288" w:lineRule="auto"/>
        <w:ind w:firstLine="236" w:firstLineChars="98"/>
        <w:rPr>
          <w:rFonts w:asciiTheme="majorEastAsia" w:hAnsiTheme="majorEastAsia" w:eastAsiaTheme="majorEastAsia"/>
          <w:b/>
          <w:sz w:val="24"/>
        </w:rPr>
      </w:pPr>
    </w:p>
    <w:p>
      <w:pPr>
        <w:spacing w:before="156" w:beforeLines="50" w:after="156" w:afterLines="50" w:line="288" w:lineRule="auto"/>
        <w:ind w:firstLine="236" w:firstLineChars="98"/>
        <w:rPr>
          <w:rFonts w:asciiTheme="majorEastAsia" w:hAnsiTheme="majorEastAsia" w:eastAsiaTheme="majorEastAsia"/>
          <w:b/>
          <w:sz w:val="24"/>
        </w:rPr>
      </w:pPr>
      <w:r>
        <w:rPr>
          <w:rFonts w:hint="eastAsia" w:asciiTheme="majorEastAsia" w:hAnsiTheme="majorEastAsia" w:eastAsiaTheme="majorEastAsia"/>
          <w:b/>
          <w:sz w:val="24"/>
        </w:rPr>
        <w:t>八、评价方式与成绩</w:t>
      </w:r>
    </w:p>
    <w:tbl>
      <w:tblPr>
        <w:tblStyle w:val="4"/>
        <w:tblpPr w:leftFromText="180" w:rightFromText="180" w:vertAnchor="text" w:horzAnchor="page" w:tblpX="1853" w:tblpY="717"/>
        <w:tblOverlap w:val="never"/>
        <w:tblW w:w="87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5103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="156" w:beforeLines="50" w:after="156" w:afterLines="50" w:line="380" w:lineRule="exact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总评构成（1+</w:t>
            </w:r>
            <w:r>
              <w:rPr>
                <w:rFonts w:ascii="宋体" w:hAnsi="宋体"/>
                <w:bCs/>
                <w:color w:val="000000"/>
                <w:szCs w:val="20"/>
              </w:rPr>
              <w:t>X</w:t>
            </w:r>
            <w:r>
              <w:rPr>
                <w:rFonts w:hint="eastAsia" w:ascii="宋体" w:hAnsi="宋体"/>
                <w:bCs/>
                <w:color w:val="000000"/>
                <w:szCs w:val="20"/>
              </w:rPr>
              <w:t>）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="156" w:beforeLines="50" w:after="156" w:afterLines="50" w:line="380" w:lineRule="exact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评价方式</w:t>
            </w:r>
          </w:p>
        </w:tc>
        <w:tc>
          <w:tcPr>
            <w:tcW w:w="1843" w:type="dxa"/>
            <w:shd w:val="clear" w:color="auto" w:fill="auto"/>
          </w:tcPr>
          <w:p>
            <w:pPr>
              <w:snapToGrid w:val="0"/>
              <w:spacing w:before="156" w:beforeLines="50" w:after="156" w:afterLines="50" w:line="380" w:lineRule="exact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占比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1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ind w:firstLine="210" w:firstLineChars="100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 w:eastAsiaTheme="minorEastAsia"/>
                <w:bCs/>
                <w:color w:val="000000"/>
                <w:szCs w:val="20"/>
              </w:rPr>
              <w:t>要求</w:t>
            </w:r>
            <w:r>
              <w:rPr>
                <w:rFonts w:hint="eastAsia" w:ascii="MS Mincho" w:hAnsi="MS Mincho" w:eastAsiaTheme="minorEastAsia"/>
                <w:bCs/>
                <w:color w:val="000000"/>
                <w:szCs w:val="20"/>
              </w:rPr>
              <w:t>阅读翻译IT科普文章、</w:t>
            </w:r>
            <w:r>
              <w:rPr>
                <w:rFonts w:hint="eastAsia" w:ascii="宋体" w:hAnsi="宋体"/>
                <w:bCs/>
                <w:color w:val="000000"/>
                <w:szCs w:val="20"/>
              </w:rPr>
              <w:t>回答提问</w:t>
            </w:r>
          </w:p>
        </w:tc>
        <w:tc>
          <w:tcPr>
            <w:tcW w:w="1843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60%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X1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ind w:firstLine="210" w:firstLineChars="100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要求朗读指定的日语</w:t>
            </w:r>
            <w:r>
              <w:rPr>
                <w:rFonts w:hint="eastAsia" w:ascii="宋体" w:hAnsi="宋体" w:eastAsiaTheme="minorEastAsia"/>
                <w:bCs/>
                <w:color w:val="000000"/>
                <w:szCs w:val="20"/>
              </w:rPr>
              <w:t>IT文章、</w:t>
            </w:r>
            <w:r>
              <w:rPr>
                <w:rFonts w:hint="eastAsia" w:ascii="宋体" w:hAnsi="宋体"/>
                <w:bCs/>
                <w:color w:val="000000"/>
                <w:szCs w:val="20"/>
              </w:rPr>
              <w:t>回答提问</w:t>
            </w:r>
          </w:p>
        </w:tc>
        <w:tc>
          <w:tcPr>
            <w:tcW w:w="1843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15%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X2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ind w:firstLine="210" w:firstLineChars="100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要求朗读指定的日语</w:t>
            </w:r>
            <w:r>
              <w:rPr>
                <w:rFonts w:hint="eastAsia" w:ascii="宋体" w:hAnsi="宋体" w:eastAsiaTheme="minorEastAsia"/>
                <w:bCs/>
                <w:color w:val="000000"/>
                <w:szCs w:val="20"/>
              </w:rPr>
              <w:t>IT文章、</w:t>
            </w:r>
            <w:r>
              <w:rPr>
                <w:rFonts w:hint="eastAsia" w:ascii="宋体" w:hAnsi="宋体"/>
                <w:bCs/>
                <w:color w:val="000000"/>
                <w:szCs w:val="20"/>
              </w:rPr>
              <w:t>回答提问</w:t>
            </w:r>
          </w:p>
        </w:tc>
        <w:tc>
          <w:tcPr>
            <w:tcW w:w="1843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10%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X3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ind w:firstLine="210" w:firstLineChars="100"/>
              <w:rPr>
                <w:rFonts w:ascii="宋体" w:hAnsi="宋体" w:eastAsia="MS Mincho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要求朗读指定的日语</w:t>
            </w:r>
            <w:r>
              <w:rPr>
                <w:rFonts w:hint="eastAsia" w:ascii="宋体" w:hAnsi="宋体" w:eastAsiaTheme="minorEastAsia"/>
                <w:bCs/>
                <w:color w:val="000000"/>
                <w:szCs w:val="20"/>
              </w:rPr>
              <w:t>IT文章、</w:t>
            </w:r>
            <w:r>
              <w:rPr>
                <w:rFonts w:hint="eastAsia" w:ascii="宋体" w:hAnsi="宋体"/>
                <w:bCs/>
                <w:color w:val="000000"/>
                <w:szCs w:val="20"/>
              </w:rPr>
              <w:t>回答提问</w:t>
            </w:r>
          </w:p>
          <w:p>
            <w:pPr>
              <w:snapToGrid w:val="0"/>
              <w:spacing w:before="156" w:beforeLines="50" w:after="156" w:afterLines="50"/>
              <w:ind w:firstLine="1050" w:firstLineChars="500"/>
              <w:rPr>
                <w:rFonts w:ascii="宋体" w:hAnsi="宋体"/>
                <w:bCs/>
                <w:color w:val="00000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15%</w:t>
            </w:r>
          </w:p>
        </w:tc>
      </w:tr>
    </w:tbl>
    <w:p>
      <w:pPr>
        <w:snapToGrid w:val="0"/>
        <w:spacing w:line="288" w:lineRule="auto"/>
        <w:rPr>
          <w:sz w:val="28"/>
          <w:szCs w:val="28"/>
        </w:rPr>
      </w:pPr>
    </w:p>
    <w:p>
      <w:pPr>
        <w:snapToGrid w:val="0"/>
        <w:spacing w:line="288" w:lineRule="auto"/>
        <w:rPr>
          <w:sz w:val="28"/>
          <w:szCs w:val="28"/>
        </w:rPr>
      </w:pPr>
    </w:p>
    <w:p>
      <w:pPr>
        <w:snapToGrid w:val="0"/>
        <w:spacing w:line="288" w:lineRule="auto"/>
      </w:pPr>
      <w:r>
        <w:rPr>
          <w:rFonts w:hint="eastAsia"/>
          <w:sz w:val="28"/>
          <w:szCs w:val="28"/>
        </w:rPr>
        <w:t>撰写人：</w:t>
      </w:r>
      <w:r>
        <w:rPr>
          <w:rFonts w:hint="eastAsia"/>
          <w:sz w:val="28"/>
          <w:szCs w:val="28"/>
        </w:rPr>
        <w:drawing>
          <wp:inline distT="0" distB="0" distL="114300" distR="114300">
            <wp:extent cx="663575" cy="352425"/>
            <wp:effectExtent l="0" t="0" r="9525" b="3175"/>
            <wp:docPr id="2" name="图片 2" descr="章培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章培新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63575" cy="352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sz w:val="28"/>
          <w:szCs w:val="28"/>
        </w:rPr>
        <w:t>系主任审核签名：</w:t>
      </w:r>
      <w:r>
        <w:rPr>
          <w:rFonts w:hint="eastAsia"/>
          <w:sz w:val="28"/>
          <w:szCs w:val="28"/>
        </w:rPr>
        <w:drawing>
          <wp:inline distT="0" distB="0" distL="114300" distR="114300">
            <wp:extent cx="762000" cy="276225"/>
            <wp:effectExtent l="0" t="0" r="0" b="3175"/>
            <wp:docPr id="1" name="图片 1" descr="刘尔瑟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刘尔瑟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276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sz w:val="28"/>
          <w:szCs w:val="28"/>
        </w:rPr>
        <w:t xml:space="preserve"> 审核时间：</w:t>
      </w:r>
      <w:r>
        <w:rPr>
          <w:rFonts w:hint="eastAsia"/>
          <w:sz w:val="28"/>
          <w:szCs w:val="28"/>
          <w:lang w:val="en-US" w:eastAsia="zh-CN"/>
        </w:rPr>
        <w:t>2022.9.18</w:t>
      </w:r>
      <w:r>
        <w:rPr>
          <w:rFonts w:hint="eastAsia"/>
          <w:sz w:val="28"/>
          <w:szCs w:val="28"/>
        </w:rPr>
        <w:t xml:space="preserve">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S UI Gothic">
    <w:panose1 w:val="020B0600070205080204"/>
    <w:charset w:val="80"/>
    <w:family w:val="swiss"/>
    <w:pitch w:val="default"/>
    <w:sig w:usb0="E00002FF" w:usb1="6AC7FDFB" w:usb2="08000012" w:usb3="00000000" w:csb0="4002009F" w:csb1="DFD70000"/>
  </w:font>
  <w:font w:name="MS Mincho">
    <w:panose1 w:val="02020609040205080304"/>
    <w:charset w:val="80"/>
    <w:family w:val="modern"/>
    <w:pitch w:val="default"/>
    <w:sig w:usb0="E00002FF" w:usb1="6AC7FDFB" w:usb2="08000012" w:usb3="00000000" w:csb0="4002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7651F"/>
    <w:rsid w:val="00003180"/>
    <w:rsid w:val="0001345A"/>
    <w:rsid w:val="000228AF"/>
    <w:rsid w:val="00041E5C"/>
    <w:rsid w:val="000B3AE5"/>
    <w:rsid w:val="00101BD5"/>
    <w:rsid w:val="001072BC"/>
    <w:rsid w:val="001378B2"/>
    <w:rsid w:val="00162169"/>
    <w:rsid w:val="001659D7"/>
    <w:rsid w:val="00170E34"/>
    <w:rsid w:val="00172ADA"/>
    <w:rsid w:val="001868E8"/>
    <w:rsid w:val="001A3CB7"/>
    <w:rsid w:val="001B1679"/>
    <w:rsid w:val="001D4809"/>
    <w:rsid w:val="001F7CF8"/>
    <w:rsid w:val="00220B95"/>
    <w:rsid w:val="00256B39"/>
    <w:rsid w:val="0026033C"/>
    <w:rsid w:val="002945C2"/>
    <w:rsid w:val="002A0C53"/>
    <w:rsid w:val="002B3831"/>
    <w:rsid w:val="002D513F"/>
    <w:rsid w:val="002E3721"/>
    <w:rsid w:val="002F6077"/>
    <w:rsid w:val="00313BBA"/>
    <w:rsid w:val="0032602E"/>
    <w:rsid w:val="003367AE"/>
    <w:rsid w:val="00377966"/>
    <w:rsid w:val="00395C6B"/>
    <w:rsid w:val="0039789C"/>
    <w:rsid w:val="003B1258"/>
    <w:rsid w:val="003B6059"/>
    <w:rsid w:val="003E7067"/>
    <w:rsid w:val="00405117"/>
    <w:rsid w:val="004100B0"/>
    <w:rsid w:val="00412CBC"/>
    <w:rsid w:val="004359A1"/>
    <w:rsid w:val="00456EA4"/>
    <w:rsid w:val="0046573B"/>
    <w:rsid w:val="004A136F"/>
    <w:rsid w:val="004A528A"/>
    <w:rsid w:val="004B0766"/>
    <w:rsid w:val="00501801"/>
    <w:rsid w:val="00503B93"/>
    <w:rsid w:val="00521ECB"/>
    <w:rsid w:val="005439FB"/>
    <w:rsid w:val="005467DC"/>
    <w:rsid w:val="00553D03"/>
    <w:rsid w:val="005941E3"/>
    <w:rsid w:val="005A470F"/>
    <w:rsid w:val="005B2B6D"/>
    <w:rsid w:val="005B4B4E"/>
    <w:rsid w:val="005E6002"/>
    <w:rsid w:val="005E7BDB"/>
    <w:rsid w:val="005F7DE2"/>
    <w:rsid w:val="00604AF2"/>
    <w:rsid w:val="00607F1A"/>
    <w:rsid w:val="0062438B"/>
    <w:rsid w:val="00624FE1"/>
    <w:rsid w:val="00642C4D"/>
    <w:rsid w:val="0067134F"/>
    <w:rsid w:val="006C25FF"/>
    <w:rsid w:val="006C480B"/>
    <w:rsid w:val="006E4820"/>
    <w:rsid w:val="006E5BA9"/>
    <w:rsid w:val="007208D6"/>
    <w:rsid w:val="00743364"/>
    <w:rsid w:val="0076180F"/>
    <w:rsid w:val="00770C8E"/>
    <w:rsid w:val="007E4DDF"/>
    <w:rsid w:val="007F4495"/>
    <w:rsid w:val="00837C7C"/>
    <w:rsid w:val="00853E2C"/>
    <w:rsid w:val="00875AC9"/>
    <w:rsid w:val="008B397C"/>
    <w:rsid w:val="008B47F4"/>
    <w:rsid w:val="008C2DC0"/>
    <w:rsid w:val="00900019"/>
    <w:rsid w:val="0092445E"/>
    <w:rsid w:val="0094092E"/>
    <w:rsid w:val="00955292"/>
    <w:rsid w:val="0095634C"/>
    <w:rsid w:val="0099063E"/>
    <w:rsid w:val="009B4F1D"/>
    <w:rsid w:val="009D6FDC"/>
    <w:rsid w:val="009E4CB1"/>
    <w:rsid w:val="009F1163"/>
    <w:rsid w:val="00A21E05"/>
    <w:rsid w:val="00A23E7F"/>
    <w:rsid w:val="00A41C62"/>
    <w:rsid w:val="00A5198F"/>
    <w:rsid w:val="00A549E8"/>
    <w:rsid w:val="00A769B1"/>
    <w:rsid w:val="00A837D5"/>
    <w:rsid w:val="00A924B3"/>
    <w:rsid w:val="00A926B9"/>
    <w:rsid w:val="00AC4A2A"/>
    <w:rsid w:val="00AC4C45"/>
    <w:rsid w:val="00AE3293"/>
    <w:rsid w:val="00B1573A"/>
    <w:rsid w:val="00B310BC"/>
    <w:rsid w:val="00B46F21"/>
    <w:rsid w:val="00B511A5"/>
    <w:rsid w:val="00B736A7"/>
    <w:rsid w:val="00B7651F"/>
    <w:rsid w:val="00B83AF6"/>
    <w:rsid w:val="00BB67EE"/>
    <w:rsid w:val="00BB6ECC"/>
    <w:rsid w:val="00BC79E1"/>
    <w:rsid w:val="00BF7B83"/>
    <w:rsid w:val="00C029C0"/>
    <w:rsid w:val="00C04DE4"/>
    <w:rsid w:val="00C07277"/>
    <w:rsid w:val="00C44E47"/>
    <w:rsid w:val="00C56E09"/>
    <w:rsid w:val="00C728E2"/>
    <w:rsid w:val="00CA51B0"/>
    <w:rsid w:val="00CB7284"/>
    <w:rsid w:val="00CE0E4B"/>
    <w:rsid w:val="00CF096B"/>
    <w:rsid w:val="00D25791"/>
    <w:rsid w:val="00D94FF3"/>
    <w:rsid w:val="00DB224C"/>
    <w:rsid w:val="00DF7003"/>
    <w:rsid w:val="00DF79E8"/>
    <w:rsid w:val="00E16D30"/>
    <w:rsid w:val="00E33169"/>
    <w:rsid w:val="00E44049"/>
    <w:rsid w:val="00E572A5"/>
    <w:rsid w:val="00E619B0"/>
    <w:rsid w:val="00E64D24"/>
    <w:rsid w:val="00E70904"/>
    <w:rsid w:val="00E73A71"/>
    <w:rsid w:val="00E812B6"/>
    <w:rsid w:val="00ED7234"/>
    <w:rsid w:val="00EF44B1"/>
    <w:rsid w:val="00F04AA2"/>
    <w:rsid w:val="00F07995"/>
    <w:rsid w:val="00F14C4C"/>
    <w:rsid w:val="00F35AA0"/>
    <w:rsid w:val="00F54654"/>
    <w:rsid w:val="00F746A9"/>
    <w:rsid w:val="00F87D6B"/>
    <w:rsid w:val="016E63C2"/>
    <w:rsid w:val="024B0C39"/>
    <w:rsid w:val="0A8128A6"/>
    <w:rsid w:val="0BF32A1B"/>
    <w:rsid w:val="10BD2C22"/>
    <w:rsid w:val="18A006AA"/>
    <w:rsid w:val="22987C80"/>
    <w:rsid w:val="22CD0A7B"/>
    <w:rsid w:val="24192CCC"/>
    <w:rsid w:val="39A66CD4"/>
    <w:rsid w:val="3CD52CE1"/>
    <w:rsid w:val="410F2E6A"/>
    <w:rsid w:val="4430136C"/>
    <w:rsid w:val="4AB0382B"/>
    <w:rsid w:val="569868B5"/>
    <w:rsid w:val="611F6817"/>
    <w:rsid w:val="66CA1754"/>
    <w:rsid w:val="6F1E65D4"/>
    <w:rsid w:val="6F266C86"/>
    <w:rsid w:val="6F5042C2"/>
    <w:rsid w:val="74316312"/>
    <w:rsid w:val="780F13C8"/>
    <w:rsid w:val="7C385448"/>
    <w:rsid w:val="7CB3663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810F3C7-1E8A-409D-85AE-64F5A2688DD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417</Words>
  <Characters>2380</Characters>
  <Lines>19</Lines>
  <Paragraphs>5</Paragraphs>
  <TotalTime>538</TotalTime>
  <ScaleCrop>false</ScaleCrop>
  <LinksUpToDate>false</LinksUpToDate>
  <CharactersWithSpaces>2792</CharactersWithSpaces>
  <Application>WPS Office_11.1.0.9914_F1E327BC-269C-435d-A152-05C5408002CA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2016-12-19T07:34:00Z</dcterms:created>
  <dc:creator>juvg</dc:creator>
  <cp:lastModifiedBy>刘尔瑟</cp:lastModifiedBy>
  <dcterms:modified xsi:type="dcterms:W3CDTF">2022-09-18T14:02:12Z</dcterms:modified>
  <cp:revision>67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2052-11.1.0.9914</vt:lpwstr>
  </property>
</Properties>
</file>