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9E1AAFE">
      <w:pPr>
        <w:snapToGrid w:val="0"/>
        <w:jc w:val="center"/>
        <w:rPr>
          <w:sz w:val="6"/>
          <w:szCs w:val="6"/>
        </w:rPr>
      </w:pPr>
    </w:p>
    <w:p w14:paraId="7169A19F">
      <w:pPr>
        <w:snapToGrid w:val="0"/>
        <w:jc w:val="center"/>
        <w:rPr>
          <w:sz w:val="6"/>
          <w:szCs w:val="6"/>
        </w:rPr>
      </w:pPr>
    </w:p>
    <w:p w14:paraId="7C6A384F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11FF301B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2C3E0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5E52399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293695E">
            <w:pPr>
              <w:tabs>
                <w:tab w:val="left" w:pos="532"/>
              </w:tabs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日本礼仪文化</w:t>
            </w:r>
          </w:p>
        </w:tc>
      </w:tr>
      <w:tr w14:paraId="477D2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3425064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02130AB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MS Gothic" w:hAnsi="MS Gothic" w:eastAsia="MS Gothic"/>
                <w:color w:val="000000"/>
                <w:szCs w:val="21"/>
              </w:rPr>
              <w:t>214001</w:t>
            </w:r>
            <w:r>
              <w:rPr>
                <w:rFonts w:hint="eastAsia" w:ascii="MS Gothic" w:hAnsi="MS Gothic" w:eastAsia="宋体"/>
                <w:color w:val="000000"/>
                <w:szCs w:val="21"/>
                <w:lang w:eastAsia="zh-CN"/>
              </w:rPr>
              <w:t>7</w:t>
            </w:r>
          </w:p>
        </w:tc>
        <w:tc>
          <w:tcPr>
            <w:tcW w:w="1314" w:type="dxa"/>
            <w:vAlign w:val="center"/>
          </w:tcPr>
          <w:p w14:paraId="2F8F922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1E7DE48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272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753" w:type="dxa"/>
            <w:vAlign w:val="center"/>
          </w:tcPr>
          <w:p w14:paraId="27474C6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54A892B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</w:p>
        </w:tc>
      </w:tr>
      <w:tr w14:paraId="1AA30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717EC25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5BCB1C8F">
            <w:pPr>
              <w:tabs>
                <w:tab w:val="left" w:pos="329"/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ab/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陈文博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ab/>
            </w:r>
          </w:p>
        </w:tc>
        <w:tc>
          <w:tcPr>
            <w:tcW w:w="1314" w:type="dxa"/>
            <w:vAlign w:val="center"/>
          </w:tcPr>
          <w:p w14:paraId="1A1380FA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7947C74A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25053</w:t>
            </w:r>
          </w:p>
        </w:tc>
        <w:tc>
          <w:tcPr>
            <w:tcW w:w="1753" w:type="dxa"/>
            <w:vAlign w:val="center"/>
          </w:tcPr>
          <w:p w14:paraId="51B5653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36F9724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兼职</w:t>
            </w:r>
          </w:p>
        </w:tc>
      </w:tr>
      <w:tr w14:paraId="148EB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C46E86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5EABBCF6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日语（国教）B24-1</w:t>
            </w:r>
          </w:p>
        </w:tc>
        <w:tc>
          <w:tcPr>
            <w:tcW w:w="1314" w:type="dxa"/>
            <w:vAlign w:val="center"/>
          </w:tcPr>
          <w:p w14:paraId="7D7D0587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4049F5EB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</w:rPr>
              <w:t>32</w:t>
            </w:r>
          </w:p>
        </w:tc>
        <w:tc>
          <w:tcPr>
            <w:tcW w:w="1753" w:type="dxa"/>
            <w:vAlign w:val="center"/>
          </w:tcPr>
          <w:p w14:paraId="706C052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B0F49CA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临港校区 12号楼106</w:t>
            </w:r>
          </w:p>
        </w:tc>
      </w:tr>
      <w:tr w14:paraId="4E6C6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327437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E41692B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eastAsia="zh-CN"/>
              </w:rPr>
              <w:t>周四下午13:00-14:30 国教306</w:t>
            </w:r>
          </w:p>
        </w:tc>
      </w:tr>
      <w:tr w14:paraId="1E793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F65A496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6967DA78">
            <w:pPr>
              <w:snapToGrid w:val="0"/>
              <w:spacing w:line="288" w:lineRule="auto"/>
              <w:rPr>
                <w:color w:val="000000"/>
                <w:szCs w:val="21"/>
              </w:rPr>
            </w:pPr>
          </w:p>
          <w:p w14:paraId="50350E7A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0C1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AA037C0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5F878BD4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Cs w:val="21"/>
              </w:rPr>
              <w:t>《日本礼仪文化》第一版，张继彤编著，清华大学出版社，</w:t>
            </w:r>
            <w:r>
              <w:rPr>
                <w:color w:val="000000"/>
                <w:szCs w:val="21"/>
              </w:rPr>
              <w:t>2020</w:t>
            </w:r>
            <w:r>
              <w:rPr>
                <w:rFonts w:hint="eastAsia"/>
                <w:color w:val="000000"/>
                <w:szCs w:val="21"/>
              </w:rPr>
              <w:t>年</w:t>
            </w:r>
            <w:r>
              <w:rPr>
                <w:color w:val="000000"/>
                <w:szCs w:val="21"/>
              </w:rPr>
              <w:t>1</w:t>
            </w:r>
            <w:r>
              <w:rPr>
                <w:rFonts w:hint="eastAsia"/>
                <w:color w:val="000000"/>
                <w:szCs w:val="21"/>
              </w:rPr>
              <w:t>月</w:t>
            </w:r>
          </w:p>
        </w:tc>
      </w:tr>
      <w:tr w14:paraId="59D68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1E7EBF8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954809B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寺西千代子.国际礼仪手册.【M】.长春：吉林文史出版社.1998</w:t>
            </w:r>
          </w:p>
        </w:tc>
      </w:tr>
    </w:tbl>
    <w:p w14:paraId="165D7A3B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1B26F291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6"/>
        <w:gridCol w:w="737"/>
        <w:gridCol w:w="2467"/>
        <w:gridCol w:w="3270"/>
        <w:gridCol w:w="1796"/>
      </w:tblGrid>
      <w:tr w14:paraId="4995D7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9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3462F1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34C48F38">
            <w:pPr>
              <w:widowControl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24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B71EBF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32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23898F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7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611CAD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75D3C3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7E6A4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0C0B68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4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C275FD8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eastAsia="MS Mincho"/>
                <w:color w:val="000000"/>
                <w:kern w:val="0"/>
                <w:lang w:eastAsia="ja-JP"/>
              </w:rPr>
              <w:t>第一章　印象を決める身だしなみ</w:t>
            </w:r>
          </w:p>
        </w:tc>
        <w:tc>
          <w:tcPr>
            <w:tcW w:w="32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948C2D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eastAsiaTheme="minorEastAsia"/>
                <w:bCs/>
                <w:szCs w:val="21"/>
                <w:lang w:eastAsia="ja-JP"/>
              </w:rPr>
              <w:t>教科書内容、pptで補足内容の理解、問題形式での確認</w:t>
            </w:r>
          </w:p>
        </w:tc>
        <w:tc>
          <w:tcPr>
            <w:tcW w:w="17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D288B8">
            <w:pPr>
              <w:widowControl/>
              <w:jc w:val="center"/>
              <w:rPr>
                <w:rFonts w:eastAsia="MS Mincho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eastAsia="MS Mincho"/>
                <w:color w:val="000000" w:themeColor="text1"/>
                <w:kern w:val="0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  <w:t>内容を理解し、単語及び文法を習得する</w:t>
            </w:r>
          </w:p>
        </w:tc>
      </w:tr>
      <w:tr w14:paraId="207671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068C9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E4CD82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4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50DDCDD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ascii="MS Mincho" w:hAnsi="MS Mincho" w:eastAsia="MS Mincho"/>
                <w:bCs/>
                <w:lang w:eastAsia="ja-JP"/>
              </w:rPr>
              <w:t>第二章　就職活動を成功させるコツ</w:t>
            </w:r>
          </w:p>
        </w:tc>
        <w:tc>
          <w:tcPr>
            <w:tcW w:w="32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FDECBB2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/>
                <w:bCs/>
                <w:szCs w:val="21"/>
                <w:lang w:eastAsia="ja-JP"/>
              </w:rPr>
              <w:t>教科書内容、pptで補足内容の理解、問題形式での確認</w:t>
            </w:r>
          </w:p>
        </w:tc>
        <w:tc>
          <w:tcPr>
            <w:tcW w:w="17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395B7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eastAsia="MS Mincho"/>
                <w:color w:val="000000" w:themeColor="text1"/>
                <w:kern w:val="0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  <w:t>内容を理解し、単語及び文法を習得する</w:t>
            </w:r>
          </w:p>
        </w:tc>
      </w:tr>
      <w:tr w14:paraId="05D2EA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F28E1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46432A8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4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C37335">
            <w:pPr>
              <w:widowControl/>
              <w:rPr>
                <w:rFonts w:eastAsia="MS Mincho"/>
                <w:color w:val="000000"/>
                <w:kern w:val="0"/>
                <w:lang w:eastAsia="ja-JP"/>
              </w:rPr>
            </w:pPr>
            <w:r>
              <w:rPr>
                <w:rFonts w:hint="eastAsia" w:ascii="MS Mincho" w:hAnsi="MS Mincho" w:eastAsia="MS Mincho"/>
                <w:bCs/>
                <w:lang w:eastAsia="ja-JP"/>
              </w:rPr>
              <w:t>第三章　潤滑油としてのあいさつ</w:t>
            </w:r>
          </w:p>
        </w:tc>
        <w:tc>
          <w:tcPr>
            <w:tcW w:w="32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277CE3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/>
                <w:bCs/>
                <w:szCs w:val="21"/>
                <w:lang w:eastAsia="ja-JP"/>
              </w:rPr>
              <w:t>教科書内容、pptで補足内容の理解、問題形式での確認</w:t>
            </w:r>
          </w:p>
        </w:tc>
        <w:tc>
          <w:tcPr>
            <w:tcW w:w="17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EEF8F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eastAsia="MS Mincho"/>
                <w:color w:val="000000" w:themeColor="text1"/>
                <w:kern w:val="0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  <w:t>内容を理解し、単語及び文法を習得する</w:t>
            </w:r>
          </w:p>
        </w:tc>
      </w:tr>
      <w:tr w14:paraId="2A4B8C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840C8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6FE290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4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D82EE7">
            <w:pPr>
              <w:widowControl/>
              <w:rPr>
                <w:rFonts w:hint="eastAsia" w:ascii="MS Mincho" w:hAnsi="MS Mincho" w:eastAsia="MS Mincho"/>
                <w:bCs/>
                <w:lang w:eastAsia="ja-JP"/>
              </w:rPr>
            </w:pPr>
            <w:r>
              <w:rPr>
                <w:rFonts w:ascii="MS Mincho" w:hAnsi="MS Mincho" w:eastAsia="MS Mincho"/>
                <w:bCs/>
                <w:lang w:eastAsia="ja-JP"/>
              </w:rPr>
              <w:t>第四章　職場での言葉遣い</w:t>
            </w:r>
          </w:p>
          <w:p w14:paraId="3D8C383F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</w:p>
        </w:tc>
        <w:tc>
          <w:tcPr>
            <w:tcW w:w="32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756AB0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color w:val="000000"/>
                <w:kern w:val="0"/>
                <w:szCs w:val="21"/>
              </w:rPr>
              <w:t>既習内容の確認</w:t>
            </w:r>
          </w:p>
        </w:tc>
        <w:tc>
          <w:tcPr>
            <w:tcW w:w="17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EC9CE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eastAsia="MS Mincho"/>
                <w:color w:val="000000" w:themeColor="text1"/>
                <w:kern w:val="0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  <w:t>内容を理解し、単語及び文法を習得する</w:t>
            </w:r>
          </w:p>
        </w:tc>
      </w:tr>
      <w:tr w14:paraId="0DC5AE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647FB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3D85608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4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0D435D1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ascii="MS Mincho" w:hAnsi="MS Mincho" w:eastAsia="MS Mincho"/>
                <w:bCs/>
                <w:lang w:eastAsia="ja-JP"/>
              </w:rPr>
              <w:t>第五章　職場でのよい人間関係やマナー</w:t>
            </w:r>
          </w:p>
        </w:tc>
        <w:tc>
          <w:tcPr>
            <w:tcW w:w="32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215D8E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/>
                <w:bCs/>
                <w:szCs w:val="21"/>
                <w:lang w:eastAsia="ja-JP"/>
              </w:rPr>
              <w:t>教科書内容、pptで補足内容の理解、問題形式での確認</w:t>
            </w:r>
          </w:p>
        </w:tc>
        <w:tc>
          <w:tcPr>
            <w:tcW w:w="17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0EE72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eastAsia="MS Mincho"/>
                <w:color w:val="000000" w:themeColor="text1"/>
                <w:kern w:val="0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  <w:t>内容を理解し、単語及び文法を習得する</w:t>
            </w:r>
          </w:p>
        </w:tc>
      </w:tr>
      <w:tr w14:paraId="0795B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D5E24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6F562EC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4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4E887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MS Mincho"/>
                <w:color w:val="000000"/>
                <w:kern w:val="0"/>
                <w:lang w:eastAsia="ja-JP"/>
              </w:rPr>
              <w:t>第六章　電話対応①</w:t>
            </w:r>
          </w:p>
        </w:tc>
        <w:tc>
          <w:tcPr>
            <w:tcW w:w="32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D5881B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/>
                <w:bCs/>
                <w:szCs w:val="21"/>
                <w:lang w:eastAsia="ja-JP"/>
              </w:rPr>
              <w:t>教科書内容、pptで補足内容の理解、問題形式での確認</w:t>
            </w:r>
          </w:p>
        </w:tc>
        <w:tc>
          <w:tcPr>
            <w:tcW w:w="17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D355F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eastAsia="MS Mincho"/>
                <w:color w:val="000000" w:themeColor="text1"/>
                <w:kern w:val="0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  <w:t>内容を理解し、単語及び文法を習得する</w:t>
            </w:r>
          </w:p>
        </w:tc>
      </w:tr>
      <w:tr w14:paraId="6E07C0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71FC1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2DE036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4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91DF2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MS Mincho"/>
                <w:color w:val="000000"/>
                <w:kern w:val="0"/>
                <w:lang w:eastAsia="ja-JP"/>
              </w:rPr>
              <w:t>第六章　電話対応②</w:t>
            </w:r>
          </w:p>
        </w:tc>
        <w:tc>
          <w:tcPr>
            <w:tcW w:w="32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2BC24D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/>
                <w:color w:val="000000"/>
                <w:kern w:val="0"/>
                <w:szCs w:val="21"/>
                <w:lang w:eastAsia="ja-JP"/>
              </w:rPr>
              <w:t>教科書内容、pptで補足内容の理解、問題形式での確認</w:t>
            </w:r>
          </w:p>
        </w:tc>
        <w:tc>
          <w:tcPr>
            <w:tcW w:w="17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C9CE9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eastAsia="MS Mincho"/>
                <w:color w:val="000000" w:themeColor="text1"/>
                <w:kern w:val="0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  <w:t>内容を理解し、単語及び文法を習得する</w:t>
            </w:r>
          </w:p>
        </w:tc>
      </w:tr>
      <w:tr w14:paraId="047DEB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704D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015577A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4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DC0D58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eastAsia="MS Mincho"/>
                <w:color w:val="000000"/>
                <w:kern w:val="0"/>
                <w:lang w:eastAsia="ja-JP"/>
              </w:rPr>
              <w:t>第七章　ビジネス文書の書き方①</w:t>
            </w:r>
          </w:p>
        </w:tc>
        <w:tc>
          <w:tcPr>
            <w:tcW w:w="32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F8D459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/>
                <w:color w:val="000000"/>
                <w:kern w:val="0"/>
                <w:szCs w:val="21"/>
                <w:lang w:eastAsia="ja-JP"/>
              </w:rPr>
              <w:t>教科書内容、pptで補足内容の理解、問題形式での確認</w:t>
            </w:r>
          </w:p>
        </w:tc>
        <w:tc>
          <w:tcPr>
            <w:tcW w:w="17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F6FE1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eastAsia="MS Mincho"/>
                <w:color w:val="000000" w:themeColor="text1"/>
                <w:kern w:val="0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  <w:t>内容を理解し、単語及び文法を習得する</w:t>
            </w:r>
          </w:p>
        </w:tc>
      </w:tr>
      <w:tr w14:paraId="7309E3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AE715D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583FE65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4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752EB7">
            <w:pPr>
              <w:widowControl/>
              <w:rPr>
                <w:rFonts w:eastAsia="MS Mincho"/>
                <w:color w:val="000000"/>
                <w:kern w:val="0"/>
                <w:lang w:eastAsia="ja-JP"/>
              </w:rPr>
            </w:pPr>
            <w:r>
              <w:rPr>
                <w:rFonts w:hint="eastAsia" w:eastAsia="MS Mincho"/>
                <w:color w:val="000000"/>
                <w:kern w:val="0"/>
                <w:lang w:eastAsia="ja-JP"/>
              </w:rPr>
              <w:t>第七章　ビジネス文書の書き方②</w:t>
            </w:r>
          </w:p>
        </w:tc>
        <w:tc>
          <w:tcPr>
            <w:tcW w:w="32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8DED68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宋体" w:hAnsi="宋体"/>
                <w:lang w:eastAsia="ja-JP"/>
              </w:rPr>
              <w:t>教科書内容、pptで補足内容の理解、問題形式での確認</w:t>
            </w:r>
          </w:p>
        </w:tc>
        <w:tc>
          <w:tcPr>
            <w:tcW w:w="17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D9A13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eastAsia="MS Mincho"/>
                <w:color w:val="000000" w:themeColor="text1"/>
                <w:kern w:val="0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  <w:t>内容を理解し、単語及び文法を習得する</w:t>
            </w:r>
          </w:p>
        </w:tc>
      </w:tr>
      <w:tr w14:paraId="0CA2DC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59C0C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57462B0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4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EE5C80">
            <w:pPr>
              <w:widowControl/>
              <w:rPr>
                <w:rFonts w:eastAsia="黑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eastAsiaTheme="minorEastAsia"/>
                <w:color w:val="000000"/>
                <w:kern w:val="0"/>
                <w:lang w:eastAsia="ja-JP"/>
              </w:rPr>
              <w:t>第八章　接遇のマナー</w:t>
            </w:r>
          </w:p>
        </w:tc>
        <w:tc>
          <w:tcPr>
            <w:tcW w:w="32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5F7EFC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宋体" w:hAnsi="宋体"/>
                <w:lang w:eastAsia="ja-JP"/>
              </w:rPr>
              <w:t>教科書内容、pptで補足内容の理解、問題形式での確認</w:t>
            </w:r>
          </w:p>
        </w:tc>
        <w:tc>
          <w:tcPr>
            <w:tcW w:w="17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972CE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eastAsia="MS Mincho"/>
                <w:color w:val="000000" w:themeColor="text1"/>
                <w:kern w:val="0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  <w:t>内容を理解し、単語及び文法を習得する</w:t>
            </w:r>
          </w:p>
        </w:tc>
      </w:tr>
      <w:tr w14:paraId="3B02CE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F7F61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69A8C11F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4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05AA44">
            <w:pPr>
              <w:widowControl/>
              <w:rPr>
                <w:rFonts w:eastAsia="黑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eastAsiaTheme="minorEastAsia"/>
                <w:color w:val="000000"/>
                <w:kern w:val="0"/>
                <w:lang w:eastAsia="ja-JP"/>
              </w:rPr>
              <w:t>第九章　訪問のマナー</w:t>
            </w:r>
          </w:p>
        </w:tc>
        <w:tc>
          <w:tcPr>
            <w:tcW w:w="32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61AAAD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宋体" w:hAnsi="宋体"/>
                <w:lang w:eastAsia="ja-JP"/>
              </w:rPr>
              <w:t>教科書内容、pptで補足内容の理解、問題形式での確認</w:t>
            </w:r>
          </w:p>
        </w:tc>
        <w:tc>
          <w:tcPr>
            <w:tcW w:w="17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DD7CA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eastAsia="MS Mincho"/>
                <w:color w:val="000000" w:themeColor="text1"/>
                <w:kern w:val="0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  <w:t>内容を理解し、単語及び文法を習得する</w:t>
            </w:r>
          </w:p>
        </w:tc>
      </w:tr>
      <w:tr w14:paraId="76BB43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B636A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6A5BF664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4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08440D">
            <w:pPr>
              <w:widowControl/>
              <w:rPr>
                <w:rFonts w:eastAsia="黑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eastAsia="MS Mincho"/>
                <w:color w:val="000000"/>
                <w:kern w:val="0"/>
                <w:lang w:eastAsia="ja-JP"/>
              </w:rPr>
              <w:t>第十章　話すことでよい人間関係を作る</w:t>
            </w:r>
          </w:p>
        </w:tc>
        <w:tc>
          <w:tcPr>
            <w:tcW w:w="32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278BE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既習内容の確認</w:t>
            </w:r>
          </w:p>
        </w:tc>
        <w:tc>
          <w:tcPr>
            <w:tcW w:w="17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DF27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eastAsia="MS Mincho"/>
                <w:color w:val="000000" w:themeColor="text1"/>
                <w:kern w:val="0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  <w:t>内容を理解し、単語及び文法を習得する</w:t>
            </w:r>
          </w:p>
        </w:tc>
      </w:tr>
      <w:tr w14:paraId="0BDB61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168D0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412D3D0E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4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8C110F">
            <w:pPr>
              <w:widowControl/>
              <w:rPr>
                <w:rFonts w:eastAsia="黑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宋体"/>
                <w:bCs/>
                <w:lang w:eastAsia="ja-JP"/>
              </w:rPr>
              <w:t>第十一章　付き合い方のコツ</w:t>
            </w:r>
          </w:p>
        </w:tc>
        <w:tc>
          <w:tcPr>
            <w:tcW w:w="32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775786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/>
                <w:lang w:eastAsia="ja-JP"/>
              </w:rPr>
              <w:t>教科書内容、pptで補足内容の理解、問題形式での確認</w:t>
            </w:r>
          </w:p>
        </w:tc>
        <w:tc>
          <w:tcPr>
            <w:tcW w:w="17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6578E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eastAsia="MS Mincho"/>
                <w:color w:val="000000" w:themeColor="text1"/>
                <w:kern w:val="0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  <w:t>内容を理解し、単語及び文法を習得する</w:t>
            </w:r>
          </w:p>
        </w:tc>
      </w:tr>
      <w:tr w14:paraId="02ED28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FE39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000A463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4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335384">
            <w:pPr>
              <w:widowControl/>
              <w:rPr>
                <w:rFonts w:hint="eastAsia" w:ascii="MS Mincho" w:hAnsi="MS Mincho" w:eastAsia="MS Mincho"/>
                <w:bCs/>
                <w:lang w:eastAsia="ja-JP"/>
              </w:rPr>
            </w:pPr>
            <w:r>
              <w:rPr>
                <w:rFonts w:hint="eastAsia" w:ascii="MS Mincho" w:hAnsi="MS Mincho" w:eastAsia="MS Mincho"/>
                <w:bCs/>
                <w:lang w:eastAsia="ja-JP"/>
              </w:rPr>
              <w:t>第十二章　食事のマナー、</w:t>
            </w:r>
          </w:p>
          <w:p w14:paraId="3D17ABA6">
            <w:pPr>
              <w:widowControl/>
              <w:rPr>
                <w:rFonts w:hint="eastAsia" w:ascii="MS Mincho" w:hAnsi="MS Mincho" w:eastAsia="MS Mincho"/>
                <w:bCs/>
                <w:lang w:eastAsia="ja-JP"/>
              </w:rPr>
            </w:pPr>
            <w:r>
              <w:rPr>
                <w:rFonts w:hint="eastAsia" w:ascii="MS Mincho" w:hAnsi="MS Mincho" w:eastAsia="MS Mincho"/>
                <w:bCs/>
                <w:lang w:eastAsia="ja-JP"/>
              </w:rPr>
              <w:t>第十三章　贈り物のマナー</w:t>
            </w:r>
          </w:p>
        </w:tc>
        <w:tc>
          <w:tcPr>
            <w:tcW w:w="32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20C55D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宋体" w:hAnsi="宋体"/>
                <w:lang w:eastAsia="ja-JP"/>
              </w:rPr>
              <w:t>教科書内容、pptで補足内容の理解、問題形式での確認</w:t>
            </w:r>
          </w:p>
        </w:tc>
        <w:tc>
          <w:tcPr>
            <w:tcW w:w="17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405442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eastAsia="MS Mincho"/>
                <w:color w:val="000000" w:themeColor="text1"/>
                <w:kern w:val="0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  <w:t>内容を理解し、単語及び文法を習得する</w:t>
            </w:r>
          </w:p>
        </w:tc>
      </w:tr>
      <w:tr w14:paraId="34A4BC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2ABC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1BC55F7F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4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ED3FF5">
            <w:pPr>
              <w:widowControl/>
              <w:rPr>
                <w:rFonts w:eastAsia="MS Mincho"/>
                <w:color w:val="000000"/>
                <w:kern w:val="0"/>
                <w:lang w:eastAsia="ja-JP"/>
              </w:rPr>
            </w:pPr>
            <w:r>
              <w:rPr>
                <w:rFonts w:hint="eastAsia" w:eastAsia="MS Mincho"/>
                <w:color w:val="000000"/>
                <w:kern w:val="0"/>
                <w:lang w:eastAsia="ja-JP"/>
              </w:rPr>
              <w:t>第十四章　お見舞いのマナー</w:t>
            </w:r>
          </w:p>
          <w:p w14:paraId="11BB9C62">
            <w:pPr>
              <w:widowControl/>
              <w:rPr>
                <w:rFonts w:eastAsia="黑体"/>
                <w:kern w:val="0"/>
                <w:sz w:val="21"/>
                <w:szCs w:val="21"/>
                <w:lang w:eastAsia="ja-JP"/>
              </w:rPr>
            </w:pPr>
          </w:p>
        </w:tc>
        <w:tc>
          <w:tcPr>
            <w:tcW w:w="32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6B112C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宋体" w:hAnsi="宋体"/>
                <w:lang w:eastAsia="ja-JP"/>
              </w:rPr>
              <w:t>教科書内容、pptで補足内容の理解、問題形式での確認</w:t>
            </w:r>
          </w:p>
        </w:tc>
        <w:tc>
          <w:tcPr>
            <w:tcW w:w="17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7EC0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eastAsia="MS Mincho"/>
                <w:color w:val="000000" w:themeColor="text1"/>
                <w:kern w:val="0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  <w:t>内容を理解し、単語及び文法を習得する</w:t>
            </w:r>
          </w:p>
        </w:tc>
      </w:tr>
      <w:tr w14:paraId="5F3542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E0ECAB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5E4385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4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52EBE7">
            <w:pPr>
              <w:widowControl/>
              <w:rPr>
                <w:rFonts w:eastAsia="黑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eastAsia="MS Mincho"/>
                <w:color w:val="000000"/>
                <w:kern w:val="0"/>
                <w:lang w:eastAsia="ja-JP"/>
              </w:rPr>
              <w:t>第十五章　公衆のマナー</w:t>
            </w:r>
          </w:p>
        </w:tc>
        <w:tc>
          <w:tcPr>
            <w:tcW w:w="32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30C586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</w:rPr>
              <w:t>既習内容の確認</w:t>
            </w:r>
          </w:p>
        </w:tc>
        <w:tc>
          <w:tcPr>
            <w:tcW w:w="17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167FE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eastAsia="MS Mincho"/>
                <w:color w:val="000000" w:themeColor="text1"/>
                <w:kern w:val="0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  <w:t>内容を理解し、単語及び文法を習得する</w:t>
            </w:r>
          </w:p>
        </w:tc>
      </w:tr>
    </w:tbl>
    <w:p w14:paraId="193EEEC1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1A224D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1E5A3237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452221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483AFDAA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1FE194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0F10EEF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D6AC0F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8938EFF">
            <w:pPr>
              <w:pStyle w:val="11"/>
              <w:widowControl w:val="0"/>
              <w:rPr>
                <w:rFonts w:hint="eastAsia" w:ascii="宋体" w:hAnsi="宋体" w:cs="Arial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</w:rPr>
              <w:t>课堂小组发表</w:t>
            </w:r>
          </w:p>
        </w:tc>
      </w:tr>
      <w:tr w14:paraId="305D8E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2C07A729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A4A503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10%</w:t>
            </w:r>
          </w:p>
        </w:tc>
        <w:tc>
          <w:tcPr>
            <w:tcW w:w="5387" w:type="dxa"/>
            <w:shd w:val="clear" w:color="auto" w:fill="auto"/>
            <w:vAlign w:val="top"/>
          </w:tcPr>
          <w:p w14:paraId="135B4B1F">
            <w:pPr>
              <w:pStyle w:val="11"/>
              <w:widowControl w:val="0"/>
              <w:rPr>
                <w:rFonts w:ascii="宋体"/>
                <w:bCs/>
                <w:color w:val="000000"/>
                <w:szCs w:val="20"/>
              </w:rPr>
            </w:pPr>
            <w:r>
              <w:rPr>
                <w:rFonts w:ascii="微软雅黑" w:hAnsi="微软雅黑" w:eastAsia="微软雅黑"/>
              </w:rPr>
              <w:t>课堂</w:t>
            </w:r>
            <w:r>
              <w:rPr>
                <w:rFonts w:hint="eastAsia" w:ascii="微软雅黑" w:hAnsi="微软雅黑" w:eastAsia="微软雅黑"/>
              </w:rPr>
              <w:t>小组发表</w:t>
            </w:r>
          </w:p>
        </w:tc>
      </w:tr>
      <w:tr w14:paraId="166111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02BAF8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6F884EF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710B0F2">
            <w:pPr>
              <w:pStyle w:val="11"/>
              <w:widowControl w:val="0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微软雅黑" w:hAnsi="微软雅黑" w:eastAsia="微软雅黑"/>
              </w:rPr>
              <w:t>课堂</w:t>
            </w:r>
            <w:r>
              <w:rPr>
                <w:rFonts w:hint="eastAsia" w:ascii="微软雅黑" w:hAnsi="微软雅黑" w:eastAsia="微软雅黑"/>
              </w:rPr>
              <w:t>小组发表</w:t>
            </w:r>
          </w:p>
        </w:tc>
      </w:tr>
      <w:tr w14:paraId="15E84C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24FA6F8B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960049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60%</w:t>
            </w:r>
          </w:p>
        </w:tc>
        <w:tc>
          <w:tcPr>
            <w:tcW w:w="5387" w:type="dxa"/>
            <w:shd w:val="clear" w:color="auto" w:fill="auto"/>
            <w:vAlign w:val="top"/>
          </w:tcPr>
          <w:p w14:paraId="3395D3BA">
            <w:pPr>
              <w:pStyle w:val="11"/>
              <w:widowControl w:val="0"/>
              <w:rPr>
                <w:rFonts w:ascii="宋体"/>
                <w:bCs/>
                <w:color w:val="000000"/>
                <w:szCs w:val="20"/>
              </w:rPr>
            </w:pPr>
            <w:r>
              <w:rPr>
                <w:rFonts w:hint="eastAsia" w:ascii="微软雅黑" w:hAnsi="微软雅黑" w:eastAsia="微软雅黑"/>
              </w:rPr>
              <w:t>期末研究报告</w:t>
            </w:r>
          </w:p>
        </w:tc>
      </w:tr>
    </w:tbl>
    <w:p w14:paraId="0BDC0F72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</w:pPr>
      <w:r>
        <w:rPr>
          <w:rFonts w:hint="eastAsia" w:ascii="黑体" w:hAnsi="黑体" w:eastAsia="黑体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  <w:highlight w:val="none"/>
          <w:u w:val="none"/>
          <w:lang w:val="en-US" w:eastAsia="zh-CN"/>
        </w:rPr>
        <w:drawing>
          <wp:inline distT="0" distB="0" distL="114300" distR="114300">
            <wp:extent cx="748665" cy="270510"/>
            <wp:effectExtent l="0" t="0" r="13335" b="15240"/>
            <wp:docPr id="5" name="图片 5" descr="c60e828d86ed86afc782b07991ed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60e828d86ed86afc782b07991ed2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48665" cy="27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C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drawing>
          <wp:inline distT="0" distB="0" distL="0" distR="0">
            <wp:extent cx="808990" cy="327660"/>
            <wp:effectExtent l="0" t="0" r="0" b="2540"/>
            <wp:docPr id="16806934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69345" name="图片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9389" cy="332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 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</w:p>
    <w:p w14:paraId="144938BF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黑体" w:hAnsi="黑体" w:eastAsia="黑体"/>
          <w:sz w:val="21"/>
          <w:szCs w:val="21"/>
          <w:lang w:eastAsia="zh-CN"/>
        </w:rPr>
      </w:pP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3B55E0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22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7A5A51D5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44EC3F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7B28284A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7F0B0A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2CDD67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8BFAD57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SJQU-QR-JW-055（A0）</w:t>
                          </w:r>
                        </w:p>
                        <w:p w14:paraId="33A1987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68BFAD57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SJQU-QR-JW-055（A0）</w:t>
                    </w:r>
                  </w:p>
                  <w:p w14:paraId="33A19879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4C0DAC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A904EE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5Y2U3MTA4NzY0OTZhNTk3NGI0ZTdiYjY4NjI4NmU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74262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27086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E60AA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4E3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6399B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2B67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17A32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1D628BE"/>
    <w:rsid w:val="0250298D"/>
    <w:rsid w:val="027225B0"/>
    <w:rsid w:val="0B02141F"/>
    <w:rsid w:val="0DB76A4A"/>
    <w:rsid w:val="0E09416E"/>
    <w:rsid w:val="10620616"/>
    <w:rsid w:val="155B6F9A"/>
    <w:rsid w:val="199D2E85"/>
    <w:rsid w:val="1B9B294B"/>
    <w:rsid w:val="21311468"/>
    <w:rsid w:val="27C27387"/>
    <w:rsid w:val="2A293C79"/>
    <w:rsid w:val="2AF7434D"/>
    <w:rsid w:val="2DD51467"/>
    <w:rsid w:val="2E59298A"/>
    <w:rsid w:val="37E50B00"/>
    <w:rsid w:val="424A30A4"/>
    <w:rsid w:val="474C0A7B"/>
    <w:rsid w:val="49DF08B3"/>
    <w:rsid w:val="51E1548C"/>
    <w:rsid w:val="5BD81F6B"/>
    <w:rsid w:val="65310993"/>
    <w:rsid w:val="6E256335"/>
    <w:rsid w:val="700912C5"/>
    <w:rsid w:val="74F62C86"/>
    <w:rsid w:val="79FF4DD4"/>
    <w:rsid w:val="7BE50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autoRedefine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autoRedefine/>
    <w:qFormat/>
    <w:uiPriority w:val="0"/>
  </w:style>
  <w:style w:type="character" w:styleId="8">
    <w:name w:val="Hyperlink"/>
    <w:autoRedefine/>
    <w:qFormat/>
    <w:uiPriority w:val="0"/>
    <w:rPr>
      <w:color w:val="0000FF"/>
      <w:u w:val="single"/>
    </w:rPr>
  </w:style>
  <w:style w:type="paragraph" w:customStyle="1" w:styleId="9">
    <w:name w:val="1 字元"/>
    <w:basedOn w:val="1"/>
    <w:autoRedefine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autoRedefine/>
    <w:unhideWhenUsed/>
    <w:qFormat/>
    <w:uiPriority w:val="99"/>
    <w:pPr>
      <w:ind w:firstLine="420" w:firstLineChars="200"/>
    </w:pPr>
  </w:style>
  <w:style w:type="paragraph" w:customStyle="1" w:styleId="11">
    <w:name w:val="表格正文DG"/>
    <w:basedOn w:val="1"/>
    <w:qFormat/>
    <w:uiPriority w:val="99"/>
    <w:pPr>
      <w:jc w:val="center"/>
    </w:pPr>
    <w:rPr>
      <w:rFonts w:ascii="Times New Roman" w:hAnsi="Times New Roman"/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DCA7342-195E-4179-AA7F-0A95EF6634E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3</Pages>
  <Words>1123</Words>
  <Characters>1208</Characters>
  <Lines>10</Lines>
  <Paragraphs>2</Paragraphs>
  <TotalTime>0</TotalTime>
  <ScaleCrop>false</ScaleCrop>
  <LinksUpToDate>false</LinksUpToDate>
  <CharactersWithSpaces>1265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AstheDew</cp:lastModifiedBy>
  <cp:lastPrinted>2015-03-18T03:45:00Z</cp:lastPrinted>
  <dcterms:modified xsi:type="dcterms:W3CDTF">2026-09-28T05:57:03Z</dcterms:modified>
  <dc:title>上海建桥学院教学进度计划表</dc:title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2CA1FCF24D29434191FE9C4121E11716_12</vt:lpwstr>
  </property>
  <property fmtid="{D5CDD505-2E9C-101B-9397-08002B2CF9AE}" pid="4" name="KSOTemplateDocerSaveRecord">
    <vt:lpwstr>eyJoZGlkIjoiYmJmYjA0YjYzMGY3M2Y3OTczMTlhMjNhNjhmMmM1MGQiLCJ1c2VySWQiOiIxMzUyMzkyNzg3In0=</vt:lpwstr>
  </property>
</Properties>
</file>