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28"/>
        </w:rPr>
        <w:t>【</w:t>
      </w:r>
      <w:r>
        <w:rPr>
          <w:rFonts w:hint="eastAsia" w:asciiTheme="minorHAnsi" w:hAnsiTheme="minorHAnsi" w:eastAsiaTheme="minorEastAsia" w:cstheme="minorBidi"/>
          <w:b/>
          <w:sz w:val="28"/>
          <w:szCs w:val="28"/>
        </w:rPr>
        <w:t>日语会话</w:t>
      </w:r>
      <w:r>
        <w:rPr>
          <w:rFonts w:hint="eastAsia" w:asciiTheme="minorHAnsi" w:hAnsiTheme="minorHAnsi" w:eastAsiaTheme="minorEastAsia" w:cstheme="minorBidi"/>
          <w:b/>
          <w:sz w:val="28"/>
          <w:szCs w:val="28"/>
          <w:lang w:eastAsia="zh-CN"/>
        </w:rPr>
        <w:t>（</w:t>
      </w:r>
      <w:r>
        <w:rPr>
          <w:rFonts w:hint="eastAsia" w:asciiTheme="minorHAnsi" w:hAnsiTheme="minorHAnsi" w:eastAsiaTheme="minorEastAsia" w:cstheme="minorBidi"/>
          <w:b/>
          <w:sz w:val="28"/>
          <w:szCs w:val="28"/>
          <w:lang w:val="en-US" w:eastAsia="zh-CN"/>
        </w:rPr>
        <w:t>2</w:t>
      </w:r>
      <w:r>
        <w:rPr>
          <w:rFonts w:hint="eastAsia" w:asciiTheme="minorHAnsi" w:hAnsiTheme="minorHAnsi" w:eastAsiaTheme="minorEastAsia" w:cstheme="minorBidi"/>
          <w:b/>
          <w:sz w:val="28"/>
          <w:szCs w:val="28"/>
          <w:lang w:eastAsia="zh-CN"/>
        </w:rPr>
        <w:t>）</w:t>
      </w:r>
      <w:r>
        <w:rPr>
          <w:rFonts w:hint="eastAsia"/>
          <w:b/>
          <w:sz w:val="28"/>
          <w:szCs w:val="28"/>
        </w:rPr>
        <w:t>】</w:t>
      </w:r>
    </w:p>
    <w:p>
      <w:pPr>
        <w:shd w:val="clear" w:color="auto" w:fill="F5F5F5"/>
        <w:jc w:val="center"/>
        <w:textAlignment w:val="top"/>
        <w:rPr>
          <w:rFonts w:ascii="Arial" w:hAnsi="Arial" w:cs="Arial"/>
          <w:color w:val="888888"/>
          <w:kern w:val="0"/>
          <w:sz w:val="28"/>
          <w:szCs w:val="28"/>
        </w:rPr>
      </w:pPr>
      <w:r>
        <w:rPr>
          <w:rFonts w:hint="eastAsia"/>
          <w:b/>
          <w:sz w:val="28"/>
          <w:szCs w:val="28"/>
        </w:rPr>
        <w:t>【</w:t>
      </w:r>
      <w:r>
        <w:rPr>
          <w:rFonts w:hint="eastAsia" w:eastAsia="MS Mincho"/>
          <w:b/>
          <w:sz w:val="28"/>
          <w:szCs w:val="28"/>
          <w:lang w:eastAsia="ja-JP"/>
        </w:rPr>
        <w:t>Japanese Conversation</w:t>
      </w:r>
      <w:r>
        <w:rPr>
          <w:rFonts w:hint="eastAsia" w:asciiTheme="minorHAnsi" w:hAnsiTheme="minorHAnsi" w:eastAsiaTheme="minorEastAsia" w:cstheme="minorBidi"/>
          <w:b/>
          <w:sz w:val="28"/>
          <w:szCs w:val="28"/>
          <w:lang w:eastAsia="zh-CN"/>
        </w:rPr>
        <w:t>（</w:t>
      </w:r>
      <w:r>
        <w:rPr>
          <w:rFonts w:hint="eastAsia" w:asciiTheme="minorHAnsi" w:hAnsiTheme="minorHAnsi" w:eastAsiaTheme="minorEastAsia" w:cstheme="minorBidi"/>
          <w:b/>
          <w:sz w:val="28"/>
          <w:szCs w:val="28"/>
          <w:lang w:val="en-US" w:eastAsia="zh-CN"/>
        </w:rPr>
        <w:t>2</w:t>
      </w:r>
      <w:r>
        <w:rPr>
          <w:rFonts w:hint="eastAsia" w:asciiTheme="minorHAnsi" w:hAnsiTheme="minorHAnsi" w:eastAsiaTheme="minorEastAsia" w:cstheme="minorBidi"/>
          <w:b/>
          <w:sz w:val="28"/>
          <w:szCs w:val="28"/>
          <w:lang w:eastAsia="zh-CN"/>
        </w:rPr>
        <w:t>）</w:t>
      </w:r>
      <w:r>
        <w:rPr>
          <w:rFonts w:hint="eastAsia"/>
          <w:b/>
          <w:sz w:val="28"/>
          <w:szCs w:val="28"/>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asciiTheme="minorEastAsia" w:hAnsiTheme="minorEastAsia" w:eastAsiaTheme="minorEastAsia"/>
          <w:color w:val="000000"/>
          <w:sz w:val="20"/>
          <w:szCs w:val="20"/>
        </w:rPr>
        <w:t>202007</w:t>
      </w:r>
      <w:r>
        <w:rPr>
          <w:rFonts w:asciiTheme="minorEastAsia" w:hAnsiTheme="minorEastAsia" w:eastAsiaTheme="minorEastAsia"/>
          <w:color w:val="000000"/>
          <w:sz w:val="20"/>
          <w:szCs w:val="20"/>
        </w:rPr>
        <w:t>8</w:t>
      </w:r>
      <w:r>
        <w:rPr>
          <w:color w:val="000000"/>
          <w:sz w:val="20"/>
          <w:szCs w:val="20"/>
        </w:rPr>
        <w:t>】</w:t>
      </w:r>
      <w:bookmarkStart w:id="2" w:name="_GoBack"/>
      <w:bookmarkEnd w:id="2"/>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asciiTheme="minorEastAsia" w:hAnsiTheme="minorEastAsia" w:eastAsiaTheme="minorEastAsia"/>
          <w:color w:val="000000"/>
          <w:sz w:val="20"/>
          <w:szCs w:val="20"/>
        </w:rPr>
        <w:t>２</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asciiTheme="minorEastAsia" w:hAnsiTheme="minorEastAsia" w:eastAsiaTheme="minorEastAsia"/>
          <w:color w:val="000000"/>
          <w:sz w:val="20"/>
          <w:szCs w:val="20"/>
        </w:rPr>
        <w:t>日语专业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Theme="minorEastAsia" w:hAnsiTheme="minorEastAsia" w:eastAsiaTheme="minorEastAsia"/>
          <w:color w:val="000000"/>
          <w:szCs w:val="21"/>
        </w:rPr>
        <w:t>院级必修课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ascii="MS Mincho" w:hAnsi="MS Mincho" w:eastAsia="MS Mincho"/>
          <w:color w:val="000000"/>
          <w:sz w:val="20"/>
          <w:szCs w:val="20"/>
        </w:rPr>
        <w:t>《</w:t>
      </w:r>
      <w:r>
        <w:rPr>
          <w:rFonts w:hint="eastAsia"/>
          <w:color w:val="000000"/>
          <w:sz w:val="20"/>
          <w:szCs w:val="20"/>
        </w:rPr>
        <w:t>新经典日本语 会话课程 第</w:t>
      </w:r>
      <w:r>
        <w:rPr>
          <w:rFonts w:hint="eastAsia" w:ascii="MS Mincho" w:hAnsi="MS Mincho" w:eastAsia="MS Mincho"/>
          <w:color w:val="000000"/>
          <w:sz w:val="20"/>
          <w:szCs w:val="20"/>
          <w:lang w:eastAsia="ja-JP"/>
        </w:rPr>
        <w:t>二</w:t>
      </w:r>
      <w:r>
        <w:rPr>
          <w:rFonts w:hint="eastAsia"/>
          <w:color w:val="000000"/>
          <w:sz w:val="20"/>
          <w:szCs w:val="20"/>
        </w:rPr>
        <w:t>册</w:t>
      </w:r>
      <w:r>
        <w:rPr>
          <w:rFonts w:hint="eastAsia" w:ascii="MS Mincho" w:hAnsi="MS Mincho" w:eastAsia="MS Mincho"/>
          <w:color w:val="000000"/>
          <w:sz w:val="20"/>
          <w:szCs w:val="20"/>
        </w:rPr>
        <w:t>》</w:t>
      </w:r>
      <w:r>
        <w:rPr>
          <w:rFonts w:hint="eastAsia"/>
          <w:color w:val="000000"/>
          <w:sz w:val="20"/>
          <w:szCs w:val="20"/>
        </w:rPr>
        <w:t>，刘利国</w:t>
      </w:r>
      <w:r>
        <w:rPr>
          <w:color w:val="000000"/>
          <w:sz w:val="20"/>
          <w:szCs w:val="20"/>
        </w:rPr>
        <w:t>、</w:t>
      </w:r>
      <w:r>
        <w:rPr>
          <w:rFonts w:hint="eastAsia"/>
          <w:color w:val="000000"/>
          <w:sz w:val="20"/>
          <w:szCs w:val="20"/>
        </w:rPr>
        <w:t>宫伟总主编，外语教学与研究出版社</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新编日语</w:t>
      </w:r>
      <w:r>
        <w:rPr>
          <w:color w:val="000000"/>
          <w:sz w:val="20"/>
          <w:szCs w:val="20"/>
        </w:rPr>
        <w:t>》</w:t>
      </w:r>
      <w:r>
        <w:rPr>
          <w:rFonts w:hint="eastAsia"/>
          <w:color w:val="000000"/>
          <w:sz w:val="20"/>
          <w:szCs w:val="20"/>
        </w:rPr>
        <w:t>，周平、陈小芬 上海外语教育出版社 2009年出版；</w:t>
      </w:r>
    </w:p>
    <w:p>
      <w:pPr>
        <w:snapToGrid w:val="0"/>
        <w:spacing w:line="288" w:lineRule="auto"/>
        <w:ind w:left="1873" w:leftChars="892"/>
        <w:rPr>
          <w:color w:val="000000"/>
          <w:szCs w:val="21"/>
        </w:rPr>
      </w:pPr>
      <w:r>
        <w:rPr>
          <w:color w:val="000000"/>
          <w:sz w:val="20"/>
          <w:szCs w:val="20"/>
        </w:rPr>
        <w:t>《</w:t>
      </w:r>
      <w:r>
        <w:rPr>
          <w:rFonts w:hint="eastAsia"/>
          <w:color w:val="000000"/>
          <w:sz w:val="20"/>
          <w:szCs w:val="20"/>
        </w:rPr>
        <w:t>中日交流标准日本语 初级（上）</w:t>
      </w:r>
      <w:r>
        <w:rPr>
          <w:color w:val="000000"/>
          <w:sz w:val="20"/>
          <w:szCs w:val="20"/>
        </w:rPr>
        <w:t>》</w:t>
      </w:r>
      <w:r>
        <w:rPr>
          <w:rFonts w:hint="eastAsia"/>
          <w:color w:val="000000"/>
          <w:sz w:val="20"/>
          <w:szCs w:val="20"/>
        </w:rPr>
        <w:t>，（中国）人民教育出版社、（日本）光村图书出版株式会社联合出版；</w:t>
      </w:r>
      <w:r>
        <w:rPr>
          <w:color w:val="000000"/>
          <w:sz w:val="20"/>
          <w:szCs w:val="20"/>
        </w:rPr>
        <w:t>《</w:t>
      </w:r>
      <w:r>
        <w:rPr>
          <w:rFonts w:hint="eastAsia"/>
          <w:color w:val="000000"/>
          <w:sz w:val="20"/>
          <w:szCs w:val="20"/>
        </w:rPr>
        <w:t>24天脱口秀日语</w:t>
      </w:r>
      <w:r>
        <w:rPr>
          <w:color w:val="000000"/>
          <w:sz w:val="20"/>
          <w:szCs w:val="20"/>
        </w:rPr>
        <w:t>》</w:t>
      </w:r>
      <w:r>
        <w:rPr>
          <w:rFonts w:hint="eastAsia"/>
          <w:color w:val="000000"/>
          <w:sz w:val="20"/>
          <w:szCs w:val="20"/>
        </w:rPr>
        <w:t>，黄英兰编译，北京语言大学</w:t>
      </w:r>
      <w:r>
        <w:rPr>
          <w:color w:val="000000"/>
          <w:sz w:val="20"/>
          <w:szCs w:val="20"/>
        </w:rPr>
        <w:t>出版社】</w:t>
      </w:r>
    </w:p>
    <w:p>
      <w:pPr>
        <w:snapToGrid w:val="0"/>
        <w:spacing w:line="288" w:lineRule="auto"/>
        <w:ind w:left="412" w:leftChars="196"/>
        <w:jc w:val="left"/>
        <w:rPr>
          <w:color w:val="000000"/>
          <w:szCs w:val="21"/>
        </w:rPr>
      </w:pPr>
      <w:r>
        <w:rPr>
          <w:rFonts w:hint="eastAsia"/>
          <w:b/>
          <w:bCs/>
          <w:color w:val="000000"/>
          <w:sz w:val="20"/>
          <w:szCs w:val="20"/>
        </w:rPr>
        <w:t>课程网站网址：</w:t>
      </w:r>
      <w:r>
        <w:rPr>
          <w:bCs/>
          <w:color w:val="000000"/>
          <w:szCs w:val="21"/>
        </w:rPr>
        <w:t>https://elearning.gench.edu.cn:8443/webapps/discussionboard/do/conference?toggle_mode=edit&amp;action=list_forums&amp;course_id=_16695_1&amp;nav=discussion_board_entry&amp;mode=cpview</w:t>
      </w:r>
    </w:p>
    <w:p>
      <w:pPr>
        <w:snapToGrid w:val="0"/>
        <w:spacing w:line="288" w:lineRule="auto"/>
        <w:ind w:firstLine="392" w:firstLineChars="196"/>
        <w:rPr>
          <w:color w:val="000000"/>
          <w:sz w:val="20"/>
          <w:szCs w:val="20"/>
          <w:highlight w:val="yellow"/>
        </w:rPr>
      </w:pP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ascii="宋体" w:hAnsi="宋体"/>
          <w:szCs w:val="21"/>
        </w:rPr>
        <w:t>基础日语（</w:t>
      </w:r>
      <w:r>
        <w:rPr>
          <w:rFonts w:ascii="宋体" w:hAnsi="宋体"/>
          <w:szCs w:val="21"/>
        </w:rPr>
        <w:t>2</w:t>
      </w:r>
      <w:r>
        <w:rPr>
          <w:rFonts w:hint="eastAsia" w:ascii="宋体" w:hAnsi="宋体"/>
          <w:szCs w:val="21"/>
        </w:rPr>
        <w:t>）；日语会话（</w:t>
      </w:r>
      <w:r>
        <w:rPr>
          <w:rFonts w:ascii="宋体" w:hAnsi="宋体"/>
          <w:szCs w:val="21"/>
        </w:rPr>
        <w:t>1</w:t>
      </w:r>
      <w:r>
        <w:rPr>
          <w:rFonts w:hint="eastAsia" w:ascii="宋体" w:hAnsi="宋体"/>
          <w:szCs w:val="21"/>
        </w:rPr>
        <w:t>）</w:t>
      </w:r>
      <w:r>
        <w:rPr>
          <w:color w:val="000000"/>
          <w:sz w:val="20"/>
          <w:szCs w:val="20"/>
        </w:rPr>
        <w:t>】</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200" w:firstLineChars="100"/>
        <w:rPr>
          <w:color w:val="000000"/>
          <w:sz w:val="20"/>
          <w:szCs w:val="20"/>
          <w:lang w:eastAsia="ja-JP"/>
        </w:rPr>
      </w:pPr>
      <w:r>
        <w:rPr>
          <w:rFonts w:hint="eastAsia" w:eastAsia="MS Mincho"/>
          <w:color w:val="000000"/>
          <w:sz w:val="20"/>
          <w:szCs w:val="20"/>
          <w:lang w:eastAsia="ja-JP"/>
        </w:rPr>
        <w:t>本課程は日本語学院の必修科目であり、課程体系においては基礎日本語（２）に次ぐ位置にあり、日本語学部１年生の後期に開設される。その教学の目的は、総合的な会話練習を通じて、日常で使われる単語８００～１０００を確実に覚え、基礎的文法と基礎的公文に則った正しい会話ができるようになることにある。</w:t>
      </w:r>
      <w:r>
        <w:rPr>
          <w:rFonts w:hint="eastAsia" w:ascii="MS Mincho" w:hAnsi="MS Mincho" w:eastAsia="MS Mincho"/>
          <w:color w:val="000000"/>
          <w:sz w:val="20"/>
          <w:szCs w:val="20"/>
          <w:lang w:eastAsia="ja-JP"/>
        </w:rPr>
        <w:t>具体的には文字情報に頼らずに耳で聞いて相手の話を理解し、自分の考えを日本語で発話する、リスニングと会話能力向上のための訓練である。同時に正しい発音、イントネーションを身に着け、自然な日本語が話せることを目標とする。</w:t>
      </w:r>
    </w:p>
    <w:p>
      <w:pPr>
        <w:snapToGrid w:val="0"/>
        <w:spacing w:line="288" w:lineRule="auto"/>
        <w:ind w:firstLine="200" w:firstLineChars="100"/>
        <w:rPr>
          <w:rFonts w:ascii="MS Mincho" w:hAnsi="MS Mincho" w:eastAsia="MS Mincho"/>
          <w:color w:val="000000"/>
          <w:sz w:val="20"/>
          <w:szCs w:val="20"/>
          <w:lang w:eastAsia="ja-JP"/>
        </w:rPr>
      </w:pPr>
      <w:r>
        <w:rPr>
          <w:rFonts w:hint="eastAsia" w:ascii="MS Mincho" w:hAnsi="MS Mincho" w:eastAsia="MS Mincho"/>
          <w:color w:val="000000"/>
          <w:sz w:val="20"/>
          <w:szCs w:val="20"/>
          <w:lang w:eastAsia="ja-JP"/>
        </w:rPr>
        <w:t>また同時に、会話を通じて日本文化や日本人や日本社会の風習を理解し、正しいコミュニケーション能力を養うことも目的とする。</w:t>
      </w:r>
    </w:p>
    <w:p>
      <w:pPr>
        <w:snapToGrid w:val="0"/>
        <w:spacing w:line="288" w:lineRule="auto"/>
        <w:ind w:firstLine="200" w:firstLineChars="100"/>
        <w:rPr>
          <w:color w:val="000000"/>
          <w:sz w:val="20"/>
          <w:szCs w:val="20"/>
          <w:lang w:eastAsia="ja-JP"/>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本课程适合日语本科专业一年级第</w:t>
      </w:r>
      <w:r>
        <w:rPr>
          <w:rFonts w:hint="eastAsia" w:ascii="MS Mincho" w:hAnsi="MS Mincho" w:eastAsia="MS Mincho"/>
          <w:color w:val="000000"/>
          <w:sz w:val="20"/>
          <w:szCs w:val="20"/>
          <w:lang w:eastAsia="ja-JP"/>
        </w:rPr>
        <w:t>二</w:t>
      </w:r>
      <w:r>
        <w:rPr>
          <w:rFonts w:hint="eastAsia"/>
          <w:color w:val="000000"/>
          <w:sz w:val="20"/>
          <w:szCs w:val="20"/>
        </w:rPr>
        <w:t>学期开设。</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shd w:val="clear" w:color="auto" w:fill="auto"/>
          </w:tcPr>
          <w:p>
            <w:pPr>
              <w:jc w:val="center"/>
              <w:rPr>
                <w:rFonts w:ascii="黑体" w:hAnsi="黑体" w:eastAsia="黑体" w:cs="黑体"/>
                <w:kern w:val="0"/>
                <w:szCs w:val="21"/>
              </w:rPr>
            </w:pPr>
            <w:r>
              <w:rPr>
                <w:rFonts w:hint="eastAsia" w:ascii="黑体" w:hAnsi="黑体" w:eastAsia="黑体" w:cs="黑体"/>
                <w:kern w:val="0"/>
                <w:szCs w:val="21"/>
              </w:rPr>
              <w:t>专业毕业要求</w:t>
            </w:r>
          </w:p>
        </w:tc>
        <w:tc>
          <w:tcPr>
            <w:tcW w:w="618" w:type="dxa"/>
            <w:shd w:val="clear" w:color="auto" w:fill="auto"/>
          </w:tcPr>
          <w:p>
            <w:pPr>
              <w:jc w:val="center"/>
              <w:rPr>
                <w:rFonts w:ascii="黑体" w:hAnsi="黑体" w:eastAsia="黑体" w:cs="黑体"/>
                <w:kern w:val="0"/>
                <w:szCs w:val="21"/>
              </w:rPr>
            </w:pPr>
            <w:r>
              <w:rPr>
                <w:rFonts w:hint="eastAsia" w:ascii="黑体" w:hAnsi="黑体" w:eastAsia="黑体" w:cs="黑体"/>
                <w:kern w:val="0"/>
                <w:szCs w:val="21"/>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vAlign w:val="center"/>
          </w:tcPr>
          <w:p>
            <w:pPr>
              <w:rPr>
                <w:rFonts w:ascii="Times New Roman" w:hAnsi="Times New Roman"/>
                <w:kern w:val="0"/>
                <w:szCs w:val="21"/>
              </w:rPr>
            </w:pPr>
            <w:r>
              <w:rPr>
                <w:rFonts w:hint="eastAsia" w:ascii="仿宋" w:hAnsi="仿宋" w:eastAsia="仿宋" w:cs="宋体"/>
                <w:color w:val="000000"/>
                <w:kern w:val="0"/>
                <w:szCs w:val="21"/>
              </w:rPr>
              <w:t>LO11：</w:t>
            </w:r>
          </w:p>
        </w:tc>
        <w:tc>
          <w:tcPr>
            <w:tcW w:w="6095" w:type="dxa"/>
            <w:shd w:val="clear" w:color="auto" w:fill="auto"/>
            <w:vAlign w:val="center"/>
          </w:tcPr>
          <w:p>
            <w:pPr>
              <w:rPr>
                <w:rFonts w:ascii="Times New Roman" w:hAnsi="Times New Roman"/>
                <w:kern w:val="0"/>
                <w:szCs w:val="21"/>
              </w:rPr>
            </w:pPr>
            <w:r>
              <w:rPr>
                <w:rFonts w:hint="eastAsia" w:ascii="Times New Roman" w:hAnsi="Times New Roman"/>
                <w:kern w:val="0"/>
                <w:szCs w:val="21"/>
              </w:rPr>
              <w:t>LO111倾听他人意见、尊重他人观点、分析他人需求。</w:t>
            </w:r>
          </w:p>
        </w:tc>
        <w:tc>
          <w:tcPr>
            <w:tcW w:w="618" w:type="dxa"/>
            <w:shd w:val="clear" w:color="auto" w:fill="auto"/>
            <w:vAlign w:val="center"/>
          </w:tcPr>
          <w:p>
            <w:pPr>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rPr>
                <w:rFonts w:ascii="仿宋" w:hAnsi="仿宋" w:eastAsia="仿宋" w:cs="宋体"/>
                <w:color w:val="000000"/>
                <w:kern w:val="0"/>
                <w:szCs w:val="21"/>
              </w:rPr>
            </w:pPr>
          </w:p>
        </w:tc>
        <w:tc>
          <w:tcPr>
            <w:tcW w:w="6095" w:type="dxa"/>
            <w:shd w:val="clear" w:color="auto" w:fill="auto"/>
            <w:vAlign w:val="center"/>
          </w:tcPr>
          <w:p>
            <w:pPr>
              <w:rPr>
                <w:rFonts w:ascii="Times New Roman" w:hAnsi="Times New Roman"/>
                <w:kern w:val="0"/>
                <w:szCs w:val="21"/>
              </w:rPr>
            </w:pPr>
            <w:r>
              <w:rPr>
                <w:rFonts w:hint="eastAsia" w:ascii="Times New Roman" w:hAnsi="Times New Roman"/>
                <w:kern w:val="0"/>
                <w:szCs w:val="21"/>
              </w:rPr>
              <w:t>LO112应用书面或口头形式，阐释自己的观点，有效沟通。</w:t>
            </w:r>
          </w:p>
        </w:tc>
        <w:tc>
          <w:tcPr>
            <w:tcW w:w="618" w:type="dxa"/>
            <w:shd w:val="clear" w:color="auto" w:fill="auto"/>
            <w:vAlign w:val="center"/>
          </w:tcPr>
          <w:p>
            <w:pPr>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vAlign w:val="center"/>
          </w:tcPr>
          <w:p>
            <w:pPr>
              <w:widowControl/>
              <w:rPr>
                <w:rFonts w:ascii="Times New Roman" w:hAnsi="Times New Roman"/>
                <w:kern w:val="0"/>
                <w:szCs w:val="21"/>
              </w:rPr>
            </w:pPr>
            <w:r>
              <w:rPr>
                <w:rFonts w:hint="eastAsia" w:ascii="仿宋" w:hAnsi="仿宋" w:eastAsia="仿宋" w:cs="宋体"/>
                <w:color w:val="000000"/>
                <w:kern w:val="0"/>
                <w:szCs w:val="21"/>
              </w:rPr>
              <w:t>LO21：</w:t>
            </w: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LO211能根据需要自己确定学习目标，并设计学习计划。</w:t>
            </w:r>
          </w:p>
        </w:tc>
        <w:tc>
          <w:tcPr>
            <w:tcW w:w="618"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L0212能搜集、获取达到目标所需要的学习资源，实施学习计划、反思学习计划、持续改进，达到学习目标。</w:t>
            </w:r>
          </w:p>
        </w:tc>
        <w:tc>
          <w:tcPr>
            <w:tcW w:w="618" w:type="dxa"/>
            <w:shd w:val="clear" w:color="auto" w:fill="auto"/>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shd w:val="clear" w:color="auto" w:fill="auto"/>
            <w:vAlign w:val="center"/>
          </w:tcPr>
          <w:p>
            <w:pPr>
              <w:widowControl/>
              <w:rPr>
                <w:rFonts w:ascii="Times New Roman" w:hAnsi="Times New Roman"/>
                <w:kern w:val="0"/>
                <w:szCs w:val="21"/>
              </w:rPr>
            </w:pPr>
            <w:r>
              <w:rPr>
                <w:rFonts w:hint="eastAsia" w:ascii="仿宋" w:hAnsi="仿宋" w:eastAsia="仿宋" w:cs="宋体"/>
                <w:color w:val="000000"/>
                <w:kern w:val="0"/>
                <w:szCs w:val="21"/>
              </w:rPr>
              <w:t>LO31：</w:t>
            </w: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LO311能听懂正常语速下的日语对话，根据语调和重音理解说话者的意图，能听懂语段内容，并提取信息和观点。</w:t>
            </w:r>
          </w:p>
        </w:tc>
        <w:tc>
          <w:tcPr>
            <w:tcW w:w="618"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LO312掌握正确的发音，能够使用日语进行交流与表达。</w:t>
            </w:r>
          </w:p>
        </w:tc>
        <w:tc>
          <w:tcPr>
            <w:tcW w:w="618"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LO313掌握日语阅读技能，包括细读、泛读、评读等能力，提高分析归纳、推理检验等逻辑思维能力。</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LO314了解日语写作的基础知识，摆脱汉语的思维方式，用地道的日语进行表情达意，具备必要的应用文写作技能。</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LO315了解并掌握翻译技巧，了解不同文体的语言特点和翻译方法，能使用中日两种语言进行各种翻译活动。</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LO32：</w:t>
            </w:r>
          </w:p>
        </w:tc>
        <w:tc>
          <w:tcPr>
            <w:tcW w:w="6095" w:type="dxa"/>
            <w:shd w:val="clear" w:color="auto" w:fill="auto"/>
            <w:vAlign w:val="center"/>
          </w:tcPr>
          <w:p>
            <w:pPr>
              <w:widowControl/>
              <w:rPr>
                <w:rFonts w:ascii="仿宋" w:hAnsi="仿宋" w:eastAsia="仿宋" w:cs="宋体"/>
                <w:color w:val="000000"/>
                <w:kern w:val="0"/>
                <w:szCs w:val="21"/>
              </w:rPr>
            </w:pPr>
            <w:r>
              <w:rPr>
                <w:rFonts w:hint="eastAsia" w:ascii="Times New Roman" w:hAnsi="Times New Roman"/>
                <w:kern w:val="0"/>
                <w:szCs w:val="21"/>
              </w:rPr>
              <w:t>LO321了解语言学的一般理论，以及语言学研究的发展与现状。</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LO322透彻分析日语语素、词汇及语法结构，能对语法现象进行分析归纳与总结。</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LO323了解日本文学史上不同时期的重要作家及其代表作品。</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LO324具备阅读、欣赏、理解日本文学原著的能力，掌握文学批评的基本知识和方法。</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LO33：</w:t>
            </w: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LO331了解日本文化、社会和风土人情，认识中日文化差异。</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LO332具有跨文化交际能力，掌握有效的认知、调控、交际策略和跨文化理解能力。</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LO34：</w:t>
            </w: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LO341掌握商务相关的基本理论知识，国家对外贸易方针、政策以及具备国际商务实务操作的技能和素质。</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LO342能够使用日语语言处理商务活动中的常规业务，能用中日文双语撰写外贸函电，填写国际贸易的单证，起草外贸合同。</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shd w:val="clear" w:color="auto" w:fill="auto"/>
            <w:vAlign w:val="center"/>
          </w:tcPr>
          <w:p>
            <w:pPr>
              <w:widowControl/>
              <w:rPr>
                <w:rFonts w:ascii="Times New Roman" w:hAnsi="Times New Roman"/>
                <w:kern w:val="0"/>
                <w:szCs w:val="21"/>
              </w:rPr>
            </w:pPr>
            <w:r>
              <w:rPr>
                <w:rFonts w:hint="eastAsia" w:ascii="仿宋" w:hAnsi="仿宋" w:eastAsia="仿宋" w:cs="宋体"/>
                <w:color w:val="000000"/>
                <w:kern w:val="0"/>
                <w:szCs w:val="21"/>
              </w:rPr>
              <w:t>LO41：</w:t>
            </w: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L0411遵纪守法：遵守校纪校规，具备法律意识。</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L0412 诚实守信：为人诚实，信守承诺，尽职尽责。</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LO413爱岗敬业：了解与专业相关的法律法规，充分认识本专业就业岗位在社会经济中的作用和地位，在学习和社会实践中遵守职业规范，具备职业道德操守。</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LO414身心健康，能承受学习和生活中的压力。</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shd w:val="clear" w:color="auto" w:fill="auto"/>
            <w:vAlign w:val="center"/>
          </w:tcPr>
          <w:p>
            <w:pPr>
              <w:widowControl/>
              <w:rPr>
                <w:rFonts w:ascii="Times New Roman" w:hAnsi="Times New Roman"/>
                <w:kern w:val="0"/>
                <w:szCs w:val="21"/>
              </w:rPr>
            </w:pPr>
            <w:r>
              <w:rPr>
                <w:rFonts w:hint="eastAsia" w:ascii="仿宋" w:hAnsi="仿宋" w:eastAsia="仿宋" w:cs="宋体"/>
                <w:color w:val="000000"/>
                <w:kern w:val="0"/>
                <w:szCs w:val="21"/>
              </w:rPr>
              <w:t>LO51：</w:t>
            </w: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L0511在集体活动中能主动担任自己的角色，与其他成员密切合作，共同完成任务。</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L0512 有质疑精神，能有逻辑的分析与批判。</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L0513 能用创新的方法或者多种方法解决复杂问题或真实问题。</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L0514了解行业前沿知识技术。</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shd w:val="clear" w:color="auto" w:fill="auto"/>
            <w:vAlign w:val="center"/>
          </w:tcPr>
          <w:p>
            <w:pPr>
              <w:widowControl/>
              <w:rPr>
                <w:rFonts w:ascii="Times New Roman" w:hAnsi="Times New Roman"/>
                <w:kern w:val="0"/>
                <w:szCs w:val="21"/>
              </w:rPr>
            </w:pPr>
            <w:r>
              <w:rPr>
                <w:rFonts w:hint="eastAsia" w:ascii="仿宋" w:hAnsi="仿宋" w:eastAsia="仿宋" w:cs="宋体"/>
                <w:color w:val="000000"/>
                <w:kern w:val="0"/>
                <w:szCs w:val="21"/>
              </w:rPr>
              <w:t>LO61：</w:t>
            </w: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LO611能够根据需要进行专业文献检索。</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LO612能够使用适合的工具来搜集信息，并对信息加以分析、鉴别、判断与整合。</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LO613熟练使用计算机，掌握常用办公软件。</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shd w:val="clear" w:color="auto" w:fill="auto"/>
            <w:vAlign w:val="center"/>
          </w:tcPr>
          <w:p>
            <w:pPr>
              <w:widowControl/>
              <w:rPr>
                <w:rFonts w:ascii="Times New Roman" w:hAnsi="Times New Roman"/>
                <w:kern w:val="0"/>
                <w:szCs w:val="21"/>
              </w:rPr>
            </w:pPr>
            <w:r>
              <w:rPr>
                <w:rFonts w:hint="eastAsia" w:ascii="仿宋" w:hAnsi="仿宋" w:eastAsia="仿宋" w:cs="宋体"/>
                <w:color w:val="000000"/>
                <w:kern w:val="0"/>
                <w:szCs w:val="21"/>
              </w:rPr>
              <w:t>LO71：</w:t>
            </w: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LO711爱党爱国：了解祖国的优秀传统文化和革命历史，构建爱党爱国的理想信念。</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LO712助人为乐：富于爱心，懂得感恩，具备助人为乐的品质。</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LO713奉献社会：具有服务企业、服务社会的意愿和行为能力。</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LO714爱护环境：具有爱护环境的意识和与自然和谐相处的环保理念。</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shd w:val="clear" w:color="auto" w:fill="auto"/>
            <w:vAlign w:val="center"/>
          </w:tcPr>
          <w:p>
            <w:pPr>
              <w:widowControl/>
              <w:rPr>
                <w:rFonts w:ascii="Times New Roman" w:hAnsi="Times New Roman"/>
                <w:kern w:val="0"/>
                <w:szCs w:val="21"/>
              </w:rPr>
            </w:pPr>
            <w:r>
              <w:rPr>
                <w:rFonts w:hint="eastAsia" w:ascii="仿宋" w:hAnsi="仿宋" w:eastAsia="仿宋" w:cs="宋体"/>
                <w:color w:val="000000"/>
                <w:kern w:val="0"/>
                <w:szCs w:val="21"/>
              </w:rPr>
              <w:t>LO81：</w:t>
            </w: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LO811具备外语表达沟通能力，达到本专业的要求。</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LO812理解其他国家历史文化，有跨文化交流能力。</w:t>
            </w:r>
          </w:p>
        </w:tc>
        <w:tc>
          <w:tcPr>
            <w:tcW w:w="618" w:type="dxa"/>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shd w:val="clear" w:color="auto" w:fill="auto"/>
            <w:vAlign w:val="center"/>
          </w:tcPr>
          <w:p>
            <w:pPr>
              <w:widowControl/>
              <w:rPr>
                <w:rFonts w:ascii="仿宋" w:hAnsi="仿宋" w:eastAsia="仿宋" w:cs="宋体"/>
                <w:color w:val="000000"/>
                <w:kern w:val="0"/>
                <w:szCs w:val="21"/>
              </w:rPr>
            </w:pPr>
          </w:p>
        </w:tc>
        <w:tc>
          <w:tcPr>
            <w:tcW w:w="6095" w:type="dxa"/>
            <w:shd w:val="clear" w:color="auto" w:fill="auto"/>
            <w:vAlign w:val="center"/>
          </w:tcPr>
          <w:p>
            <w:pPr>
              <w:widowControl/>
              <w:rPr>
                <w:rFonts w:ascii="Times New Roman" w:hAnsi="Times New Roman"/>
                <w:kern w:val="0"/>
                <w:szCs w:val="21"/>
              </w:rPr>
            </w:pPr>
            <w:r>
              <w:rPr>
                <w:rFonts w:hint="eastAsia" w:ascii="Times New Roman" w:hAnsi="Times New Roman"/>
                <w:kern w:val="0"/>
                <w:szCs w:val="21"/>
              </w:rPr>
              <w:t>LO813有国际竞争与合作意识。</w:t>
            </w:r>
          </w:p>
        </w:tc>
        <w:tc>
          <w:tcPr>
            <w:tcW w:w="618" w:type="dxa"/>
            <w:shd w:val="clear" w:color="auto" w:fill="auto"/>
            <w:vAlign w:val="center"/>
          </w:tcPr>
          <w:p>
            <w:pPr>
              <w:widowControl/>
              <w:jc w:val="center"/>
              <w:rPr>
                <w:rFonts w:ascii="仿宋" w:hAnsi="仿宋" w:eastAsia="仿宋" w:cs="宋体"/>
                <w:color w:val="000000"/>
                <w:kern w:val="0"/>
                <w:szCs w:val="21"/>
              </w:rPr>
            </w:pPr>
          </w:p>
        </w:tc>
      </w:tr>
    </w:tbl>
    <w:p>
      <w:pPr>
        <w:ind w:firstLine="420" w:firstLineChars="200"/>
      </w:pPr>
    </w:p>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spacing w:line="360" w:lineRule="auto"/>
        <w:ind w:firstLine="500" w:firstLineChars="250"/>
        <w:rPr>
          <w:sz w:val="20"/>
          <w:szCs w:val="20"/>
          <w:highlight w:val="yellow"/>
        </w:rPr>
      </w:pP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175" w:type="dxa"/>
            <w:shd w:val="clear" w:color="auto" w:fill="auto"/>
            <w:vAlign w:val="center"/>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LO211</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能根据需要确定学习目标，并设计学习计划。</w:t>
            </w:r>
          </w:p>
        </w:tc>
        <w:tc>
          <w:tcPr>
            <w:tcW w:w="2199"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1.帮助学生课前确认每篇课文学习目标，要求学生按照学习目标制定学习计划。</w:t>
            </w:r>
          </w:p>
          <w:p>
            <w:pPr>
              <w:snapToGrid w:val="0"/>
              <w:spacing w:line="288" w:lineRule="auto"/>
              <w:jc w:val="center"/>
              <w:rPr>
                <w:rFonts w:asciiTheme="minorEastAsia" w:hAnsiTheme="minorEastAsia" w:eastAsiaTheme="minorEastAsia"/>
                <w:sz w:val="20"/>
                <w:szCs w:val="20"/>
              </w:rPr>
            </w:pPr>
            <w:r>
              <w:rPr>
                <w:rFonts w:hint="eastAsia" w:cs="宋体" w:asciiTheme="minorEastAsia" w:hAnsiTheme="minorEastAsia" w:eastAsiaTheme="minorEastAsia"/>
                <w:color w:val="000000"/>
                <w:kern w:val="0"/>
                <w:sz w:val="20"/>
                <w:szCs w:val="20"/>
              </w:rPr>
              <w:t>2.每篇课文要求熟记单词、熟读会话、完成课后练习。</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检查背诵</w:t>
            </w:r>
          </w:p>
          <w:p>
            <w:pPr>
              <w:snapToGrid w:val="0"/>
              <w:spacing w:line="288" w:lineRule="auto"/>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1175" w:type="dxa"/>
            <w:shd w:val="clear" w:color="auto" w:fill="auto"/>
          </w:tcPr>
          <w:p>
            <w:pPr>
              <w:rPr>
                <w:rFonts w:cs="宋体" w:asciiTheme="minorEastAsia" w:hAnsiTheme="minorEastAsia" w:eastAsiaTheme="minorEastAsia"/>
                <w:color w:val="000000"/>
                <w:kern w:val="0"/>
                <w:sz w:val="20"/>
                <w:szCs w:val="20"/>
                <w:lang w:eastAsia="ja-JP"/>
              </w:rPr>
            </w:pPr>
            <w:r>
              <w:rPr>
                <w:rFonts w:hint="eastAsia" w:cs="宋体" w:asciiTheme="minorEastAsia" w:hAnsiTheme="minorEastAsia" w:eastAsiaTheme="minorEastAsia"/>
                <w:color w:val="000000"/>
                <w:kern w:val="0"/>
                <w:sz w:val="20"/>
                <w:szCs w:val="20"/>
              </w:rPr>
              <w:t>LO3</w:t>
            </w:r>
            <w:r>
              <w:rPr>
                <w:rFonts w:hint="eastAsia" w:cs="宋体" w:asciiTheme="minorEastAsia" w:hAnsiTheme="minorEastAsia" w:eastAsiaTheme="minorEastAsia"/>
                <w:color w:val="000000"/>
                <w:kern w:val="0"/>
                <w:sz w:val="20"/>
                <w:szCs w:val="20"/>
                <w:lang w:eastAsia="ja-JP"/>
              </w:rPr>
              <w:t>11</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能听懂正常语速下的日语对话，根据语调和重音理解说话者的意图，能听懂语段内容，并提取信息和观点。</w:t>
            </w:r>
          </w:p>
        </w:tc>
        <w:tc>
          <w:tcPr>
            <w:tcW w:w="2199" w:type="dxa"/>
            <w:shd w:val="clear" w:color="auto" w:fill="auto"/>
          </w:tcPr>
          <w:p>
            <w:pPr>
              <w:pStyle w:val="9"/>
              <w:numPr>
                <w:ilvl w:val="0"/>
                <w:numId w:val="1"/>
              </w:numPr>
              <w:snapToGrid w:val="0"/>
              <w:spacing w:line="288" w:lineRule="auto"/>
              <w:ind w:leftChars="0"/>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详细解说单词的意思及用法，特别是在课文中的使用。</w:t>
            </w:r>
          </w:p>
          <w:p>
            <w:pPr>
              <w:pStyle w:val="9"/>
              <w:numPr>
                <w:ilvl w:val="0"/>
                <w:numId w:val="1"/>
              </w:numPr>
              <w:snapToGrid w:val="0"/>
              <w:spacing w:line="288" w:lineRule="auto"/>
              <w:ind w:leftChars="0"/>
              <w:jc w:val="center"/>
              <w:rPr>
                <w:rFonts w:asciiTheme="minorEastAsia" w:hAnsiTheme="minorEastAsia" w:eastAsiaTheme="minorEastAsia"/>
                <w:sz w:val="20"/>
                <w:szCs w:val="20"/>
              </w:rPr>
            </w:pPr>
            <w:r>
              <w:rPr>
                <w:rFonts w:hint="eastAsia" w:cs="宋体" w:asciiTheme="minorEastAsia" w:hAnsiTheme="minorEastAsia" w:eastAsiaTheme="minorEastAsia"/>
                <w:color w:val="000000"/>
                <w:kern w:val="0"/>
                <w:sz w:val="20"/>
                <w:szCs w:val="20"/>
              </w:rPr>
              <w:t>详细解说本课出现语法及句型，进行简单造句、会话练习。</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课堂检查</w:t>
            </w:r>
          </w:p>
          <w:p>
            <w:pPr>
              <w:snapToGrid w:val="0"/>
              <w:spacing w:line="288" w:lineRule="auto"/>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课堂提问</w:t>
            </w:r>
          </w:p>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口头作业</w:t>
            </w:r>
          </w:p>
          <w:p>
            <w:pPr>
              <w:snapToGrid w:val="0"/>
              <w:spacing w:line="288" w:lineRule="auto"/>
              <w:jc w:val="center"/>
              <w:rPr>
                <w:rFonts w:asciiTheme="minorEastAsia" w:hAnsiTheme="minorEastAsia" w:eastAsiaTheme="minorEastAsia"/>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1175"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L0312</w:t>
            </w:r>
          </w:p>
        </w:tc>
        <w:tc>
          <w:tcPr>
            <w:tcW w:w="2470" w:type="dxa"/>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掌握正确的发音，能够使用日语进行交流与表达。</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cs="宋体" w:asciiTheme="minorEastAsia" w:hAnsiTheme="minorEastAsia" w:eastAsiaTheme="minorEastAsia"/>
                <w:color w:val="000000"/>
                <w:kern w:val="0"/>
                <w:sz w:val="20"/>
                <w:szCs w:val="20"/>
              </w:rPr>
              <w:t>根据课文会话内容</w:t>
            </w:r>
            <w:r>
              <w:rPr>
                <w:rFonts w:hint="eastAsia" w:cs="宋体" w:asciiTheme="minorEastAsia" w:hAnsiTheme="minorEastAsia" w:eastAsiaTheme="minorEastAsia"/>
                <w:color w:val="000000"/>
                <w:kern w:val="0"/>
                <w:sz w:val="20"/>
                <w:szCs w:val="20"/>
              </w:rPr>
              <w:t>，</w:t>
            </w:r>
            <w:r>
              <w:rPr>
                <w:rFonts w:cs="宋体" w:asciiTheme="minorEastAsia" w:hAnsiTheme="minorEastAsia" w:eastAsiaTheme="minorEastAsia"/>
                <w:color w:val="000000"/>
                <w:kern w:val="0"/>
                <w:sz w:val="20"/>
                <w:szCs w:val="20"/>
              </w:rPr>
              <w:t>学习场景模拟</w:t>
            </w:r>
            <w:r>
              <w:rPr>
                <w:rFonts w:hint="eastAsia" w:cs="宋体" w:asciiTheme="minorEastAsia" w:hAnsiTheme="minorEastAsia" w:eastAsiaTheme="minorEastAsia"/>
                <w:color w:val="000000"/>
                <w:kern w:val="0"/>
                <w:sz w:val="20"/>
                <w:szCs w:val="20"/>
              </w:rPr>
              <w:t>会话。</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cs="宋体" w:asciiTheme="minorEastAsia" w:hAnsiTheme="minorEastAsia" w:eastAsiaTheme="minorEastAsia"/>
                <w:color w:val="000000"/>
                <w:kern w:val="0"/>
                <w:sz w:val="20"/>
                <w:szCs w:val="20"/>
              </w:rPr>
              <w:t>场景模拟会话练习</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200" w:firstLineChars="100"/>
        <w:rPr>
          <w:rFonts w:ascii="宋体" w:hAnsi="宋体" w:eastAsia="MS Mincho"/>
          <w:sz w:val="20"/>
          <w:szCs w:val="20"/>
          <w:lang w:eastAsia="ja-JP"/>
        </w:rPr>
      </w:pPr>
      <w:r>
        <w:rPr>
          <w:rFonts w:hint="eastAsia" w:ascii="宋体" w:hAnsi="宋体" w:eastAsia="MS Mincho"/>
          <w:sz w:val="20"/>
          <w:szCs w:val="20"/>
          <w:lang w:eastAsia="ja-JP"/>
        </w:rPr>
        <w:t>教科書は全１２課から構成される。基本は１課を２コマの授業で行うが、最初は学生の様子を観察しながら理解度に合わせて進める。１課は「1．単語、2．基礎会話１～３、3．応用会話１～２、4．挑戦問題」で構成されている。</w:t>
      </w:r>
    </w:p>
    <w:p>
      <w:pPr>
        <w:snapToGrid w:val="0"/>
        <w:spacing w:line="288" w:lineRule="auto"/>
        <w:ind w:firstLine="200" w:firstLineChars="100"/>
        <w:rPr>
          <w:rFonts w:ascii="宋体" w:hAnsi="宋体" w:eastAsia="MS Mincho"/>
          <w:sz w:val="20"/>
          <w:szCs w:val="20"/>
          <w:lang w:eastAsia="ja-JP"/>
        </w:rPr>
      </w:pPr>
      <w:r>
        <w:rPr>
          <w:rFonts w:hint="eastAsia" w:ascii="宋体" w:hAnsi="宋体" w:eastAsia="MS Mincho"/>
          <w:sz w:val="20"/>
          <w:szCs w:val="20"/>
          <w:lang w:eastAsia="ja-JP"/>
        </w:rPr>
        <w:t>授業は教師との実際の会話練習を主とする。密度の濃い授業内容にするため、予習と復習（宿題）を必須とする。</w:t>
      </w:r>
    </w:p>
    <w:p>
      <w:pPr>
        <w:snapToGrid w:val="0"/>
        <w:spacing w:line="288" w:lineRule="auto"/>
        <w:rPr>
          <w:rFonts w:ascii="宋体" w:hAnsi="宋体"/>
          <w:sz w:val="20"/>
          <w:szCs w:val="20"/>
          <w:lang w:eastAsia="ja-JP"/>
        </w:rPr>
      </w:pP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84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napToGrid w:val="0"/>
              <w:spacing w:line="288" w:lineRule="auto"/>
              <w:jc w:val="center"/>
              <w:rPr>
                <w:bCs/>
                <w:sz w:val="20"/>
                <w:szCs w:val="20"/>
              </w:rPr>
            </w:pPr>
            <w:r>
              <w:rPr>
                <w:rFonts w:hint="eastAsia"/>
                <w:bCs/>
                <w:sz w:val="20"/>
                <w:szCs w:val="20"/>
              </w:rPr>
              <w:t>课文构成：</w:t>
            </w:r>
          </w:p>
        </w:tc>
        <w:tc>
          <w:tcPr>
            <w:tcW w:w="1843" w:type="dxa"/>
            <w:vAlign w:val="center"/>
          </w:tcPr>
          <w:p>
            <w:pPr>
              <w:snapToGrid w:val="0"/>
              <w:spacing w:line="288" w:lineRule="auto"/>
              <w:jc w:val="center"/>
              <w:rPr>
                <w:bCs/>
                <w:sz w:val="20"/>
                <w:szCs w:val="20"/>
              </w:rPr>
            </w:pPr>
            <w:r>
              <w:rPr>
                <w:rFonts w:hint="eastAsia"/>
                <w:bCs/>
                <w:sz w:val="20"/>
                <w:szCs w:val="20"/>
              </w:rPr>
              <w:t>认知能力（6层次）</w:t>
            </w:r>
          </w:p>
        </w:tc>
        <w:tc>
          <w:tcPr>
            <w:tcW w:w="4536" w:type="dxa"/>
            <w:vAlign w:val="center"/>
          </w:tcPr>
          <w:p>
            <w:pPr>
              <w:snapToGrid w:val="0"/>
              <w:spacing w:line="288" w:lineRule="auto"/>
              <w:jc w:val="center"/>
              <w:rPr>
                <w:bCs/>
                <w:sz w:val="20"/>
                <w:szCs w:val="20"/>
              </w:rPr>
            </w:pPr>
            <w:r>
              <w:rPr>
                <w:rFonts w:hint="eastAsia"/>
                <w:bCs/>
                <w:sz w:val="20"/>
                <w:szCs w:val="20"/>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napToGrid w:val="0"/>
              <w:spacing w:line="288" w:lineRule="auto"/>
              <w:jc w:val="center"/>
              <w:rPr>
                <w:bCs/>
                <w:sz w:val="20"/>
                <w:szCs w:val="20"/>
              </w:rPr>
            </w:pPr>
            <w:r>
              <w:rPr>
                <w:rFonts w:hint="eastAsia"/>
                <w:bCs/>
                <w:sz w:val="20"/>
                <w:szCs w:val="20"/>
              </w:rPr>
              <w:t>单词</w:t>
            </w:r>
          </w:p>
        </w:tc>
        <w:tc>
          <w:tcPr>
            <w:tcW w:w="1843" w:type="dxa"/>
            <w:vAlign w:val="center"/>
          </w:tcPr>
          <w:p>
            <w:pPr>
              <w:snapToGrid w:val="0"/>
              <w:spacing w:line="288" w:lineRule="auto"/>
              <w:jc w:val="center"/>
              <w:rPr>
                <w:bCs/>
                <w:sz w:val="20"/>
                <w:szCs w:val="20"/>
              </w:rPr>
            </w:pPr>
            <w:r>
              <w:rPr>
                <w:rFonts w:hint="eastAsia"/>
                <w:bCs/>
                <w:sz w:val="20"/>
                <w:szCs w:val="20"/>
              </w:rPr>
              <w:t>L1知道</w:t>
            </w:r>
          </w:p>
        </w:tc>
        <w:tc>
          <w:tcPr>
            <w:tcW w:w="4536" w:type="dxa"/>
            <w:vAlign w:val="center"/>
          </w:tcPr>
          <w:p>
            <w:pPr>
              <w:snapToGrid w:val="0"/>
              <w:spacing w:line="288" w:lineRule="auto"/>
              <w:jc w:val="left"/>
              <w:rPr>
                <w:bCs/>
                <w:sz w:val="20"/>
                <w:szCs w:val="20"/>
                <w:lang w:eastAsia="ja-JP"/>
              </w:rPr>
            </w:pPr>
            <w:r>
              <w:rPr>
                <w:rFonts w:hint="eastAsia"/>
                <w:bCs/>
                <w:sz w:val="20"/>
                <w:szCs w:val="20"/>
              </w:rPr>
              <w:t>熟记单词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napToGrid w:val="0"/>
              <w:spacing w:line="288" w:lineRule="auto"/>
              <w:jc w:val="center"/>
              <w:rPr>
                <w:bCs/>
                <w:sz w:val="20"/>
                <w:szCs w:val="20"/>
              </w:rPr>
            </w:pPr>
            <w:r>
              <w:rPr>
                <w:rFonts w:hint="eastAsia"/>
                <w:bCs/>
                <w:sz w:val="20"/>
                <w:szCs w:val="20"/>
              </w:rPr>
              <w:t>会话</w:t>
            </w:r>
          </w:p>
        </w:tc>
        <w:tc>
          <w:tcPr>
            <w:tcW w:w="1843" w:type="dxa"/>
            <w:vAlign w:val="center"/>
          </w:tcPr>
          <w:p>
            <w:pPr>
              <w:snapToGrid w:val="0"/>
              <w:spacing w:line="288" w:lineRule="auto"/>
              <w:jc w:val="center"/>
              <w:rPr>
                <w:bCs/>
                <w:sz w:val="20"/>
                <w:szCs w:val="20"/>
              </w:rPr>
            </w:pPr>
            <w:r>
              <w:rPr>
                <w:rFonts w:hint="eastAsia"/>
                <w:bCs/>
                <w:sz w:val="20"/>
                <w:szCs w:val="20"/>
              </w:rPr>
              <w:t>L3运用</w:t>
            </w:r>
          </w:p>
        </w:tc>
        <w:tc>
          <w:tcPr>
            <w:tcW w:w="4536" w:type="dxa"/>
            <w:vAlign w:val="center"/>
          </w:tcPr>
          <w:p>
            <w:pPr>
              <w:snapToGrid w:val="0"/>
              <w:spacing w:line="288" w:lineRule="auto"/>
              <w:jc w:val="left"/>
              <w:rPr>
                <w:bCs/>
                <w:sz w:val="20"/>
                <w:szCs w:val="20"/>
              </w:rPr>
            </w:pPr>
            <w:r>
              <w:rPr>
                <w:rFonts w:hint="eastAsia"/>
                <w:bCs/>
                <w:sz w:val="20"/>
                <w:szCs w:val="20"/>
              </w:rPr>
              <w:t>要求模仿课文会话内容，设置场景进行会话练习。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napToGrid w:val="0"/>
              <w:spacing w:line="288" w:lineRule="auto"/>
              <w:jc w:val="center"/>
              <w:rPr>
                <w:bCs/>
                <w:sz w:val="20"/>
                <w:szCs w:val="20"/>
              </w:rPr>
            </w:pPr>
            <w:r>
              <w:rPr>
                <w:rFonts w:hint="eastAsia"/>
                <w:bCs/>
                <w:sz w:val="20"/>
                <w:szCs w:val="20"/>
              </w:rPr>
              <w:t>词语与表达</w:t>
            </w:r>
          </w:p>
        </w:tc>
        <w:tc>
          <w:tcPr>
            <w:tcW w:w="1843" w:type="dxa"/>
            <w:vAlign w:val="center"/>
          </w:tcPr>
          <w:p>
            <w:pPr>
              <w:snapToGrid w:val="0"/>
              <w:spacing w:line="288" w:lineRule="auto"/>
              <w:jc w:val="center"/>
              <w:rPr>
                <w:bCs/>
                <w:sz w:val="20"/>
                <w:szCs w:val="20"/>
              </w:rPr>
            </w:pPr>
            <w:r>
              <w:rPr>
                <w:rFonts w:hint="eastAsia"/>
                <w:bCs/>
                <w:sz w:val="20"/>
                <w:szCs w:val="20"/>
              </w:rPr>
              <w:t>L3运用</w:t>
            </w:r>
          </w:p>
        </w:tc>
        <w:tc>
          <w:tcPr>
            <w:tcW w:w="4536" w:type="dxa"/>
            <w:vAlign w:val="center"/>
          </w:tcPr>
          <w:p>
            <w:pPr>
              <w:snapToGrid w:val="0"/>
              <w:spacing w:line="288" w:lineRule="auto"/>
              <w:jc w:val="left"/>
              <w:rPr>
                <w:bCs/>
                <w:sz w:val="20"/>
                <w:szCs w:val="20"/>
              </w:rPr>
            </w:pPr>
            <w:r>
              <w:rPr>
                <w:rFonts w:hint="eastAsia"/>
                <w:bCs/>
                <w:sz w:val="20"/>
                <w:szCs w:val="20"/>
              </w:rPr>
              <w:t>熟记的基础上加以理解及运用。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napToGrid w:val="0"/>
              <w:spacing w:line="288" w:lineRule="auto"/>
              <w:jc w:val="center"/>
              <w:rPr>
                <w:bCs/>
                <w:sz w:val="20"/>
                <w:szCs w:val="20"/>
              </w:rPr>
            </w:pPr>
            <w:r>
              <w:rPr>
                <w:rFonts w:hint="eastAsia"/>
                <w:bCs/>
                <w:sz w:val="20"/>
                <w:szCs w:val="20"/>
              </w:rPr>
              <w:t>功能用语</w:t>
            </w:r>
          </w:p>
        </w:tc>
        <w:tc>
          <w:tcPr>
            <w:tcW w:w="1843" w:type="dxa"/>
            <w:vAlign w:val="center"/>
          </w:tcPr>
          <w:p>
            <w:pPr>
              <w:snapToGrid w:val="0"/>
              <w:spacing w:line="288" w:lineRule="auto"/>
              <w:jc w:val="center"/>
              <w:rPr>
                <w:bCs/>
                <w:sz w:val="20"/>
                <w:szCs w:val="20"/>
              </w:rPr>
            </w:pPr>
            <w:r>
              <w:rPr>
                <w:rFonts w:hint="eastAsia"/>
                <w:bCs/>
                <w:sz w:val="20"/>
                <w:szCs w:val="20"/>
              </w:rPr>
              <w:t>L1知道</w:t>
            </w:r>
          </w:p>
        </w:tc>
        <w:tc>
          <w:tcPr>
            <w:tcW w:w="4536" w:type="dxa"/>
            <w:vAlign w:val="center"/>
          </w:tcPr>
          <w:p>
            <w:pPr>
              <w:snapToGrid w:val="0"/>
              <w:spacing w:line="288" w:lineRule="auto"/>
              <w:jc w:val="left"/>
              <w:rPr>
                <w:bCs/>
                <w:sz w:val="20"/>
                <w:szCs w:val="20"/>
              </w:rPr>
            </w:pPr>
            <w:r>
              <w:rPr>
                <w:rFonts w:hint="eastAsia"/>
                <w:bCs/>
                <w:sz w:val="20"/>
                <w:szCs w:val="20"/>
              </w:rPr>
              <w:t>只要求模仿，通过日积月累提高口语交际能力。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napToGrid w:val="0"/>
              <w:spacing w:line="288" w:lineRule="auto"/>
              <w:jc w:val="center"/>
              <w:rPr>
                <w:bCs/>
                <w:sz w:val="20"/>
                <w:szCs w:val="20"/>
              </w:rPr>
            </w:pPr>
            <w:r>
              <w:rPr>
                <w:rFonts w:hint="eastAsia"/>
                <w:bCs/>
                <w:sz w:val="20"/>
                <w:szCs w:val="20"/>
              </w:rPr>
              <w:t>练习组成</w:t>
            </w:r>
          </w:p>
        </w:tc>
        <w:tc>
          <w:tcPr>
            <w:tcW w:w="1843" w:type="dxa"/>
            <w:vAlign w:val="center"/>
          </w:tcPr>
          <w:p>
            <w:pPr>
              <w:snapToGrid w:val="0"/>
              <w:spacing w:line="288" w:lineRule="auto"/>
              <w:jc w:val="center"/>
              <w:rPr>
                <w:bCs/>
                <w:sz w:val="20"/>
                <w:szCs w:val="20"/>
              </w:rPr>
            </w:pPr>
            <w:r>
              <w:rPr>
                <w:rFonts w:hint="eastAsia"/>
                <w:bCs/>
                <w:sz w:val="20"/>
                <w:szCs w:val="20"/>
              </w:rPr>
              <w:t>L3运用</w:t>
            </w:r>
          </w:p>
        </w:tc>
        <w:tc>
          <w:tcPr>
            <w:tcW w:w="4536" w:type="dxa"/>
            <w:vAlign w:val="center"/>
          </w:tcPr>
          <w:p>
            <w:pPr>
              <w:snapToGrid w:val="0"/>
              <w:spacing w:line="288" w:lineRule="auto"/>
              <w:jc w:val="left"/>
              <w:rPr>
                <w:bCs/>
                <w:sz w:val="20"/>
                <w:szCs w:val="20"/>
              </w:rPr>
            </w:pPr>
            <w:r>
              <w:rPr>
                <w:rFonts w:hint="eastAsia"/>
                <w:bCs/>
                <w:sz w:val="20"/>
                <w:szCs w:val="20"/>
              </w:rPr>
              <w:t>通过练习考查本课知识掌握情况。</w:t>
            </w:r>
          </w:p>
        </w:tc>
      </w:tr>
    </w:tbl>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2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650"/>
        <w:gridCol w:w="3301"/>
        <w:gridCol w:w="917"/>
        <w:gridCol w:w="1077"/>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Cs w:val="21"/>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eastAsia="MS Mincho"/>
                <w:szCs w:val="21"/>
                <w:lang w:eastAsia="ja-JP"/>
              </w:rPr>
            </w:pPr>
            <w:r>
              <w:rPr>
                <w:rFonts w:hint="eastAsia" w:ascii="宋体" w:eastAsia="MS Mincho"/>
                <w:szCs w:val="21"/>
                <w:lang w:eastAsia="ja-JP"/>
              </w:rPr>
              <w:t>思い出</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lang w:eastAsia="ja-JP"/>
              </w:rPr>
            </w:pPr>
            <w:r>
              <w:rPr>
                <w:rFonts w:hint="eastAsia" w:ascii="MS Mincho" w:hAnsi="MS Mincho" w:eastAsia="MS Mincho"/>
                <w:color w:val="000000"/>
                <w:kern w:val="0"/>
                <w:szCs w:val="21"/>
                <w:lang w:eastAsia="ja-JP"/>
              </w:rPr>
              <w:t>動詞の可能形と知覚動詞を学び会話できる</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rFonts w:ascii="宋体"/>
                <w:sz w:val="16"/>
                <w:szCs w:val="16"/>
              </w:rPr>
            </w:pPr>
            <w:r>
              <w:rPr>
                <w:rFonts w:hint="eastAsia" w:ascii="宋体"/>
                <w:szCs w:val="21"/>
              </w:rPr>
              <w:t>综合型</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Cs w:val="21"/>
              </w:rPr>
              <w:t>两周</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Cs w:val="21"/>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見物</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lang w:eastAsia="ja-JP"/>
              </w:rPr>
            </w:pPr>
            <w:r>
              <w:rPr>
                <w:rFonts w:hint="eastAsia" w:ascii="MS Mincho" w:hAnsi="MS Mincho" w:eastAsia="MS Mincho"/>
                <w:color w:val="000000"/>
                <w:kern w:val="0"/>
                <w:szCs w:val="21"/>
                <w:lang w:eastAsia="ja-JP"/>
              </w:rPr>
              <w:t>引用に使用する語法、疑問を表す語法を学び会話できる</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rFonts w:ascii="宋体"/>
                <w:sz w:val="16"/>
                <w:szCs w:val="16"/>
              </w:rPr>
            </w:pPr>
            <w:r>
              <w:rPr>
                <w:rFonts w:hint="eastAsia" w:ascii="宋体"/>
                <w:szCs w:val="21"/>
              </w:rPr>
              <w:t>综合型</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Cs w:val="21"/>
              </w:rPr>
              <w:t>两周</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Cs w:val="21"/>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冬休み</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lang w:eastAsia="ja-JP"/>
              </w:rPr>
            </w:pPr>
            <w:r>
              <w:rPr>
                <w:rFonts w:hint="eastAsia" w:ascii="MS Mincho" w:hAnsi="MS Mincho" w:eastAsia="MS Mincho"/>
                <w:color w:val="000000"/>
                <w:kern w:val="0"/>
                <w:szCs w:val="21"/>
                <w:lang w:eastAsia="ja-JP"/>
              </w:rPr>
              <w:t>動詞と形容詞の変化を表す語法、自動詞・他動詞を学び会話できる</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rFonts w:ascii="宋体"/>
                <w:sz w:val="16"/>
                <w:szCs w:val="16"/>
              </w:rPr>
            </w:pPr>
            <w:r>
              <w:rPr>
                <w:rFonts w:hint="eastAsia" w:ascii="宋体"/>
                <w:szCs w:val="21"/>
              </w:rPr>
              <w:t>综合型</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Cs w:val="21"/>
              </w:rPr>
              <w:t>两周</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Cs w:val="21"/>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勉強</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lang w:eastAsia="ja-JP"/>
              </w:rPr>
            </w:pPr>
            <w:r>
              <w:rPr>
                <w:rFonts w:hint="eastAsia" w:ascii="MS Mincho" w:hAnsi="MS Mincho" w:eastAsia="MS Mincho"/>
                <w:color w:val="000000"/>
                <w:kern w:val="0"/>
                <w:szCs w:val="21"/>
                <w:lang w:eastAsia="ja-JP"/>
              </w:rPr>
              <w:t>テンスに関する語法を学び会話できる</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rFonts w:ascii="宋体"/>
                <w:sz w:val="16"/>
                <w:szCs w:val="16"/>
              </w:rPr>
            </w:pPr>
            <w:r>
              <w:rPr>
                <w:rFonts w:hint="eastAsia" w:ascii="宋体"/>
                <w:szCs w:val="21"/>
              </w:rPr>
              <w:t>综合型</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Cs w:val="21"/>
              </w:rPr>
              <w:t>两周</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Cs w:val="21"/>
              </w:rPr>
              <w:t>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英会話</w:t>
            </w:r>
          </w:p>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小テスト</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lang w:eastAsia="ja-JP"/>
              </w:rPr>
            </w:pPr>
            <w:r>
              <w:rPr>
                <w:rFonts w:hint="eastAsia" w:ascii="MS Mincho" w:hAnsi="MS Mincho" w:eastAsia="MS Mincho"/>
                <w:color w:val="000000"/>
                <w:kern w:val="0"/>
                <w:szCs w:val="21"/>
                <w:lang w:eastAsia="ja-JP"/>
              </w:rPr>
              <w:t>～ばかりと～ところの違い、努力、状態、完了を表す語法を学び会話できる</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rFonts w:ascii="宋体"/>
                <w:sz w:val="16"/>
                <w:szCs w:val="16"/>
              </w:rPr>
            </w:pPr>
            <w:r>
              <w:rPr>
                <w:rFonts w:hint="eastAsia" w:ascii="宋体"/>
                <w:szCs w:val="21"/>
              </w:rPr>
              <w:t>综合型</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Cs w:val="21"/>
              </w:rPr>
              <w:t>两周</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ascii="宋体"/>
                <w:szCs w:val="21"/>
              </w:rPr>
              <w:t>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文化祭</w:t>
            </w:r>
          </w:p>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社会見学</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MS Mincho" w:hAnsi="MS Mincho"/>
                <w:color w:val="000000"/>
                <w:kern w:val="0"/>
                <w:szCs w:val="21"/>
                <w:lang w:eastAsia="ja-JP"/>
              </w:rPr>
            </w:pPr>
            <w:r>
              <w:rPr>
                <w:rFonts w:hint="eastAsia" w:ascii="MS Mincho" w:hAnsi="MS Mincho" w:eastAsia="MS Mincho"/>
                <w:color w:val="000000"/>
                <w:kern w:val="0"/>
                <w:szCs w:val="21"/>
                <w:lang w:eastAsia="ja-JP"/>
              </w:rPr>
              <w:t>意志、推量、変化の表現で使用する語法を学び会話できる</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rFonts w:ascii="宋体"/>
                <w:szCs w:val="21"/>
              </w:rPr>
            </w:pPr>
            <w:r>
              <w:rPr>
                <w:rFonts w:hint="eastAsia" w:ascii="宋体"/>
                <w:szCs w:val="21"/>
              </w:rPr>
              <w:t>综合型</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两周</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ascii="宋体"/>
                <w:szCs w:val="21"/>
              </w:rPr>
              <w:t>7</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協力</w:t>
            </w:r>
          </w:p>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病院で</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color w:val="000000"/>
                <w:kern w:val="0"/>
                <w:szCs w:val="21"/>
                <w:lang w:eastAsia="ja-JP"/>
              </w:rPr>
            </w:pPr>
            <w:r>
              <w:rPr>
                <w:rFonts w:hint="eastAsia" w:ascii="MS Mincho" w:hAnsi="MS Mincho" w:eastAsia="MS Mincho"/>
                <w:color w:val="000000"/>
                <w:kern w:val="0"/>
                <w:szCs w:val="21"/>
                <w:lang w:eastAsia="ja-JP"/>
              </w:rPr>
              <w:t>授受表現、状況説明、予測、比喩、例示に使用する語法を学び会話できる</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rFonts w:ascii="宋体"/>
                <w:szCs w:val="21"/>
              </w:rPr>
            </w:pPr>
            <w:r>
              <w:rPr>
                <w:rFonts w:hint="eastAsia" w:ascii="宋体"/>
                <w:szCs w:val="21"/>
              </w:rPr>
              <w:t>综合型</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两周</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ascii="宋体"/>
                <w:szCs w:val="21"/>
              </w:rPr>
              <w:t>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アルバイト</w:t>
            </w:r>
          </w:p>
          <w:p>
            <w:pPr>
              <w:snapToGrid w:val="0"/>
              <w:spacing w:before="156" w:beforeLines="50" w:after="156" w:afterLines="50" w:line="288" w:lineRule="auto"/>
              <w:jc w:val="center"/>
              <w:rPr>
                <w:rFonts w:ascii="MS Mincho" w:hAnsi="MS Mincho" w:eastAsia="MS Mincho"/>
                <w:szCs w:val="21"/>
                <w:lang w:eastAsia="ja-JP"/>
              </w:rPr>
            </w:pPr>
            <w:r>
              <w:rPr>
                <w:rFonts w:hint="eastAsia" w:ascii="MS Mincho" w:hAnsi="MS Mincho" w:eastAsia="MS Mincho"/>
                <w:szCs w:val="21"/>
                <w:lang w:eastAsia="ja-JP"/>
              </w:rPr>
              <w:t>旅行</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color w:val="000000"/>
                <w:kern w:val="0"/>
                <w:szCs w:val="21"/>
                <w:lang w:eastAsia="ja-JP"/>
              </w:rPr>
            </w:pPr>
            <w:r>
              <w:rPr>
                <w:rFonts w:hint="eastAsia" w:ascii="MS Mincho" w:hAnsi="MS Mincho" w:eastAsia="MS Mincho"/>
                <w:color w:val="000000"/>
                <w:kern w:val="0"/>
                <w:szCs w:val="21"/>
                <w:lang w:eastAsia="ja-JP"/>
              </w:rPr>
              <w:t>推測、伝聞、条件を表す語法を学び会話できる</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rFonts w:ascii="宋体"/>
                <w:szCs w:val="21"/>
              </w:rPr>
            </w:pPr>
            <w:r>
              <w:rPr>
                <w:rFonts w:hint="eastAsia" w:ascii="宋体"/>
                <w:szCs w:val="21"/>
              </w:rPr>
              <w:t>综合型</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两周</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r>
        <w:rPr>
          <w:rFonts w:hint="eastAsia" w:ascii="黑体" w:hAnsi="宋体" w:eastAsia="黑体"/>
          <w:sz w:val="24"/>
        </w:rPr>
        <w:t>八、评价方式与成绩</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lang w:eastAsia="ja-JP"/>
              </w:rPr>
            </w:pPr>
            <w:r>
              <w:rPr>
                <w:rFonts w:hint="eastAsia" w:asciiTheme="majorEastAsia" w:hAnsiTheme="majorEastAsia" w:eastAsiaTheme="majorEastAsia" w:cstheme="majorEastAsia"/>
                <w:bCs/>
                <w:color w:val="000000"/>
                <w:szCs w:val="20"/>
              </w:rPr>
              <w:t>期末考试</w:t>
            </w:r>
            <w:r>
              <w:rPr>
                <w:rFonts w:hint="eastAsia" w:ascii="宋体" w:hAnsi="宋体" w:cstheme="majorEastAsia"/>
                <w:bCs/>
                <w:color w:val="000000"/>
                <w:szCs w:val="20"/>
                <w:lang w:eastAsia="ja-JP"/>
              </w:rPr>
              <w:t>(</w:t>
            </w:r>
            <w:r>
              <w:rPr>
                <w:rFonts w:hint="eastAsia" w:ascii="宋体" w:hAnsi="宋体"/>
                <w:color w:val="000000"/>
                <w:sz w:val="20"/>
                <w:szCs w:val="20"/>
              </w:rPr>
              <w:t>口试</w:t>
            </w:r>
            <w:r>
              <w:rPr>
                <w:rFonts w:hint="eastAsia" w:ascii="宋体" w:hAnsi="宋体"/>
                <w:color w:val="000000"/>
                <w:sz w:val="20"/>
                <w:szCs w:val="20"/>
                <w:lang w:eastAsia="ja-JP"/>
              </w:rPr>
              <w: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MS Mincho" w:hAnsi="MS Mincho" w:eastAsia="MS Mincho"/>
                <w:bCs/>
                <w:color w:val="000000"/>
                <w:szCs w:val="20"/>
                <w:lang w:eastAsia="ja-JP"/>
              </w:rPr>
              <w:t>６０％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lang w:eastAsia="ja-JP"/>
              </w:rPr>
            </w:pPr>
            <w:r>
              <w:rPr>
                <w:rFonts w:hint="eastAsia" w:asciiTheme="minorEastAsia" w:hAnsiTheme="minorEastAsia" w:eastAsiaTheme="minorEastAsia"/>
                <w:bCs/>
                <w:color w:val="000000"/>
              </w:rPr>
              <w:t>平时成绩（</w:t>
            </w:r>
            <w:r>
              <w:rPr>
                <w:rFonts w:hint="eastAsia" w:asciiTheme="majorEastAsia" w:hAnsiTheme="majorEastAsia" w:eastAsiaTheme="majorEastAsia" w:cstheme="majorEastAsia"/>
                <w:bCs/>
                <w:color w:val="000000"/>
              </w:rPr>
              <w:t>随堂测试</w:t>
            </w:r>
            <w:r>
              <w:rPr>
                <w:rFonts w:hint="eastAsia" w:asciiTheme="minorEastAsia" w:hAnsiTheme="minorEastAsia" w:eastAsiaTheme="minorEastAsia"/>
                <w:bCs/>
                <w:color w:val="000000"/>
              </w:rPr>
              <w:t>+</w:t>
            </w:r>
            <w:r>
              <w:rPr>
                <w:rFonts w:hint="eastAsia" w:asciiTheme="majorEastAsia" w:hAnsiTheme="majorEastAsia" w:eastAsiaTheme="majorEastAsia" w:cstheme="majorEastAsia"/>
                <w:bCs/>
                <w:color w:val="000000"/>
              </w:rPr>
              <w:t>课后作业等</w:t>
            </w:r>
            <w:r>
              <w:rPr>
                <w:rFonts w:hint="eastAsia" w:asciiTheme="minorEastAsia" w:hAnsiTheme="minorEastAsia" w:eastAsiaTheme="minorEastAsia"/>
                <w:bCs/>
                <w:color w:val="000000"/>
              </w:rPr>
              <w: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MS Mincho" w:hAnsi="MS Mincho" w:eastAsia="MS Mincho"/>
                <w:bCs/>
                <w:color w:val="000000"/>
                <w:szCs w:val="20"/>
                <w:lang w:eastAsia="ja-JP"/>
              </w:rPr>
              <w:t>１５％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lang w:eastAsia="ja-JP"/>
              </w:rPr>
            </w:pPr>
            <w:r>
              <w:rPr>
                <w:rFonts w:hint="eastAsia" w:asciiTheme="minorEastAsia" w:hAnsiTheme="minorEastAsia" w:eastAsiaTheme="minorEastAsia"/>
                <w:bCs/>
                <w:color w:val="000000"/>
              </w:rPr>
              <w:t>平时成绩（</w:t>
            </w:r>
            <w:r>
              <w:rPr>
                <w:rFonts w:hint="eastAsia" w:asciiTheme="majorEastAsia" w:hAnsiTheme="majorEastAsia" w:eastAsiaTheme="majorEastAsia" w:cstheme="majorEastAsia"/>
                <w:bCs/>
                <w:color w:val="000000"/>
              </w:rPr>
              <w:t>随堂测试</w:t>
            </w:r>
            <w:r>
              <w:rPr>
                <w:rFonts w:hint="eastAsia" w:asciiTheme="minorEastAsia" w:hAnsiTheme="minorEastAsia" w:eastAsiaTheme="minorEastAsia"/>
                <w:bCs/>
                <w:color w:val="000000"/>
              </w:rPr>
              <w:t>+</w:t>
            </w:r>
            <w:r>
              <w:rPr>
                <w:rFonts w:hint="eastAsia" w:asciiTheme="majorEastAsia" w:hAnsiTheme="majorEastAsia" w:eastAsiaTheme="majorEastAsia" w:cstheme="majorEastAsia"/>
                <w:bCs/>
                <w:color w:val="000000"/>
              </w:rPr>
              <w:t>课后作业等</w:t>
            </w:r>
            <w:r>
              <w:rPr>
                <w:rFonts w:hint="eastAsia" w:asciiTheme="minorEastAsia" w:hAnsiTheme="minorEastAsia" w:eastAsiaTheme="minorEastAsia"/>
                <w:bCs/>
                <w:color w:val="000000"/>
              </w:rPr>
              <w: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MS Mincho" w:hAnsi="MS Mincho" w:eastAsia="MS Mincho"/>
                <w:bCs/>
                <w:color w:val="000000"/>
                <w:szCs w:val="20"/>
                <w:lang w:eastAsia="ja-JP"/>
              </w:rPr>
              <w:t>１０％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lang w:eastAsia="ja-JP"/>
              </w:rPr>
            </w:pPr>
            <w:r>
              <w:rPr>
                <w:rFonts w:hint="eastAsia" w:asciiTheme="minorEastAsia" w:hAnsiTheme="minorEastAsia" w:eastAsiaTheme="minorEastAsia"/>
                <w:bCs/>
                <w:color w:val="000000"/>
              </w:rPr>
              <w:t>平时成绩（</w:t>
            </w:r>
            <w:r>
              <w:rPr>
                <w:rFonts w:hint="eastAsia" w:asciiTheme="majorEastAsia" w:hAnsiTheme="majorEastAsia" w:eastAsiaTheme="majorEastAsia" w:cstheme="majorEastAsia"/>
                <w:bCs/>
                <w:color w:val="000000"/>
              </w:rPr>
              <w:t>随堂测试</w:t>
            </w:r>
            <w:r>
              <w:rPr>
                <w:rFonts w:hint="eastAsia" w:asciiTheme="minorEastAsia" w:hAnsiTheme="minorEastAsia" w:eastAsiaTheme="minorEastAsia"/>
                <w:bCs/>
                <w:color w:val="000000"/>
              </w:rPr>
              <w:t>+</w:t>
            </w:r>
            <w:r>
              <w:rPr>
                <w:rFonts w:hint="eastAsia" w:asciiTheme="majorEastAsia" w:hAnsiTheme="majorEastAsia" w:eastAsiaTheme="majorEastAsia" w:cstheme="majorEastAsia"/>
                <w:bCs/>
                <w:color w:val="000000"/>
              </w:rPr>
              <w:t>课后作业等</w:t>
            </w:r>
            <w:r>
              <w:rPr>
                <w:rFonts w:hint="eastAsia" w:asciiTheme="minorEastAsia" w:hAnsiTheme="minorEastAsia" w:eastAsiaTheme="minorEastAsia"/>
                <w:bCs/>
                <w:color w:val="000000"/>
              </w:rPr>
              <w: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MS Mincho" w:hAnsi="MS Mincho" w:eastAsia="MS Mincho"/>
                <w:bCs/>
                <w:color w:val="000000"/>
                <w:szCs w:val="20"/>
                <w:lang w:eastAsia="ja-JP"/>
              </w:rPr>
              <w:t>１５％</w:t>
            </w:r>
          </w:p>
        </w:tc>
      </w:tr>
    </w:tbl>
    <w:p>
      <w:pPr>
        <w:snapToGrid w:val="0"/>
        <w:spacing w:before="120" w:after="120" w:line="288" w:lineRule="auto"/>
        <w:rPr>
          <w:rFonts w:ascii="宋体" w:hAnsi="宋体"/>
          <w:sz w:val="20"/>
          <w:szCs w:val="20"/>
          <w:highlight w:val="yellow"/>
        </w:rPr>
      </w:pPr>
    </w:p>
    <w:p>
      <w:pPr>
        <w:snapToGrid w:val="0"/>
        <w:spacing w:line="288" w:lineRule="auto"/>
        <w:rPr>
          <w:sz w:val="28"/>
          <w:szCs w:val="28"/>
        </w:rPr>
      </w:pPr>
    </w:p>
    <w:p>
      <w:pPr>
        <w:snapToGrid w:val="0"/>
        <w:spacing w:line="288" w:lineRule="auto"/>
        <w:rPr>
          <w:sz w:val="28"/>
          <w:szCs w:val="28"/>
        </w:rPr>
      </w:pPr>
      <w:r>
        <w:rPr>
          <w:rFonts w:hint="eastAsia"/>
          <w:sz w:val="28"/>
          <w:szCs w:val="28"/>
        </w:rPr>
        <w:t xml:space="preserve">撰写人： </w:t>
      </w:r>
      <w:r>
        <w:drawing>
          <wp:inline distT="0" distB="0" distL="0" distR="0">
            <wp:extent cx="922020" cy="304800"/>
            <wp:effectExtent l="0" t="0" r="0" b="0"/>
            <wp:docPr id="2" name="図 2" descr="C:\Users\user\AppData\Local\Temp\WeChat Files\eb1b2af7e76a69ba7d257a50e5997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Users\user\AppData\Local\Temp\WeChat Files\eb1b2af7e76a69ba7d257a50e59971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22020" cy="304800"/>
                    </a:xfrm>
                    <a:prstGeom prst="rect">
                      <a:avLst/>
                    </a:prstGeom>
                    <a:noFill/>
                    <a:ln>
                      <a:noFill/>
                    </a:ln>
                  </pic:spPr>
                </pic:pic>
              </a:graphicData>
            </a:graphic>
          </wp:inline>
        </w:drawing>
      </w:r>
      <w:r>
        <w:rPr>
          <w:rFonts w:hint="eastAsia"/>
          <w:sz w:val="28"/>
          <w:szCs w:val="28"/>
        </w:rPr>
        <w:t xml:space="preserve">  </w:t>
      </w:r>
      <w:r>
        <w:rPr>
          <w:rFonts w:hint="eastAsia" w:ascii="MS Mincho" w:hAnsi="MS Mincho" w:eastAsia="MS Mincho"/>
          <w:sz w:val="28"/>
          <w:szCs w:val="28"/>
          <w:lang w:eastAsia="ja-JP"/>
        </w:rPr>
        <w:t>　</w:t>
      </w:r>
      <w:r>
        <w:rPr>
          <w:rFonts w:hint="eastAsia"/>
          <w:sz w:val="28"/>
          <w:szCs w:val="28"/>
        </w:rPr>
        <w:t>系主任审核签名：</w:t>
      </w:r>
      <w:r>
        <w:rPr>
          <w:rFonts w:hint="eastAsia"/>
          <w:sz w:val="24"/>
          <w:szCs w:val="24"/>
        </w:rPr>
        <w:drawing>
          <wp:inline distT="0" distB="0" distL="114300" distR="114300">
            <wp:extent cx="946785" cy="343535"/>
            <wp:effectExtent l="0" t="0" r="5715" b="18415"/>
            <wp:docPr id="3" name="图片 3"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刘尔瑟"/>
                    <pic:cNvPicPr>
                      <a:picLocks noChangeAspect="1"/>
                    </pic:cNvPicPr>
                  </pic:nvPicPr>
                  <pic:blipFill>
                    <a:blip r:embed="rId5"/>
                    <a:stretch>
                      <a:fillRect/>
                    </a:stretch>
                  </pic:blipFill>
                  <pic:spPr>
                    <a:xfrm>
                      <a:off x="0" y="0"/>
                      <a:ext cx="946785" cy="343535"/>
                    </a:xfrm>
                    <a:prstGeom prst="rect">
                      <a:avLst/>
                    </a:prstGeom>
                    <a:noFill/>
                    <a:ln>
                      <a:noFill/>
                    </a:ln>
                  </pic:spPr>
                </pic:pic>
              </a:graphicData>
            </a:graphic>
          </wp:inline>
        </w:drawing>
      </w:r>
    </w:p>
    <w:p>
      <w:pPr>
        <w:snapToGrid w:val="0"/>
        <w:spacing w:line="288" w:lineRule="auto"/>
        <w:rPr>
          <w:sz w:val="28"/>
          <w:szCs w:val="28"/>
        </w:rPr>
      </w:pPr>
      <w:r>
        <w:rPr>
          <w:rFonts w:hint="eastAsia"/>
          <w:sz w:val="28"/>
          <w:szCs w:val="28"/>
        </w:rPr>
        <w:t xml:space="preserve">审核时间： </w:t>
      </w:r>
      <w:bookmarkStart w:id="1" w:name="_Hlk126426180"/>
      <w:r>
        <w:rPr>
          <w:rFonts w:hint="eastAsia"/>
          <w:sz w:val="28"/>
          <w:szCs w:val="28"/>
        </w:rPr>
        <w:t>202</w:t>
      </w:r>
      <w:r>
        <w:rPr>
          <w:sz w:val="28"/>
          <w:szCs w:val="28"/>
        </w:rPr>
        <w:t>3</w:t>
      </w:r>
      <w:r>
        <w:rPr>
          <w:rFonts w:hint="eastAsia"/>
          <w:sz w:val="28"/>
          <w:szCs w:val="28"/>
        </w:rPr>
        <w:t>.</w:t>
      </w:r>
      <w:r>
        <w:rPr>
          <w:sz w:val="28"/>
          <w:szCs w:val="28"/>
        </w:rPr>
        <w:t>2</w:t>
      </w:r>
      <w:r>
        <w:rPr>
          <w:rFonts w:hint="eastAsia"/>
          <w:sz w:val="28"/>
          <w:szCs w:val="28"/>
        </w:rPr>
        <w:t>.</w:t>
      </w:r>
      <w:r>
        <w:rPr>
          <w:sz w:val="28"/>
          <w:szCs w:val="28"/>
        </w:rPr>
        <w:t>20</w:t>
      </w:r>
      <w:bookmarkEnd w:id="1"/>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roma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C3A96"/>
    <w:multiLevelType w:val="multilevel"/>
    <w:tmpl w:val="6B7C3A96"/>
    <w:lvl w:ilvl="0" w:tentative="0">
      <w:start w:val="1"/>
      <w:numFmt w:val="decimal"/>
      <w:lvlText w:val="%1．"/>
      <w:lvlJc w:val="left"/>
      <w:pPr>
        <w:ind w:left="360" w:hanging="360"/>
      </w:pPr>
      <w:rPr>
        <w:rFonts w:hint="default" w:ascii="MS Mincho" w:hAnsi="MS Mincho"/>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s>
  <w:rsids>
    <w:rsidRoot w:val="00B7651F"/>
    <w:rsid w:val="00032A29"/>
    <w:rsid w:val="000377CC"/>
    <w:rsid w:val="00076F50"/>
    <w:rsid w:val="001072BC"/>
    <w:rsid w:val="001817A4"/>
    <w:rsid w:val="001A4D1A"/>
    <w:rsid w:val="001B5A96"/>
    <w:rsid w:val="00211644"/>
    <w:rsid w:val="00256B39"/>
    <w:rsid w:val="0026033C"/>
    <w:rsid w:val="002D0B10"/>
    <w:rsid w:val="002E300A"/>
    <w:rsid w:val="002E3721"/>
    <w:rsid w:val="00306E2A"/>
    <w:rsid w:val="00313BBA"/>
    <w:rsid w:val="0032602E"/>
    <w:rsid w:val="003367AE"/>
    <w:rsid w:val="003B1258"/>
    <w:rsid w:val="004100B0"/>
    <w:rsid w:val="00445147"/>
    <w:rsid w:val="00453B78"/>
    <w:rsid w:val="00460520"/>
    <w:rsid w:val="00497207"/>
    <w:rsid w:val="005467DC"/>
    <w:rsid w:val="00553D03"/>
    <w:rsid w:val="00572676"/>
    <w:rsid w:val="005B2B6D"/>
    <w:rsid w:val="005B4B4E"/>
    <w:rsid w:val="00624FE1"/>
    <w:rsid w:val="00633D3C"/>
    <w:rsid w:val="00690529"/>
    <w:rsid w:val="006D6CF7"/>
    <w:rsid w:val="006E7CA6"/>
    <w:rsid w:val="007208D6"/>
    <w:rsid w:val="007E6B6D"/>
    <w:rsid w:val="008B397C"/>
    <w:rsid w:val="008B47F4"/>
    <w:rsid w:val="008C54D9"/>
    <w:rsid w:val="00900019"/>
    <w:rsid w:val="00914865"/>
    <w:rsid w:val="00943349"/>
    <w:rsid w:val="0099063E"/>
    <w:rsid w:val="009D5D08"/>
    <w:rsid w:val="00A769B1"/>
    <w:rsid w:val="00A837D5"/>
    <w:rsid w:val="00AC4C45"/>
    <w:rsid w:val="00AE5482"/>
    <w:rsid w:val="00B40D72"/>
    <w:rsid w:val="00B46F21"/>
    <w:rsid w:val="00B511A5"/>
    <w:rsid w:val="00B62859"/>
    <w:rsid w:val="00B736A7"/>
    <w:rsid w:val="00B7651F"/>
    <w:rsid w:val="00B84350"/>
    <w:rsid w:val="00BA3465"/>
    <w:rsid w:val="00BE54FF"/>
    <w:rsid w:val="00C56E09"/>
    <w:rsid w:val="00CD3210"/>
    <w:rsid w:val="00CF096B"/>
    <w:rsid w:val="00DA2354"/>
    <w:rsid w:val="00DD6BA5"/>
    <w:rsid w:val="00E16D30"/>
    <w:rsid w:val="00E33169"/>
    <w:rsid w:val="00E43909"/>
    <w:rsid w:val="00E70904"/>
    <w:rsid w:val="00E76F72"/>
    <w:rsid w:val="00EF44B1"/>
    <w:rsid w:val="00F14133"/>
    <w:rsid w:val="00F35AA0"/>
    <w:rsid w:val="00F36A73"/>
    <w:rsid w:val="00F373E4"/>
    <w:rsid w:val="00F553B4"/>
    <w:rsid w:val="00FF40E7"/>
    <w:rsid w:val="00FF5E14"/>
    <w:rsid w:val="016E63C2"/>
    <w:rsid w:val="024B0C39"/>
    <w:rsid w:val="0A8128A6"/>
    <w:rsid w:val="0BF32A1B"/>
    <w:rsid w:val="10BD2C22"/>
    <w:rsid w:val="19012461"/>
    <w:rsid w:val="22987C80"/>
    <w:rsid w:val="24192CCC"/>
    <w:rsid w:val="39A66CD4"/>
    <w:rsid w:val="3CD52CE1"/>
    <w:rsid w:val="410F2E6A"/>
    <w:rsid w:val="4430136C"/>
    <w:rsid w:val="4AB0382B"/>
    <w:rsid w:val="4F016586"/>
    <w:rsid w:val="55DF2E7A"/>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ヘッダー (文字)"/>
    <w:basedOn w:val="6"/>
    <w:link w:val="3"/>
    <w:semiHidden/>
    <w:qFormat/>
    <w:uiPriority w:val="99"/>
    <w:rPr>
      <w:sz w:val="18"/>
      <w:szCs w:val="18"/>
    </w:rPr>
  </w:style>
  <w:style w:type="character" w:customStyle="1" w:styleId="8">
    <w:name w:val="フッター (文字)"/>
    <w:basedOn w:val="6"/>
    <w:link w:val="2"/>
    <w:semiHidden/>
    <w:qFormat/>
    <w:uiPriority w:val="99"/>
    <w:rPr>
      <w:sz w:val="18"/>
      <w:szCs w:val="18"/>
    </w:rPr>
  </w:style>
  <w:style w:type="paragraph" w:styleId="9">
    <w:name w:val="List Paragraph"/>
    <w:basedOn w:val="1"/>
    <w:unhideWhenUsed/>
    <w:qFormat/>
    <w:uiPriority w:val="99"/>
    <w:pPr>
      <w:ind w:left="840" w:leftChars="4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2782</Words>
  <Characters>3198</Characters>
  <Lines>25</Lines>
  <Paragraphs>7</Paragraphs>
  <TotalTime>0</TotalTime>
  <ScaleCrop>false</ScaleCrop>
  <LinksUpToDate>false</LinksUpToDate>
  <CharactersWithSpaces>3235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2020-10-17T02:40:00Z</dcterms:created>
  <dc:creator>juvg</dc:creator>
  <cp:lastModifiedBy>Administrator</cp:lastModifiedBy>
  <dcterms:modified xsi:type="dcterms:W3CDTF">2023-03-20T03:10:57Z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E17A0DB49B8341B5809D5E8DBD87BE7C</vt:lpwstr>
  </property>
</Properties>
</file>