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A9CC">
      <w:pPr>
        <w:jc w:val="center"/>
        <w:rPr>
          <w:rFonts w:ascii="黑体" w:hAnsi="黑体" w:eastAsia="黑体"/>
          <w:bCs/>
          <w:sz w:val="32"/>
          <w:szCs w:val="32"/>
        </w:rPr>
      </w:pPr>
      <w:r>
        <w:rPr>
          <w:rFonts w:hint="eastAsia" w:ascii="黑体" w:hAnsi="黑体" w:eastAsia="黑体"/>
          <w:bCs/>
          <w:sz w:val="32"/>
          <w:szCs w:val="32"/>
        </w:rPr>
        <w:t>本科课程教学大纲（实验课）</w:t>
      </w:r>
    </w:p>
    <w:p w14:paraId="1440D5F2">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0A9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F97963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C66592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德语口语●</w:t>
            </w:r>
          </w:p>
        </w:tc>
      </w:tr>
      <w:tr w14:paraId="74CE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B9769E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1C4AC53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Spoken German</w:t>
            </w:r>
          </w:p>
        </w:tc>
      </w:tr>
      <w:tr w14:paraId="6475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70E3B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B5A6DE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2025010</w:t>
            </w:r>
          </w:p>
        </w:tc>
        <w:tc>
          <w:tcPr>
            <w:tcW w:w="2126" w:type="dxa"/>
            <w:gridSpan w:val="2"/>
            <w:vAlign w:val="center"/>
          </w:tcPr>
          <w:p w14:paraId="50D3290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A989C6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6D6D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5C690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50BC71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7BB503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B5732A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07FFEA6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19C043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096B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5B58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C0B40F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097B3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D21125F">
            <w:pPr>
              <w:widowControl w:val="0"/>
              <w:jc w:val="center"/>
              <w:rPr>
                <w:rFonts w:hint="defaul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德语专业二年</w:t>
            </w:r>
            <w:r>
              <w:rPr>
                <w:rFonts w:hint="default"/>
                <w:color w:val="000000" w:themeColor="text1"/>
                <w:sz w:val="21"/>
                <w:szCs w:val="21"/>
                <w14:textFill>
                  <w14:solidFill>
                    <w14:schemeClr w14:val="tx1"/>
                  </w14:solidFill>
                </w14:textFill>
              </w:rPr>
              <w:t>级</w:t>
            </w:r>
          </w:p>
        </w:tc>
      </w:tr>
      <w:tr w14:paraId="4E5D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174A8F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618744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专业基础选修课</w:t>
            </w:r>
          </w:p>
        </w:tc>
        <w:tc>
          <w:tcPr>
            <w:tcW w:w="2126" w:type="dxa"/>
            <w:gridSpan w:val="2"/>
            <w:vAlign w:val="center"/>
          </w:tcPr>
          <w:p w14:paraId="0541F91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C33DE6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1F1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39517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890E0E8">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《现代德语会话（修订版）》，刘顺生、徐爽主编，</w:t>
            </w:r>
            <w:r>
              <w:rPr>
                <w:rFonts w:ascii="Times New Roman" w:hAnsi="Times New Roman"/>
                <w:color w:val="000000" w:themeColor="text1"/>
                <w:sz w:val="21"/>
                <w:szCs w:val="21"/>
                <w14:textFill>
                  <w14:solidFill>
                    <w14:schemeClr w14:val="tx1"/>
                  </w14:solidFill>
                </w14:textFill>
              </w:rPr>
              <w:t>ISBN:9787532787548</w:t>
            </w:r>
            <w:r>
              <w:rPr>
                <w:rFonts w:hint="eastAsia" w:ascii="Times New Roman" w:hAnsi="Times New Roman"/>
                <w:color w:val="000000" w:themeColor="text1"/>
                <w:sz w:val="21"/>
                <w:szCs w:val="21"/>
                <w14:textFill>
                  <w14:solidFill>
                    <w14:schemeClr w14:val="tx1"/>
                  </w14:solidFill>
                </w14:textFill>
              </w:rPr>
              <w:t>，上海译文出版社，</w:t>
            </w:r>
            <w:r>
              <w:rPr>
                <w:rFonts w:ascii="Times New Roman" w:hAnsi="Times New Roman"/>
                <w:color w:val="000000" w:themeColor="text1"/>
                <w:sz w:val="21"/>
                <w:szCs w:val="21"/>
                <w14:textFill>
                  <w14:solidFill>
                    <w14:schemeClr w14:val="tx1"/>
                  </w14:solidFill>
                </w14:textFill>
              </w:rPr>
              <w:t>2021</w:t>
            </w:r>
          </w:p>
        </w:tc>
        <w:tc>
          <w:tcPr>
            <w:tcW w:w="1413" w:type="dxa"/>
            <w:gridSpan w:val="2"/>
            <w:vAlign w:val="center"/>
          </w:tcPr>
          <w:p w14:paraId="1E311D7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D207C9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0A68687">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28E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28172FF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3798EF2">
            <w:pPr>
              <w:pStyle w:val="14"/>
              <w:widowControl w:val="0"/>
              <w:jc w:val="both"/>
            </w:pPr>
            <w:r>
              <w:rPr>
                <w:rFonts w:hint="eastAsia"/>
              </w:rPr>
              <w:t>基础德语</w:t>
            </w:r>
            <w:r>
              <w:t>2 2020408（12）</w:t>
            </w:r>
          </w:p>
        </w:tc>
      </w:tr>
      <w:tr w14:paraId="7BD1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10" w:hRule="atLeast"/>
        </w:trPr>
        <w:tc>
          <w:tcPr>
            <w:tcW w:w="1691" w:type="dxa"/>
            <w:tcBorders>
              <w:left w:val="single" w:color="auto" w:sz="12" w:space="0"/>
            </w:tcBorders>
            <w:shd w:val="clear" w:color="auto" w:fill="auto"/>
            <w:vAlign w:val="center"/>
          </w:tcPr>
          <w:p w14:paraId="44AAEB9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006AB52">
            <w:pPr>
              <w:pStyle w:val="14"/>
              <w:widowControl w:val="0"/>
              <w:jc w:val="both"/>
            </w:pPr>
            <w:r>
              <w:rPr>
                <w:rFonts w:hint="eastAsia"/>
              </w:rPr>
              <w:t>德语口语课程是专门针对德语专业大二上学期的学生设计的，内容着重于基础口语技能的培养。课程内容涵盖了常用的日常会话、简单的社交场合交流技巧以满足学生在各种实际情境中的交流需求。通过角色扮演、小组讨论、语言游戏等形式，学生将在轻松愉快的氛围中提高口语水平。该课程的目标是使学生能够在日常生活和学习中自如地运用德语进行口语交流。通过本课程的学习，学生应能就日常生活中的一般情景进行恰当的交谈，做到语音、语调、语法正确，语言运用恰当得体，能表达自己的想法，同时对主要德语国家的文化背景和生活习惯有一定了解，具备一定的跨文化交际能力。通过密集的口语实践，学生将建立起良好的口语基础，为日后深入学习和实践打下坚实的基础。</w:t>
            </w:r>
          </w:p>
        </w:tc>
      </w:tr>
      <w:tr w14:paraId="4861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56" w:hRule="atLeast"/>
        </w:trPr>
        <w:tc>
          <w:tcPr>
            <w:tcW w:w="1691" w:type="dxa"/>
            <w:tcBorders>
              <w:left w:val="single" w:color="auto" w:sz="12" w:space="0"/>
              <w:bottom w:val="double" w:color="auto" w:sz="4" w:space="0"/>
            </w:tcBorders>
            <w:shd w:val="clear" w:color="auto" w:fill="auto"/>
            <w:vAlign w:val="center"/>
          </w:tcPr>
          <w:p w14:paraId="3B0D51D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46D5E003">
            <w:pPr>
              <w:pStyle w:val="14"/>
              <w:widowControl w:val="0"/>
              <w:jc w:val="both"/>
            </w:pPr>
          </w:p>
          <w:p w14:paraId="57B133A6">
            <w:pPr>
              <w:pStyle w:val="14"/>
              <w:widowControl w:val="0"/>
              <w:jc w:val="both"/>
            </w:pPr>
            <w:r>
              <w:rPr>
                <w:rFonts w:hint="eastAsia"/>
              </w:rPr>
              <w:t>适合德语专业二年级上学期的学生。要求学生先修基础德语</w:t>
            </w:r>
            <w:r>
              <w:t>2</w:t>
            </w:r>
            <w:r>
              <w:rPr>
                <w:rFonts w:hint="eastAsia"/>
              </w:rPr>
              <w:t>，掌握基础阶段的词汇、句法知识，在此基础上进一步提升口语表达能力</w:t>
            </w:r>
            <w:r>
              <w:t>。</w:t>
            </w:r>
          </w:p>
        </w:tc>
      </w:tr>
      <w:tr w14:paraId="39E7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32C6C4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D7A9D0F">
            <w:pPr>
              <w:widowControl w:val="0"/>
              <w:jc w:val="right"/>
              <w:rPr>
                <w:rFonts w:ascii="黑体" w:hAnsi="黑体" w:eastAsia="黑体"/>
                <w:color w:val="000000" w:themeColor="text1"/>
                <w:sz w:val="21"/>
                <w:szCs w:val="21"/>
                <w14:textFill>
                  <w14:solidFill>
                    <w14:schemeClr w14:val="tx1"/>
                  </w14:solidFill>
                </w14:textFill>
              </w:rPr>
            </w:pPr>
            <w:r>
              <w:rPr>
                <w:rFonts w:hint="default"/>
                <w:sz w:val="6"/>
                <w:szCs w:val="6"/>
              </w:rPr>
              <w:drawing>
                <wp:anchor distT="0" distB="0" distL="114300" distR="114300" simplePos="0" relativeHeight="251659264" behindDoc="1" locked="0" layoutInCell="1" allowOverlap="1">
                  <wp:simplePos x="0" y="0"/>
                  <wp:positionH relativeFrom="column">
                    <wp:posOffset>619760</wp:posOffset>
                  </wp:positionH>
                  <wp:positionV relativeFrom="paragraph">
                    <wp:posOffset>43815</wp:posOffset>
                  </wp:positionV>
                  <wp:extent cx="504190" cy="280035"/>
                  <wp:effectExtent l="0" t="0" r="635" b="5715"/>
                  <wp:wrapTight wrapText="bothSides">
                    <wp:wrapPolygon>
                      <wp:start x="0" y="0"/>
                      <wp:lineTo x="0" y="20571"/>
                      <wp:lineTo x="21219" y="20571"/>
                      <wp:lineTo x="21219" y="0"/>
                      <wp:lineTo x="0" y="0"/>
                    </wp:wrapPolygon>
                  </wp:wrapTight>
                  <wp:docPr id="4" name="图片 4" descr="mmexport172602716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mexport1726027166874"/>
                          <pic:cNvPicPr>
                            <a:picLocks noChangeAspect="1"/>
                          </pic:cNvPicPr>
                        </pic:nvPicPr>
                        <pic:blipFill>
                          <a:blip r:embed="rId5"/>
                          <a:stretch>
                            <a:fillRect/>
                          </a:stretch>
                        </pic:blipFill>
                        <pic:spPr>
                          <a:xfrm>
                            <a:off x="1821180" y="4335780"/>
                            <a:ext cx="504190" cy="280035"/>
                          </a:xfrm>
                          <a:prstGeom prst="rect">
                            <a:avLst/>
                          </a:prstGeom>
                        </pic:spPr>
                      </pic:pic>
                    </a:graphicData>
                  </a:graphic>
                </wp:anchor>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47B947C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5A76894">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w:t>
            </w:r>
            <w:r>
              <w:rPr>
                <w:rFonts w:ascii="Times New Roman" w:hAnsi="Times New Roman"/>
                <w:color w:val="000000"/>
                <w:sz w:val="21"/>
                <w:szCs w:val="21"/>
              </w:rPr>
              <w:t xml:space="preserve"> </w:t>
            </w:r>
            <w:r>
              <w:rPr>
                <w:rFonts w:hint="default" w:ascii="Times New Roman" w:hAnsi="Times New Roman"/>
                <w:color w:val="000000"/>
                <w:sz w:val="21"/>
                <w:szCs w:val="21"/>
              </w:rPr>
              <w:t>9</w:t>
            </w:r>
            <w:r>
              <w:rPr>
                <w:rFonts w:hint="eastAsia" w:ascii="Times New Roman" w:hAnsi="Times New Roman"/>
                <w:color w:val="000000"/>
                <w:sz w:val="21"/>
                <w:szCs w:val="21"/>
              </w:rPr>
              <w:t>.</w:t>
            </w:r>
            <w:r>
              <w:rPr>
                <w:rFonts w:ascii="Times New Roman" w:hAnsi="Times New Roman"/>
                <w:color w:val="000000"/>
                <w:sz w:val="21"/>
                <w:szCs w:val="21"/>
              </w:rPr>
              <w:t>2</w:t>
            </w:r>
          </w:p>
        </w:tc>
      </w:tr>
      <w:tr w14:paraId="65E9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FB080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243EB3D">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3250" cy="311150"/>
                  <wp:effectExtent l="0" t="0" r="6350" b="0"/>
                  <wp:docPr id="10997977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7715"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3250" cy="311150"/>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14:paraId="29099CD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EBC3EA9">
            <w:pPr>
              <w:widowControl w:val="0"/>
              <w:jc w:val="center"/>
              <w:rPr>
                <w:rFonts w:hint="default"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default" w:ascii="Times New Roman" w:hAnsi="Times New Roman"/>
                <w:color w:val="000000"/>
                <w:sz w:val="21"/>
                <w:szCs w:val="21"/>
              </w:rPr>
              <w:t>9</w:t>
            </w:r>
            <w:r>
              <w:rPr>
                <w:rFonts w:ascii="Times New Roman" w:hAnsi="Times New Roman"/>
                <w:color w:val="000000"/>
                <w:sz w:val="21"/>
                <w:szCs w:val="21"/>
              </w:rPr>
              <w:t>.</w:t>
            </w:r>
            <w:r>
              <w:rPr>
                <w:rFonts w:hint="default" w:ascii="Times New Roman" w:hAnsi="Times New Roman"/>
                <w:color w:val="000000"/>
                <w:sz w:val="21"/>
                <w:szCs w:val="21"/>
              </w:rPr>
              <w:t>3</w:t>
            </w:r>
          </w:p>
        </w:tc>
      </w:tr>
      <w:tr w14:paraId="529A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32F833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6B2CEF0">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anchor distT="0" distB="0" distL="0" distR="0" simplePos="0" relativeHeight="251660288" behindDoc="0" locked="0" layoutInCell="1" allowOverlap="1">
                  <wp:simplePos x="0" y="0"/>
                  <wp:positionH relativeFrom="column">
                    <wp:posOffset>569595</wp:posOffset>
                  </wp:positionH>
                  <wp:positionV relativeFrom="paragraph">
                    <wp:posOffset>8255</wp:posOffset>
                  </wp:positionV>
                  <wp:extent cx="607695" cy="364490"/>
                  <wp:effectExtent l="0" t="0" r="1905" b="16510"/>
                  <wp:wrapNone/>
                  <wp:docPr id="2078079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79447"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07695" cy="364490"/>
                          </a:xfrm>
                          <a:prstGeom prst="rect">
                            <a:avLst/>
                          </a:prstGeom>
                          <a:noFill/>
                          <a:ln>
                            <a:noFill/>
                          </a:ln>
                        </pic:spPr>
                      </pic:pic>
                    </a:graphicData>
                  </a:graphic>
                </wp:anchor>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color="auto" w:sz="12" w:space="0"/>
            </w:tcBorders>
            <w:vAlign w:val="center"/>
          </w:tcPr>
          <w:p w14:paraId="6F89B06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20D66F0">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default" w:ascii="Times New Roman" w:hAnsi="Times New Roman"/>
                <w:color w:val="000000"/>
                <w:sz w:val="21"/>
                <w:szCs w:val="21"/>
              </w:rPr>
              <w:t>9</w:t>
            </w:r>
            <w:r>
              <w:rPr>
                <w:rFonts w:ascii="Times New Roman" w:hAnsi="Times New Roman"/>
                <w:color w:val="000000"/>
                <w:sz w:val="21"/>
                <w:szCs w:val="21"/>
              </w:rPr>
              <w:t>.4</w:t>
            </w:r>
          </w:p>
        </w:tc>
      </w:tr>
    </w:tbl>
    <w:p w14:paraId="2BC06822">
      <w:pPr>
        <w:spacing w:line="100" w:lineRule="exact"/>
        <w:rPr>
          <w:rFonts w:ascii="Arial" w:hAnsi="Arial" w:eastAsia="黑体"/>
        </w:rPr>
      </w:pPr>
      <w:r>
        <w:br w:type="page"/>
      </w:r>
      <w:bookmarkStart w:id="5" w:name="_GoBack"/>
      <w:bookmarkEnd w:id="5"/>
    </w:p>
    <w:p w14:paraId="3FE07E73">
      <w:pPr>
        <w:pStyle w:val="16"/>
        <w:spacing w:before="326" w:beforeLines="100" w:line="360" w:lineRule="auto"/>
        <w:rPr>
          <w:rFonts w:ascii="黑体" w:hAnsi="宋体"/>
        </w:rPr>
      </w:pPr>
      <w:r>
        <w:rPr>
          <w:rFonts w:hint="eastAsia" w:ascii="黑体" w:hAnsi="宋体"/>
        </w:rPr>
        <w:t>二、课程目标与毕业要求</w:t>
      </w:r>
    </w:p>
    <w:p w14:paraId="7CA3F6B1">
      <w:pPr>
        <w:spacing w:before="81" w:beforeLines="25" w:after="163" w:afterLines="50" w:line="440" w:lineRule="exact"/>
        <w:outlineLvl w:val="1"/>
        <w:rPr>
          <w:rFonts w:ascii="Times New Roman" w:hAnsi="Times New Roman"/>
          <w:b/>
        </w:rPr>
      </w:pPr>
      <w:r>
        <w:rPr>
          <w:rFonts w:hint="eastAsia" w:ascii="Times New Roman" w:hAnsi="Times New Roman"/>
          <w:b/>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6F95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4B6DAC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572042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663ECC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0BB3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6779AE5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CB7CB1E">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8199298">
            <w:pPr>
              <w:rPr>
                <w:bCs/>
                <w:color w:val="000000"/>
                <w:sz w:val="21"/>
                <w:szCs w:val="21"/>
              </w:rPr>
            </w:pPr>
            <w:r>
              <w:rPr>
                <w:rFonts w:hint="eastAsia"/>
                <w:bCs/>
                <w:color w:val="000000"/>
                <w:sz w:val="21"/>
                <w:szCs w:val="21"/>
              </w:rPr>
              <w:t>知道常见的口语表达方式，如问候、介绍自己、表达感受等。</w:t>
            </w:r>
          </w:p>
        </w:tc>
      </w:tr>
      <w:tr w14:paraId="2A9FD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1BD907C">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EEA498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660795A">
            <w:pPr>
              <w:rPr>
                <w:bCs/>
                <w:color w:val="000000"/>
                <w:sz w:val="21"/>
                <w:szCs w:val="21"/>
              </w:rPr>
            </w:pPr>
            <w:r>
              <w:rPr>
                <w:rFonts w:hint="eastAsia"/>
                <w:bCs/>
                <w:color w:val="000000"/>
                <w:sz w:val="21"/>
                <w:szCs w:val="21"/>
              </w:rPr>
              <w:t>对工作、学校和休闲生活中经常碰到的熟悉话题进行交谈，发表个人看法。</w:t>
            </w:r>
          </w:p>
        </w:tc>
      </w:tr>
      <w:tr w14:paraId="29997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A94E84E">
            <w:pPr>
              <w:snapToGrid w:val="0"/>
              <w:jc w:val="center"/>
              <w:rPr>
                <w:rFonts w:ascii="黑体" w:hAnsi="黑体" w:eastAsia="黑体"/>
                <w:bCs/>
                <w:color w:val="000000"/>
                <w:sz w:val="21"/>
                <w:szCs w:val="18"/>
              </w:rPr>
            </w:pPr>
          </w:p>
        </w:tc>
        <w:tc>
          <w:tcPr>
            <w:tcW w:w="764" w:type="dxa"/>
            <w:shd w:val="clear" w:color="auto" w:fill="auto"/>
            <w:vAlign w:val="center"/>
          </w:tcPr>
          <w:p w14:paraId="33F7DC1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14:paraId="225E827C">
            <w:pPr>
              <w:rPr>
                <w:bCs/>
                <w:color w:val="000000"/>
                <w:sz w:val="21"/>
                <w:szCs w:val="21"/>
              </w:rPr>
            </w:pPr>
            <w:r>
              <w:rPr>
                <w:rFonts w:hint="eastAsia"/>
                <w:bCs/>
                <w:color w:val="000000"/>
                <w:sz w:val="21"/>
                <w:szCs w:val="21"/>
              </w:rPr>
              <w:t>运用所学的词汇和句型在日常生活场景进行简单的口头表达和交流，如在超市购物、在餐厅点餐、预约医生等。</w:t>
            </w:r>
          </w:p>
        </w:tc>
      </w:tr>
      <w:tr w14:paraId="630A4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4030A64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0E539B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4E507CD">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38FA4DEB">
            <w:pPr>
              <w:rPr>
                <w:bCs/>
                <w:color w:val="000000"/>
                <w:sz w:val="21"/>
                <w:szCs w:val="21"/>
              </w:rPr>
            </w:pPr>
            <w:r>
              <w:rPr>
                <w:rFonts w:hint="eastAsia"/>
                <w:bCs/>
                <w:color w:val="000000"/>
                <w:sz w:val="21"/>
                <w:szCs w:val="21"/>
              </w:rPr>
              <w:t>培养学生对德语语言和文化的兴趣和了解，增强跨文化沟通的能力和意识。</w:t>
            </w:r>
          </w:p>
        </w:tc>
      </w:tr>
    </w:tbl>
    <w:p w14:paraId="23F3385F">
      <w:pPr>
        <w:spacing w:before="163" w:beforeLines="50" w:after="163" w:afterLines="50" w:line="440" w:lineRule="exact"/>
        <w:outlineLvl w:val="1"/>
        <w:rPr>
          <w:rFonts w:ascii="Times New Roman" w:hAnsi="Times New Roman"/>
          <w:b/>
        </w:rPr>
      </w:pPr>
      <w:r>
        <w:rPr>
          <w:rFonts w:hint="eastAsia" w:ascii="Times New Roman" w:hAnsi="Times New Roman"/>
          <w:b/>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3FF7570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F756FB7">
            <w:pPr>
              <w:widowControl w:val="0"/>
              <w:jc w:val="left"/>
              <w:rPr>
                <w:bCs/>
                <w:color w:val="000000"/>
                <w:sz w:val="21"/>
                <w:szCs w:val="21"/>
              </w:rPr>
            </w:pPr>
            <w:r>
              <w:rPr>
                <w:bCs/>
                <w:color w:val="000000"/>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62F310A">
            <w:pPr>
              <w:widowControl w:val="0"/>
              <w:jc w:val="left"/>
              <w:rPr>
                <w:bCs/>
                <w:color w:val="000000"/>
                <w:sz w:val="21"/>
                <w:szCs w:val="21"/>
              </w:rPr>
            </w:pPr>
            <w:r>
              <w:rPr>
                <w:rFonts w:hint="eastAsia"/>
                <w:bCs/>
                <w:color w:val="000000"/>
                <w:sz w:val="21"/>
                <w:szCs w:val="21"/>
              </w:rPr>
              <w:t>⑤爱岗敬业，热爱所学专业，勤学多练，锤炼技能。熟悉本专业相关的法律法规，在实习实践中自觉遵守职业规范，具备职业道德操守。</w:t>
            </w:r>
          </w:p>
        </w:tc>
      </w:tr>
      <w:tr w14:paraId="2F67FDA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25A08FC">
            <w:pPr>
              <w:widowControl w:val="0"/>
              <w:jc w:val="left"/>
              <w:rPr>
                <w:bCs/>
                <w:color w:val="000000"/>
                <w:sz w:val="21"/>
                <w:szCs w:val="21"/>
              </w:rPr>
            </w:pPr>
            <w:r>
              <w:rPr>
                <w:bCs/>
                <w:color w:val="000000"/>
                <w:sz w:val="21"/>
                <w:szCs w:val="21"/>
              </w:rPr>
              <w:t>LO3表达沟通：理解他人的观点，尊重他人的价值观，能在不同场合用书面或口头形式进行有效沟通。</w:t>
            </w:r>
          </w:p>
          <w:p w14:paraId="1AA73DFF">
            <w:pPr>
              <w:widowControl w:val="0"/>
              <w:jc w:val="left"/>
              <w:rPr>
                <w:bCs/>
                <w:color w:val="000000"/>
                <w:sz w:val="21"/>
                <w:szCs w:val="21"/>
              </w:rPr>
            </w:pPr>
            <w:r>
              <w:rPr>
                <w:rFonts w:hint="eastAsia"/>
                <w:bCs/>
                <w:color w:val="000000"/>
                <w:sz w:val="21"/>
                <w:szCs w:val="21"/>
              </w:rPr>
              <w:t>②应用书面或口头形式，阐释自己的观点，有效沟通。</w:t>
            </w:r>
          </w:p>
        </w:tc>
      </w:tr>
    </w:tbl>
    <w:p w14:paraId="05EEBD7B">
      <w:pPr>
        <w:spacing w:before="163" w:beforeLines="50" w:after="163" w:afterLines="50" w:line="440" w:lineRule="exact"/>
        <w:outlineLvl w:val="1"/>
        <w:rPr>
          <w:rFonts w:ascii="Times New Roman" w:hAnsi="Times New Roman"/>
          <w:b/>
        </w:rPr>
      </w:pPr>
      <w:r>
        <w:rPr>
          <w:rFonts w:hint="eastAsia" w:ascii="Times New Roman" w:hAnsi="Times New Roman"/>
          <w:b/>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99D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7D8B813">
            <w:pPr>
              <w:snapToGrid w:val="0"/>
              <w:jc w:val="center"/>
              <w:rPr>
                <w:rFonts w:ascii="Arial" w:hAnsi="Arial" w:eastAsia="黑体"/>
                <w:bCs/>
                <w:color w:val="000000"/>
                <w:sz w:val="21"/>
                <w:szCs w:val="16"/>
              </w:rPr>
            </w:pPr>
            <w:r>
              <w:rPr>
                <w:rFonts w:hint="eastAsia" w:ascii="黑体" w:hAnsi="黑体" w:eastAsia="黑体"/>
                <w:bCs/>
                <w:color w:val="000000"/>
                <w:sz w:val="21"/>
                <w:szCs w:val="18"/>
              </w:rPr>
              <w:t>毕业要求</w:t>
            </w:r>
          </w:p>
        </w:tc>
        <w:tc>
          <w:tcPr>
            <w:tcW w:w="775" w:type="dxa"/>
            <w:tcBorders>
              <w:top w:val="single" w:color="auto" w:sz="12" w:space="0"/>
              <w:left w:val="single" w:color="auto" w:sz="4" w:space="0"/>
            </w:tcBorders>
            <w:vAlign w:val="center"/>
          </w:tcPr>
          <w:p w14:paraId="44E03BB6">
            <w:pPr>
              <w:snapToGrid w:val="0"/>
              <w:jc w:val="center"/>
              <w:rPr>
                <w:rFonts w:ascii="Arial" w:hAnsi="Arial" w:eastAsia="黑体"/>
                <w:bCs/>
                <w:color w:val="000000"/>
                <w:sz w:val="21"/>
                <w:szCs w:val="16"/>
              </w:rPr>
            </w:pPr>
            <w:r>
              <w:rPr>
                <w:rFonts w:hint="eastAsia" w:ascii="Arial" w:hAnsi="Arial" w:eastAsia="黑体"/>
                <w:bCs/>
                <w:color w:val="000000"/>
                <w:sz w:val="21"/>
                <w:szCs w:val="16"/>
              </w:rPr>
              <w:t>指标点</w:t>
            </w:r>
          </w:p>
        </w:tc>
        <w:tc>
          <w:tcPr>
            <w:tcW w:w="775" w:type="dxa"/>
            <w:tcBorders>
              <w:top w:val="single" w:color="auto" w:sz="12" w:space="0"/>
              <w:right w:val="double" w:color="auto" w:sz="4" w:space="0"/>
            </w:tcBorders>
            <w:shd w:val="clear" w:color="auto" w:fill="auto"/>
            <w:vAlign w:val="center"/>
          </w:tcPr>
          <w:p w14:paraId="078B39CC">
            <w:pPr>
              <w:snapToGrid w:val="0"/>
              <w:jc w:val="center"/>
              <w:rPr>
                <w:rFonts w:ascii="Arial" w:hAnsi="Arial" w:eastAsia="黑体"/>
                <w:bCs/>
                <w:color w:val="000000"/>
                <w:sz w:val="21"/>
                <w:szCs w:val="16"/>
              </w:rPr>
            </w:pPr>
            <w:r>
              <w:rPr>
                <w:rFonts w:hint="eastAsia" w:ascii="Arial" w:hAnsi="Arial" w:eastAsia="黑体"/>
                <w:bCs/>
                <w:color w:val="000000"/>
                <w:sz w:val="21"/>
                <w:szCs w:val="16"/>
              </w:rPr>
              <w:t>支撑度</w:t>
            </w:r>
          </w:p>
        </w:tc>
        <w:tc>
          <w:tcPr>
            <w:tcW w:w="4651" w:type="dxa"/>
            <w:tcBorders>
              <w:top w:val="single" w:color="auto" w:sz="12" w:space="0"/>
            </w:tcBorders>
            <w:vAlign w:val="center"/>
          </w:tcPr>
          <w:p w14:paraId="6F660A66">
            <w:pPr>
              <w:snapToGrid w:val="0"/>
              <w:jc w:val="center"/>
              <w:rPr>
                <w:rFonts w:ascii="Arial" w:hAnsi="Arial" w:eastAsia="黑体"/>
                <w:bCs/>
                <w:color w:val="000000"/>
                <w:sz w:val="21"/>
                <w:szCs w:val="16"/>
              </w:rPr>
            </w:pPr>
            <w:r>
              <w:rPr>
                <w:rFonts w:hint="eastAsia" w:ascii="Arial" w:hAnsi="Arial" w:eastAsia="黑体"/>
                <w:bCs/>
                <w:color w:val="000000"/>
                <w:sz w:val="21"/>
                <w:szCs w:val="16"/>
              </w:rPr>
              <w:t>课程目标</w:t>
            </w:r>
          </w:p>
        </w:tc>
        <w:tc>
          <w:tcPr>
            <w:tcW w:w="1316" w:type="dxa"/>
            <w:tcBorders>
              <w:top w:val="single" w:color="auto" w:sz="12" w:space="0"/>
              <w:right w:val="single" w:color="auto" w:sz="12" w:space="0"/>
            </w:tcBorders>
            <w:vAlign w:val="center"/>
          </w:tcPr>
          <w:p w14:paraId="004D340A">
            <w:pPr>
              <w:snapToGrid w:val="0"/>
              <w:jc w:val="center"/>
              <w:rPr>
                <w:rFonts w:ascii="Arial" w:hAnsi="Arial" w:eastAsia="黑体"/>
                <w:bCs/>
                <w:color w:val="000000"/>
                <w:sz w:val="21"/>
                <w:szCs w:val="16"/>
              </w:rPr>
            </w:pPr>
            <w:r>
              <w:rPr>
                <w:rFonts w:hint="eastAsia" w:ascii="Arial" w:hAnsi="Arial" w:eastAsia="黑体"/>
                <w:bCs/>
                <w:color w:val="000000"/>
                <w:sz w:val="21"/>
                <w:szCs w:val="16"/>
              </w:rPr>
              <w:t>对指标点的贡献度</w:t>
            </w:r>
          </w:p>
        </w:tc>
      </w:tr>
      <w:tr w14:paraId="5D27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2261BC0E">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LO1</w:t>
            </w:r>
          </w:p>
        </w:tc>
        <w:tc>
          <w:tcPr>
            <w:tcW w:w="775" w:type="dxa"/>
            <w:tcBorders>
              <w:left w:val="single" w:color="auto" w:sz="4" w:space="0"/>
            </w:tcBorders>
            <w:vAlign w:val="center"/>
          </w:tcPr>
          <w:p w14:paraId="4AFCF66C">
            <w:pPr>
              <w:jc w:val="center"/>
              <w:rPr>
                <w:rFonts w:ascii="Times New Roman" w:hAnsi="Times New Roman" w:cs="Times New Roman"/>
                <w:bCs/>
                <w:color w:val="000000"/>
                <w:sz w:val="21"/>
                <w:szCs w:val="21"/>
              </w:rPr>
            </w:pPr>
            <w:r>
              <w:rPr>
                <w:rFonts w:hint="eastAsia"/>
                <w:bCs/>
                <w:color w:val="000000"/>
                <w:sz w:val="21"/>
                <w:szCs w:val="21"/>
              </w:rPr>
              <w:t>⑤</w:t>
            </w:r>
          </w:p>
        </w:tc>
        <w:tc>
          <w:tcPr>
            <w:tcW w:w="775" w:type="dxa"/>
            <w:tcBorders>
              <w:right w:val="double" w:color="auto" w:sz="4" w:space="0"/>
            </w:tcBorders>
            <w:shd w:val="clear" w:color="auto" w:fill="auto"/>
            <w:vAlign w:val="center"/>
          </w:tcPr>
          <w:p w14:paraId="75463713">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H</w:t>
            </w:r>
          </w:p>
        </w:tc>
        <w:tc>
          <w:tcPr>
            <w:tcW w:w="4651" w:type="dxa"/>
            <w:vAlign w:val="center"/>
          </w:tcPr>
          <w:p w14:paraId="6266DC97">
            <w:pPr>
              <w:rPr>
                <w:rFonts w:ascii="Times New Roman" w:hAnsi="Times New Roman" w:cs="Times New Roman"/>
                <w:color w:val="000000"/>
                <w:sz w:val="21"/>
                <w:szCs w:val="21"/>
              </w:rPr>
            </w:pPr>
            <w:r>
              <w:rPr>
                <w:rFonts w:ascii="Times New Roman" w:hAnsi="Times New Roman" w:cs="Times New Roman"/>
                <w:color w:val="000000"/>
                <w:sz w:val="21"/>
                <w:szCs w:val="21"/>
              </w:rPr>
              <w:t xml:space="preserve">4. </w:t>
            </w:r>
            <w:r>
              <w:rPr>
                <w:rFonts w:hint="eastAsia" w:ascii="Times New Roman" w:hAnsi="Times New Roman" w:cs="Times New Roman"/>
                <w:color w:val="000000"/>
                <w:sz w:val="21"/>
                <w:szCs w:val="21"/>
              </w:rPr>
              <w:t>培养学生对德语语言和文化的兴趣和了解，增强跨文化沟通的能力和意识。</w:t>
            </w:r>
          </w:p>
        </w:tc>
        <w:tc>
          <w:tcPr>
            <w:tcW w:w="1316" w:type="dxa"/>
            <w:tcBorders>
              <w:right w:val="single" w:color="auto" w:sz="12" w:space="0"/>
            </w:tcBorders>
            <w:vAlign w:val="center"/>
          </w:tcPr>
          <w:p w14:paraId="5A6874EE">
            <w:pPr>
              <w:jc w:val="center"/>
              <w:rPr>
                <w:bCs/>
                <w:color w:val="000000"/>
                <w:sz w:val="21"/>
                <w:szCs w:val="21"/>
              </w:rPr>
            </w:pPr>
            <w:r>
              <w:rPr>
                <w:bCs/>
                <w:color w:val="000000"/>
                <w:sz w:val="21"/>
                <w:szCs w:val="21"/>
              </w:rPr>
              <w:t>100%</w:t>
            </w:r>
          </w:p>
        </w:tc>
      </w:tr>
      <w:tr w14:paraId="2DAB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59" w:type="dxa"/>
            <w:vMerge w:val="restart"/>
            <w:tcBorders>
              <w:left w:val="single" w:color="auto" w:sz="12" w:space="0"/>
              <w:right w:val="single" w:color="auto" w:sz="4" w:space="0"/>
            </w:tcBorders>
            <w:shd w:val="clear" w:color="auto" w:fill="auto"/>
            <w:vAlign w:val="center"/>
          </w:tcPr>
          <w:p w14:paraId="49FC6FE6">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LO3</w:t>
            </w:r>
          </w:p>
        </w:tc>
        <w:tc>
          <w:tcPr>
            <w:tcW w:w="775" w:type="dxa"/>
            <w:vMerge w:val="restart"/>
            <w:tcBorders>
              <w:left w:val="single" w:color="auto" w:sz="4" w:space="0"/>
            </w:tcBorders>
            <w:vAlign w:val="center"/>
          </w:tcPr>
          <w:p w14:paraId="279F7D43">
            <w:pPr>
              <w:jc w:val="center"/>
              <w:rPr>
                <w:rFonts w:ascii="Times New Roman" w:hAnsi="Times New Roman" w:cs="Times New Roman"/>
                <w:bCs/>
                <w:color w:val="000000"/>
                <w:sz w:val="21"/>
                <w:szCs w:val="21"/>
              </w:rPr>
            </w:pPr>
            <w:r>
              <w:rPr>
                <w:rFonts w:hint="eastAsia"/>
                <w:bCs/>
                <w:color w:val="000000"/>
                <w:sz w:val="21"/>
                <w:szCs w:val="21"/>
              </w:rPr>
              <w:t>②</w:t>
            </w:r>
          </w:p>
        </w:tc>
        <w:tc>
          <w:tcPr>
            <w:tcW w:w="775" w:type="dxa"/>
            <w:vMerge w:val="restart"/>
            <w:tcBorders>
              <w:right w:val="double" w:color="auto" w:sz="4" w:space="0"/>
            </w:tcBorders>
            <w:shd w:val="clear" w:color="auto" w:fill="auto"/>
            <w:vAlign w:val="center"/>
          </w:tcPr>
          <w:p w14:paraId="1EDDEB38">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H</w:t>
            </w:r>
          </w:p>
        </w:tc>
        <w:tc>
          <w:tcPr>
            <w:tcW w:w="4651" w:type="dxa"/>
            <w:vAlign w:val="center"/>
          </w:tcPr>
          <w:p w14:paraId="090F4A6F">
            <w:pPr>
              <w:rPr>
                <w:rFonts w:ascii="Times New Roman" w:hAnsi="Times New Roman" w:cs="Times New Roman"/>
                <w:color w:val="000000"/>
                <w:sz w:val="21"/>
                <w:szCs w:val="21"/>
              </w:rPr>
            </w:pPr>
            <w:r>
              <w:rPr>
                <w:rFonts w:hint="eastAsia" w:ascii="Times New Roman" w:hAnsi="Times New Roman" w:cs="Times New Roman"/>
                <w:color w:val="000000"/>
                <w:sz w:val="21"/>
                <w:szCs w:val="21"/>
              </w:rPr>
              <w:t>1. 知道常见的口语表达方式，如问候、介绍自己、表达感受等。</w:t>
            </w:r>
          </w:p>
        </w:tc>
        <w:tc>
          <w:tcPr>
            <w:tcW w:w="1316" w:type="dxa"/>
            <w:tcBorders>
              <w:right w:val="single" w:color="auto" w:sz="12" w:space="0"/>
            </w:tcBorders>
            <w:vAlign w:val="center"/>
          </w:tcPr>
          <w:p w14:paraId="0D41191E">
            <w:pPr>
              <w:jc w:val="center"/>
              <w:rPr>
                <w:bCs/>
                <w:color w:val="000000"/>
                <w:sz w:val="21"/>
                <w:szCs w:val="21"/>
              </w:rPr>
            </w:pPr>
            <w:r>
              <w:rPr>
                <w:bCs/>
                <w:color w:val="000000"/>
                <w:sz w:val="21"/>
                <w:szCs w:val="21"/>
              </w:rPr>
              <w:t>20%</w:t>
            </w:r>
          </w:p>
        </w:tc>
      </w:tr>
      <w:tr w14:paraId="5AD5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59" w:type="dxa"/>
            <w:vMerge w:val="continue"/>
            <w:tcBorders>
              <w:left w:val="single" w:color="auto" w:sz="12" w:space="0"/>
              <w:right w:val="single" w:color="auto" w:sz="4" w:space="0"/>
            </w:tcBorders>
            <w:shd w:val="clear" w:color="auto" w:fill="auto"/>
            <w:vAlign w:val="center"/>
          </w:tcPr>
          <w:p w14:paraId="62717DD2">
            <w:pPr>
              <w:jc w:val="center"/>
              <w:rPr>
                <w:rFonts w:ascii="Times New Roman" w:hAnsi="Times New Roman" w:cs="Times New Roman"/>
                <w:b/>
                <w:color w:val="000000"/>
                <w:sz w:val="21"/>
                <w:szCs w:val="21"/>
              </w:rPr>
            </w:pPr>
          </w:p>
        </w:tc>
        <w:tc>
          <w:tcPr>
            <w:tcW w:w="775" w:type="dxa"/>
            <w:vMerge w:val="continue"/>
            <w:tcBorders>
              <w:left w:val="single" w:color="auto" w:sz="4" w:space="0"/>
            </w:tcBorders>
            <w:vAlign w:val="center"/>
          </w:tcPr>
          <w:p w14:paraId="6665D6DC">
            <w:pPr>
              <w:jc w:val="center"/>
              <w:rPr>
                <w:bCs/>
                <w:color w:val="000000"/>
                <w:sz w:val="21"/>
                <w:szCs w:val="21"/>
              </w:rPr>
            </w:pPr>
          </w:p>
        </w:tc>
        <w:tc>
          <w:tcPr>
            <w:tcW w:w="775" w:type="dxa"/>
            <w:vMerge w:val="continue"/>
            <w:tcBorders>
              <w:right w:val="double" w:color="auto" w:sz="4" w:space="0"/>
            </w:tcBorders>
            <w:shd w:val="clear" w:color="auto" w:fill="auto"/>
            <w:vAlign w:val="center"/>
          </w:tcPr>
          <w:p w14:paraId="2163741C">
            <w:pPr>
              <w:jc w:val="center"/>
              <w:rPr>
                <w:rFonts w:ascii="Times New Roman" w:hAnsi="Times New Roman" w:cs="Times New Roman"/>
                <w:color w:val="000000"/>
                <w:sz w:val="21"/>
                <w:szCs w:val="21"/>
              </w:rPr>
            </w:pPr>
          </w:p>
        </w:tc>
        <w:tc>
          <w:tcPr>
            <w:tcW w:w="4651" w:type="dxa"/>
            <w:vAlign w:val="center"/>
          </w:tcPr>
          <w:p w14:paraId="6AF46679">
            <w:pP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对工作、学校和休闲生活中经常碰到的熟悉话题进行交谈，发表个人看法。</w:t>
            </w:r>
          </w:p>
        </w:tc>
        <w:tc>
          <w:tcPr>
            <w:tcW w:w="1316" w:type="dxa"/>
            <w:tcBorders>
              <w:right w:val="single" w:color="auto" w:sz="12" w:space="0"/>
            </w:tcBorders>
            <w:vAlign w:val="center"/>
          </w:tcPr>
          <w:p w14:paraId="2A2AB72C">
            <w:pPr>
              <w:jc w:val="center"/>
              <w:rPr>
                <w:bCs/>
                <w:color w:val="000000"/>
                <w:sz w:val="21"/>
                <w:szCs w:val="21"/>
              </w:rPr>
            </w:pPr>
            <w:r>
              <w:rPr>
                <w:bCs/>
                <w:color w:val="000000"/>
                <w:sz w:val="21"/>
                <w:szCs w:val="21"/>
              </w:rPr>
              <w:t>40%</w:t>
            </w:r>
          </w:p>
        </w:tc>
      </w:tr>
      <w:tr w14:paraId="74D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7" w:hRule="atLeast"/>
          <w:jc w:val="center"/>
        </w:trPr>
        <w:tc>
          <w:tcPr>
            <w:tcW w:w="759" w:type="dxa"/>
            <w:vMerge w:val="continue"/>
            <w:tcBorders>
              <w:left w:val="single" w:color="auto" w:sz="12" w:space="0"/>
              <w:right w:val="single" w:color="auto" w:sz="4" w:space="0"/>
            </w:tcBorders>
            <w:shd w:val="clear" w:color="auto" w:fill="auto"/>
            <w:vAlign w:val="center"/>
          </w:tcPr>
          <w:p w14:paraId="3BC43BC7">
            <w:pPr>
              <w:jc w:val="center"/>
              <w:rPr>
                <w:rFonts w:ascii="Times New Roman" w:hAnsi="Times New Roman" w:cs="Times New Roman"/>
                <w:b/>
                <w:color w:val="000000"/>
                <w:sz w:val="21"/>
                <w:szCs w:val="21"/>
              </w:rPr>
            </w:pPr>
          </w:p>
        </w:tc>
        <w:tc>
          <w:tcPr>
            <w:tcW w:w="775" w:type="dxa"/>
            <w:vMerge w:val="continue"/>
            <w:tcBorders>
              <w:left w:val="single" w:color="auto" w:sz="4" w:space="0"/>
            </w:tcBorders>
            <w:vAlign w:val="center"/>
          </w:tcPr>
          <w:p w14:paraId="4A4D410F">
            <w:pPr>
              <w:jc w:val="center"/>
              <w:rPr>
                <w:bCs/>
                <w:color w:val="000000"/>
                <w:sz w:val="21"/>
                <w:szCs w:val="21"/>
              </w:rPr>
            </w:pPr>
          </w:p>
        </w:tc>
        <w:tc>
          <w:tcPr>
            <w:tcW w:w="775" w:type="dxa"/>
            <w:vMerge w:val="continue"/>
            <w:tcBorders>
              <w:right w:val="double" w:color="auto" w:sz="4" w:space="0"/>
            </w:tcBorders>
            <w:shd w:val="clear" w:color="auto" w:fill="auto"/>
            <w:vAlign w:val="center"/>
          </w:tcPr>
          <w:p w14:paraId="7C8143EF">
            <w:pPr>
              <w:jc w:val="center"/>
              <w:rPr>
                <w:rFonts w:ascii="Times New Roman" w:hAnsi="Times New Roman" w:cs="Times New Roman"/>
                <w:color w:val="000000"/>
                <w:sz w:val="21"/>
                <w:szCs w:val="21"/>
              </w:rPr>
            </w:pPr>
          </w:p>
        </w:tc>
        <w:tc>
          <w:tcPr>
            <w:tcW w:w="4651" w:type="dxa"/>
            <w:vAlign w:val="center"/>
          </w:tcPr>
          <w:p w14:paraId="614EE08D">
            <w:pPr>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ascii="Times New Roman" w:hAnsi="Times New Roman" w:cs="Times New Roman"/>
                <w:color w:val="000000"/>
                <w:sz w:val="21"/>
                <w:szCs w:val="21"/>
              </w:rPr>
              <w:t xml:space="preserve">. </w:t>
            </w:r>
            <w:r>
              <w:rPr>
                <w:rFonts w:hint="eastAsia" w:ascii="Times New Roman" w:hAnsi="Times New Roman" w:cs="Times New Roman"/>
                <w:color w:val="000000"/>
                <w:sz w:val="21"/>
                <w:szCs w:val="21"/>
              </w:rPr>
              <w:t>运用所学的词汇和句型在日常生活场景进行简单的口头表达和交流，如在超市购物、在餐厅点餐、预约医生等。</w:t>
            </w:r>
          </w:p>
        </w:tc>
        <w:tc>
          <w:tcPr>
            <w:tcW w:w="1316" w:type="dxa"/>
            <w:tcBorders>
              <w:right w:val="single" w:color="auto" w:sz="12" w:space="0"/>
            </w:tcBorders>
            <w:vAlign w:val="center"/>
          </w:tcPr>
          <w:p w14:paraId="0642A778">
            <w:pPr>
              <w:jc w:val="center"/>
              <w:rPr>
                <w:bCs/>
                <w:color w:val="000000"/>
                <w:sz w:val="21"/>
                <w:szCs w:val="21"/>
              </w:rPr>
            </w:pPr>
            <w:r>
              <w:rPr>
                <w:rFonts w:hint="eastAsia"/>
                <w:bCs/>
                <w:color w:val="000000"/>
                <w:sz w:val="21"/>
                <w:szCs w:val="21"/>
              </w:rPr>
              <w:t>4</w:t>
            </w:r>
            <w:r>
              <w:rPr>
                <w:bCs/>
                <w:color w:val="000000"/>
                <w:sz w:val="21"/>
                <w:szCs w:val="21"/>
              </w:rPr>
              <w:t>0</w:t>
            </w:r>
            <w:r>
              <w:rPr>
                <w:rFonts w:hint="eastAsia"/>
                <w:bCs/>
                <w:color w:val="000000"/>
                <w:sz w:val="21"/>
                <w:szCs w:val="21"/>
              </w:rPr>
              <w:t>%</w:t>
            </w:r>
          </w:p>
        </w:tc>
      </w:tr>
    </w:tbl>
    <w:p w14:paraId="7D010C33">
      <w:pPr>
        <w:pStyle w:val="13"/>
      </w:pPr>
    </w:p>
    <w:p w14:paraId="3EC6C1C1">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7F7CDADF">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3393C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60EB357">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31431F51">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67988C82">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5B5A047B">
            <w:pPr>
              <w:pStyle w:val="13"/>
              <w:rPr>
                <w:szCs w:val="16"/>
              </w:rPr>
            </w:pPr>
            <w:r>
              <w:rPr>
                <w:rFonts w:hint="eastAsia" w:ascii="黑体" w:hAnsi="黑体"/>
                <w:szCs w:val="21"/>
              </w:rPr>
              <w:t>学时</w:t>
            </w:r>
            <w:r>
              <w:rPr>
                <w:rFonts w:hint="eastAsia" w:ascii="黑体" w:hAnsi="黑体"/>
                <w:bCs w:val="0"/>
                <w:szCs w:val="21"/>
              </w:rPr>
              <w:t>分配</w:t>
            </w:r>
          </w:p>
        </w:tc>
      </w:tr>
      <w:tr w14:paraId="55657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4FA416A1">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21D540BC">
            <w:pPr>
              <w:pStyle w:val="13"/>
              <w:rPr>
                <w:szCs w:val="16"/>
              </w:rPr>
            </w:pPr>
          </w:p>
        </w:tc>
        <w:tc>
          <w:tcPr>
            <w:tcW w:w="1272" w:type="dxa"/>
            <w:vMerge w:val="continue"/>
            <w:tcBorders>
              <w:top w:val="single" w:color="auto" w:sz="4" w:space="0"/>
              <w:bottom w:val="single" w:color="auto" w:sz="4" w:space="0"/>
            </w:tcBorders>
            <w:vAlign w:val="center"/>
          </w:tcPr>
          <w:p w14:paraId="324FFE3F">
            <w:pPr>
              <w:pStyle w:val="13"/>
              <w:rPr>
                <w:szCs w:val="16"/>
              </w:rPr>
            </w:pPr>
          </w:p>
        </w:tc>
        <w:tc>
          <w:tcPr>
            <w:tcW w:w="849" w:type="dxa"/>
            <w:tcBorders>
              <w:top w:val="single" w:color="auto" w:sz="4" w:space="0"/>
              <w:bottom w:val="single" w:color="auto" w:sz="4" w:space="0"/>
            </w:tcBorders>
            <w:shd w:val="clear" w:color="auto" w:fill="auto"/>
            <w:vAlign w:val="center"/>
          </w:tcPr>
          <w:p w14:paraId="64A17592">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42D37163">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46625E59">
            <w:pPr>
              <w:pStyle w:val="13"/>
              <w:rPr>
                <w:rFonts w:ascii="黑体" w:hAnsi="黑体"/>
                <w:szCs w:val="21"/>
              </w:rPr>
            </w:pPr>
            <w:r>
              <w:rPr>
                <w:rFonts w:hint="eastAsia" w:ascii="黑体" w:hAnsi="黑体"/>
              </w:rPr>
              <w:t>小计</w:t>
            </w:r>
          </w:p>
        </w:tc>
      </w:tr>
      <w:tr w14:paraId="1F080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1A6D4A45">
            <w:pPr>
              <w:pStyle w:val="14"/>
            </w:pPr>
            <w:r>
              <w:rPr>
                <w:rFonts w:hint="eastAsia"/>
              </w:rPr>
              <w:t>1</w:t>
            </w:r>
          </w:p>
        </w:tc>
        <w:tc>
          <w:tcPr>
            <w:tcW w:w="3512" w:type="dxa"/>
            <w:tcBorders>
              <w:top w:val="single" w:color="auto" w:sz="4" w:space="0"/>
              <w:left w:val="single" w:color="auto" w:sz="4" w:space="0"/>
              <w:bottom w:val="single" w:color="auto" w:sz="4" w:space="0"/>
              <w:right w:val="single" w:color="auto" w:sz="4" w:space="0"/>
            </w:tcBorders>
            <w:shd w:val="clear" w:color="auto" w:fill="auto"/>
            <w:vAlign w:val="center"/>
          </w:tcPr>
          <w:p w14:paraId="5F97D4BC">
            <w:pPr>
              <w:pStyle w:val="14"/>
            </w:pPr>
            <w:r>
              <w:rPr>
                <w:rFonts w:hint="eastAsia"/>
              </w:rPr>
              <w:t>对话练习</w:t>
            </w:r>
          </w:p>
        </w:tc>
        <w:tc>
          <w:tcPr>
            <w:tcW w:w="1272" w:type="dxa"/>
            <w:tcBorders>
              <w:top w:val="single" w:color="auto" w:sz="4" w:space="0"/>
              <w:bottom w:val="single" w:color="auto" w:sz="4" w:space="0"/>
            </w:tcBorders>
            <w:vAlign w:val="center"/>
          </w:tcPr>
          <w:p w14:paraId="0FB7F111">
            <w:pPr>
              <w:pStyle w:val="14"/>
            </w:pPr>
            <w:r>
              <w:rPr>
                <w:rFonts w:hint="eastAsia"/>
              </w:rPr>
              <w:t>④</w:t>
            </w:r>
          </w:p>
        </w:tc>
        <w:tc>
          <w:tcPr>
            <w:tcW w:w="849" w:type="dxa"/>
            <w:tcBorders>
              <w:top w:val="single" w:color="auto" w:sz="4" w:space="0"/>
              <w:bottom w:val="single" w:color="auto" w:sz="4" w:space="0"/>
            </w:tcBorders>
            <w:shd w:val="clear" w:color="auto" w:fill="auto"/>
            <w:vAlign w:val="center"/>
          </w:tcPr>
          <w:p w14:paraId="31BBF33C">
            <w:pPr>
              <w:pStyle w:val="13"/>
              <w:rPr>
                <w:rFonts w:ascii="宋体" w:hAnsi="宋体" w:eastAsia="宋体"/>
                <w:szCs w:val="16"/>
              </w:rPr>
            </w:pPr>
          </w:p>
        </w:tc>
        <w:tc>
          <w:tcPr>
            <w:tcW w:w="848" w:type="dxa"/>
            <w:tcBorders>
              <w:top w:val="single" w:color="auto" w:sz="4" w:space="0"/>
              <w:bottom w:val="single" w:color="auto" w:sz="4" w:space="0"/>
            </w:tcBorders>
            <w:vAlign w:val="center"/>
          </w:tcPr>
          <w:p w14:paraId="05DDDAF8">
            <w:pPr>
              <w:pStyle w:val="14"/>
              <w:rPr>
                <w:rFonts w:ascii="宋体" w:hAnsi="宋体"/>
                <w:bCs/>
                <w:szCs w:val="16"/>
              </w:rPr>
            </w:pPr>
            <w:r>
              <w:rPr>
                <w:rFonts w:hint="eastAsia" w:ascii="宋体" w:hAnsi="宋体"/>
                <w:szCs w:val="16"/>
              </w:rPr>
              <w:t>1</w:t>
            </w:r>
            <w:r>
              <w:rPr>
                <w:rFonts w:ascii="宋体" w:hAnsi="宋体"/>
                <w:szCs w:val="16"/>
              </w:rPr>
              <w:t>2</w:t>
            </w:r>
          </w:p>
        </w:tc>
        <w:tc>
          <w:tcPr>
            <w:tcW w:w="786" w:type="dxa"/>
            <w:tcBorders>
              <w:top w:val="single" w:color="auto" w:sz="4" w:space="0"/>
              <w:bottom w:val="single" w:color="auto" w:sz="4" w:space="0"/>
            </w:tcBorders>
            <w:vAlign w:val="center"/>
          </w:tcPr>
          <w:p w14:paraId="4B4ECAE0">
            <w:pPr>
              <w:pStyle w:val="14"/>
              <w:rPr>
                <w:rFonts w:ascii="宋体" w:hAnsi="宋体"/>
                <w:bCs/>
                <w:szCs w:val="16"/>
              </w:rPr>
            </w:pPr>
            <w:r>
              <w:rPr>
                <w:rFonts w:hint="eastAsia" w:ascii="宋体" w:hAnsi="宋体"/>
                <w:szCs w:val="16"/>
              </w:rPr>
              <w:t>1</w:t>
            </w:r>
            <w:r>
              <w:rPr>
                <w:rFonts w:ascii="宋体" w:hAnsi="宋体"/>
                <w:szCs w:val="16"/>
              </w:rPr>
              <w:t>2</w:t>
            </w:r>
          </w:p>
        </w:tc>
      </w:tr>
      <w:tr w14:paraId="67E8D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1F806FF2">
            <w:pPr>
              <w:pStyle w:val="14"/>
            </w:pPr>
            <w:r>
              <w:rPr>
                <w:rFonts w:hint="eastAsia"/>
              </w:rPr>
              <w:t>2</w:t>
            </w:r>
          </w:p>
        </w:tc>
        <w:tc>
          <w:tcPr>
            <w:tcW w:w="3512" w:type="dxa"/>
            <w:tcBorders>
              <w:top w:val="single" w:color="auto" w:sz="4" w:space="0"/>
              <w:left w:val="single" w:color="auto" w:sz="4" w:space="0"/>
              <w:bottom w:val="single" w:color="auto" w:sz="4" w:space="0"/>
              <w:right w:val="single" w:color="auto" w:sz="4" w:space="0"/>
            </w:tcBorders>
            <w:shd w:val="clear" w:color="auto" w:fill="auto"/>
            <w:vAlign w:val="center"/>
          </w:tcPr>
          <w:p w14:paraId="4FF581D6">
            <w:pPr>
              <w:pStyle w:val="14"/>
            </w:pPr>
            <w:r>
              <w:rPr>
                <w:rFonts w:hint="eastAsia"/>
              </w:rPr>
              <w:t>情景表演</w:t>
            </w:r>
          </w:p>
        </w:tc>
        <w:tc>
          <w:tcPr>
            <w:tcW w:w="1272" w:type="dxa"/>
            <w:tcBorders>
              <w:top w:val="single" w:color="auto" w:sz="4" w:space="0"/>
              <w:bottom w:val="single" w:color="auto" w:sz="4" w:space="0"/>
            </w:tcBorders>
            <w:vAlign w:val="center"/>
          </w:tcPr>
          <w:p w14:paraId="52AFF75C">
            <w:pPr>
              <w:pStyle w:val="14"/>
            </w:pPr>
            <w:r>
              <w:rPr>
                <w:rFonts w:hint="eastAsia"/>
              </w:rPr>
              <w:t>④</w:t>
            </w:r>
          </w:p>
        </w:tc>
        <w:tc>
          <w:tcPr>
            <w:tcW w:w="849" w:type="dxa"/>
            <w:tcBorders>
              <w:top w:val="single" w:color="auto" w:sz="4" w:space="0"/>
              <w:bottom w:val="single" w:color="auto" w:sz="4" w:space="0"/>
            </w:tcBorders>
            <w:shd w:val="clear" w:color="auto" w:fill="auto"/>
            <w:vAlign w:val="center"/>
          </w:tcPr>
          <w:p w14:paraId="0D613A11">
            <w:pPr>
              <w:pStyle w:val="13"/>
              <w:rPr>
                <w:rFonts w:ascii="宋体" w:hAnsi="宋体" w:eastAsia="宋体"/>
                <w:szCs w:val="16"/>
              </w:rPr>
            </w:pPr>
          </w:p>
        </w:tc>
        <w:tc>
          <w:tcPr>
            <w:tcW w:w="848" w:type="dxa"/>
            <w:tcBorders>
              <w:top w:val="single" w:color="auto" w:sz="4" w:space="0"/>
              <w:bottom w:val="single" w:color="auto" w:sz="4" w:space="0"/>
            </w:tcBorders>
            <w:vAlign w:val="center"/>
          </w:tcPr>
          <w:p w14:paraId="4AAAA7FC">
            <w:pPr>
              <w:pStyle w:val="14"/>
              <w:rPr>
                <w:rFonts w:ascii="宋体" w:hAnsi="宋体"/>
                <w:bCs/>
                <w:szCs w:val="16"/>
              </w:rPr>
            </w:pPr>
            <w:r>
              <w:rPr>
                <w:rFonts w:hint="eastAsia" w:ascii="宋体" w:hAnsi="宋体"/>
                <w:szCs w:val="16"/>
              </w:rPr>
              <w:t>1</w:t>
            </w:r>
            <w:r>
              <w:rPr>
                <w:rFonts w:ascii="宋体" w:hAnsi="宋体"/>
                <w:szCs w:val="16"/>
              </w:rPr>
              <w:t>2</w:t>
            </w:r>
          </w:p>
        </w:tc>
        <w:tc>
          <w:tcPr>
            <w:tcW w:w="786" w:type="dxa"/>
            <w:tcBorders>
              <w:top w:val="single" w:color="auto" w:sz="4" w:space="0"/>
              <w:bottom w:val="single" w:color="auto" w:sz="4" w:space="0"/>
            </w:tcBorders>
            <w:vAlign w:val="center"/>
          </w:tcPr>
          <w:p w14:paraId="7779F4E5">
            <w:pPr>
              <w:pStyle w:val="14"/>
              <w:rPr>
                <w:rFonts w:ascii="宋体" w:hAnsi="宋体"/>
                <w:bCs/>
                <w:szCs w:val="16"/>
              </w:rPr>
            </w:pPr>
            <w:r>
              <w:rPr>
                <w:rFonts w:hint="eastAsia" w:ascii="宋体" w:hAnsi="宋体"/>
                <w:szCs w:val="16"/>
              </w:rPr>
              <w:t>1</w:t>
            </w:r>
            <w:r>
              <w:rPr>
                <w:rFonts w:ascii="宋体" w:hAnsi="宋体"/>
                <w:szCs w:val="16"/>
              </w:rPr>
              <w:t>2</w:t>
            </w:r>
          </w:p>
        </w:tc>
      </w:tr>
      <w:tr w14:paraId="376C5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4969557">
            <w:pPr>
              <w:pStyle w:val="14"/>
            </w:pPr>
            <w:r>
              <w:rPr>
                <w:rFonts w:hint="eastAsia"/>
              </w:rPr>
              <w:t>3</w:t>
            </w:r>
          </w:p>
        </w:tc>
        <w:tc>
          <w:tcPr>
            <w:tcW w:w="3512" w:type="dxa"/>
            <w:tcBorders>
              <w:top w:val="single" w:color="auto" w:sz="4" w:space="0"/>
              <w:left w:val="single" w:color="auto" w:sz="4" w:space="0"/>
              <w:bottom w:val="single" w:color="auto" w:sz="4" w:space="0"/>
              <w:right w:val="single" w:color="auto" w:sz="4" w:space="0"/>
            </w:tcBorders>
            <w:shd w:val="clear" w:color="auto" w:fill="auto"/>
            <w:vAlign w:val="center"/>
          </w:tcPr>
          <w:p w14:paraId="07DAD41B">
            <w:pPr>
              <w:pStyle w:val="14"/>
            </w:pPr>
            <w:r>
              <w:rPr>
                <w:rFonts w:hint="eastAsia"/>
              </w:rPr>
              <w:t>模拟口试</w:t>
            </w:r>
          </w:p>
        </w:tc>
        <w:tc>
          <w:tcPr>
            <w:tcW w:w="1272" w:type="dxa"/>
            <w:tcBorders>
              <w:top w:val="single" w:color="auto" w:sz="4" w:space="0"/>
              <w:bottom w:val="single" w:color="auto" w:sz="4" w:space="0"/>
            </w:tcBorders>
            <w:vAlign w:val="center"/>
          </w:tcPr>
          <w:p w14:paraId="3136AB4F">
            <w:pPr>
              <w:pStyle w:val="14"/>
            </w:pPr>
            <w:r>
              <w:rPr>
                <w:rFonts w:hint="eastAsia"/>
              </w:rPr>
              <w:t>④</w:t>
            </w:r>
          </w:p>
        </w:tc>
        <w:tc>
          <w:tcPr>
            <w:tcW w:w="849" w:type="dxa"/>
            <w:tcBorders>
              <w:top w:val="single" w:color="auto" w:sz="4" w:space="0"/>
              <w:bottom w:val="single" w:color="auto" w:sz="4" w:space="0"/>
            </w:tcBorders>
            <w:shd w:val="clear" w:color="auto" w:fill="auto"/>
            <w:vAlign w:val="center"/>
          </w:tcPr>
          <w:p w14:paraId="776770F9">
            <w:pPr>
              <w:pStyle w:val="13"/>
              <w:rPr>
                <w:rFonts w:ascii="宋体" w:hAnsi="宋体" w:eastAsia="宋体"/>
                <w:szCs w:val="16"/>
              </w:rPr>
            </w:pPr>
          </w:p>
        </w:tc>
        <w:tc>
          <w:tcPr>
            <w:tcW w:w="848" w:type="dxa"/>
            <w:tcBorders>
              <w:top w:val="single" w:color="auto" w:sz="4" w:space="0"/>
              <w:bottom w:val="single" w:color="auto" w:sz="4" w:space="0"/>
            </w:tcBorders>
            <w:vAlign w:val="center"/>
          </w:tcPr>
          <w:p w14:paraId="47070F97">
            <w:pPr>
              <w:pStyle w:val="14"/>
              <w:rPr>
                <w:rFonts w:ascii="宋体" w:hAnsi="宋体"/>
                <w:bCs/>
                <w:szCs w:val="16"/>
              </w:rPr>
            </w:pPr>
            <w:r>
              <w:rPr>
                <w:rFonts w:hint="eastAsia" w:ascii="宋体" w:hAnsi="宋体"/>
                <w:szCs w:val="16"/>
              </w:rPr>
              <w:t>8</w:t>
            </w:r>
          </w:p>
        </w:tc>
        <w:tc>
          <w:tcPr>
            <w:tcW w:w="786" w:type="dxa"/>
            <w:tcBorders>
              <w:top w:val="single" w:color="auto" w:sz="4" w:space="0"/>
              <w:bottom w:val="single" w:color="auto" w:sz="4" w:space="0"/>
            </w:tcBorders>
            <w:vAlign w:val="center"/>
          </w:tcPr>
          <w:p w14:paraId="33496384">
            <w:pPr>
              <w:pStyle w:val="14"/>
              <w:rPr>
                <w:rFonts w:ascii="宋体" w:hAnsi="宋体"/>
                <w:bCs/>
                <w:szCs w:val="16"/>
              </w:rPr>
            </w:pPr>
            <w:r>
              <w:rPr>
                <w:rFonts w:hint="eastAsia" w:ascii="宋体" w:hAnsi="宋体"/>
                <w:szCs w:val="16"/>
              </w:rPr>
              <w:t>8</w:t>
            </w:r>
          </w:p>
        </w:tc>
      </w:tr>
      <w:tr w14:paraId="232F6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46354A6B">
            <w:pPr>
              <w:pStyle w:val="13"/>
              <w:rPr>
                <w:szCs w:val="16"/>
              </w:rPr>
            </w:pPr>
          </w:p>
          <w:p w14:paraId="140C7D18">
            <w:pPr>
              <w:pStyle w:val="13"/>
              <w:jc w:val="left"/>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F5F1BE0">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B1BE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A7DBCDC">
            <w:pPr>
              <w:widowControl w:val="0"/>
              <w:spacing w:line="440" w:lineRule="exact"/>
              <w:jc w:val="both"/>
              <w:rPr>
                <w:rFonts w:cs="仿宋"/>
                <w:bCs/>
                <w:color w:val="000000"/>
                <w:szCs w:val="21"/>
              </w:rPr>
            </w:pPr>
            <w:r>
              <w:rPr>
                <w:rFonts w:hint="eastAsia" w:cs="仿宋"/>
                <w:bCs/>
                <w:color w:val="000000"/>
                <w:szCs w:val="21"/>
              </w:rPr>
              <w:t>实验1：</w:t>
            </w:r>
            <w:r>
              <w:rPr>
                <w:rFonts w:hint="eastAsia" w:cs="仿宋"/>
                <w:bCs/>
                <w:szCs w:val="21"/>
              </w:rPr>
              <w:t>对话练习</w:t>
            </w:r>
          </w:p>
        </w:tc>
      </w:tr>
      <w:tr w14:paraId="15EB4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F285DA5">
            <w:pPr>
              <w:pStyle w:val="14"/>
              <w:widowControl w:val="0"/>
              <w:jc w:val="left"/>
              <w:rPr>
                <w:rFonts w:ascii="宋体" w:hAnsi="宋体"/>
                <w:bCs/>
              </w:rPr>
            </w:pPr>
            <w:r>
              <w:rPr>
                <w:rFonts w:hint="eastAsia" w:ascii="宋体" w:hAnsi="宋体"/>
                <w:bCs/>
              </w:rPr>
              <w:t>教学目标：</w:t>
            </w:r>
          </w:p>
          <w:p w14:paraId="656FCE9E">
            <w:pPr>
              <w:pStyle w:val="14"/>
              <w:widowControl w:val="0"/>
              <w:numPr>
                <w:ilvl w:val="0"/>
                <w:numId w:val="1"/>
              </w:numPr>
              <w:jc w:val="left"/>
              <w:rPr>
                <w:rFonts w:ascii="宋体" w:hAnsi="宋体"/>
                <w:bCs/>
              </w:rPr>
            </w:pPr>
            <w:r>
              <w:rPr>
                <w:rFonts w:hint="eastAsia" w:ascii="宋体" w:hAnsi="宋体"/>
                <w:bCs/>
              </w:rPr>
              <w:t>通过频繁的口语对话练习，使学生能够流畅地表达自己的想法和观点，减少口语交流中的停顿和犹豫。</w:t>
            </w:r>
          </w:p>
          <w:p w14:paraId="0DFA50DA">
            <w:pPr>
              <w:pStyle w:val="14"/>
              <w:widowControl w:val="0"/>
              <w:numPr>
                <w:ilvl w:val="0"/>
                <w:numId w:val="1"/>
              </w:numPr>
              <w:jc w:val="left"/>
              <w:rPr>
                <w:rFonts w:ascii="宋体" w:hAnsi="宋体"/>
                <w:bCs/>
              </w:rPr>
            </w:pPr>
            <w:r>
              <w:rPr>
                <w:rFonts w:hint="eastAsia" w:ascii="宋体" w:hAnsi="宋体"/>
                <w:bCs/>
              </w:rPr>
              <w:t>学生掌握正确的语音发音和语调，使其听起来更加自然地说出外语。</w:t>
            </w:r>
          </w:p>
          <w:p w14:paraId="3A7F7B60">
            <w:pPr>
              <w:pStyle w:val="14"/>
              <w:widowControl w:val="0"/>
              <w:numPr>
                <w:ilvl w:val="0"/>
                <w:numId w:val="1"/>
              </w:numPr>
              <w:jc w:val="left"/>
              <w:rPr>
                <w:rFonts w:ascii="宋体" w:hAnsi="宋体"/>
                <w:bCs/>
              </w:rPr>
            </w:pPr>
            <w:r>
              <w:rPr>
                <w:rFonts w:hint="eastAsia" w:ascii="宋体" w:hAnsi="宋体"/>
                <w:bCs/>
              </w:rPr>
              <w:t>通过对话练习，培养学生的听力理解能力，使学生能够听懂并正确理解他人的口语表达。</w:t>
            </w:r>
          </w:p>
          <w:p w14:paraId="13C3227B">
            <w:pPr>
              <w:pStyle w:val="14"/>
              <w:widowControl w:val="0"/>
              <w:jc w:val="left"/>
              <w:rPr>
                <w:rFonts w:ascii="宋体" w:hAnsi="宋体"/>
                <w:bCs/>
              </w:rPr>
            </w:pPr>
            <w:r>
              <w:rPr>
                <w:rFonts w:hint="eastAsia" w:ascii="宋体" w:hAnsi="宋体"/>
                <w:bCs/>
              </w:rPr>
              <w:t>内容：</w:t>
            </w:r>
          </w:p>
          <w:p w14:paraId="1FE0F065">
            <w:pPr>
              <w:pStyle w:val="14"/>
              <w:widowControl w:val="0"/>
              <w:numPr>
                <w:ilvl w:val="0"/>
                <w:numId w:val="2"/>
              </w:numPr>
              <w:jc w:val="left"/>
              <w:rPr>
                <w:rFonts w:ascii="宋体" w:hAnsi="宋体"/>
                <w:bCs/>
              </w:rPr>
            </w:pPr>
            <w:r>
              <w:rPr>
                <w:rFonts w:hint="eastAsia" w:ascii="宋体" w:hAnsi="宋体"/>
                <w:bCs/>
              </w:rPr>
              <w:t>日常生活对话：学生练习日常生活中常见的对话场景，如问候、介绍自己、询问时间、讨论天气等。</w:t>
            </w:r>
          </w:p>
          <w:p w14:paraId="42C44D9E">
            <w:pPr>
              <w:pStyle w:val="14"/>
              <w:widowControl w:val="0"/>
              <w:numPr>
                <w:ilvl w:val="0"/>
                <w:numId w:val="2"/>
              </w:numPr>
              <w:jc w:val="left"/>
              <w:rPr>
                <w:rFonts w:ascii="宋体" w:hAnsi="宋体"/>
                <w:bCs/>
              </w:rPr>
            </w:pPr>
            <w:r>
              <w:rPr>
                <w:rFonts w:hint="eastAsia" w:ascii="宋体" w:hAnsi="宋体"/>
                <w:bCs/>
              </w:rPr>
              <w:t>社交对话：学生练习在社交场合中的对话，包括在聚会、餐厅、购物中的交流对话。</w:t>
            </w:r>
          </w:p>
          <w:p w14:paraId="76B31638">
            <w:pPr>
              <w:pStyle w:val="14"/>
              <w:widowControl w:val="0"/>
              <w:numPr>
                <w:ilvl w:val="0"/>
                <w:numId w:val="2"/>
              </w:numPr>
              <w:jc w:val="left"/>
              <w:rPr>
                <w:rFonts w:ascii="宋体" w:hAnsi="宋体"/>
                <w:bCs/>
              </w:rPr>
            </w:pPr>
            <w:r>
              <w:rPr>
                <w:rFonts w:hint="eastAsia" w:ascii="宋体" w:hAnsi="宋体"/>
                <w:bCs/>
              </w:rPr>
              <w:t>实用性对话：学生练习一些实用性较强的对话，如电话订购外卖、预订机票酒店、解决问题等。</w:t>
            </w:r>
          </w:p>
          <w:p w14:paraId="43974358">
            <w:pPr>
              <w:pStyle w:val="14"/>
              <w:widowControl w:val="0"/>
              <w:jc w:val="left"/>
              <w:rPr>
                <w:rFonts w:ascii="宋体" w:hAnsi="宋体"/>
                <w:bCs/>
              </w:rPr>
            </w:pPr>
            <w:r>
              <w:rPr>
                <w:rFonts w:hint="eastAsia" w:ascii="宋体" w:hAnsi="宋体"/>
                <w:bCs/>
              </w:rPr>
              <w:t>要求：</w:t>
            </w:r>
          </w:p>
          <w:p w14:paraId="39DD34AD">
            <w:pPr>
              <w:pStyle w:val="14"/>
              <w:widowControl w:val="0"/>
              <w:numPr>
                <w:ilvl w:val="0"/>
                <w:numId w:val="3"/>
              </w:numPr>
              <w:jc w:val="left"/>
              <w:rPr>
                <w:rFonts w:ascii="宋体" w:hAnsi="宋体"/>
                <w:bCs/>
              </w:rPr>
            </w:pPr>
            <w:r>
              <w:rPr>
                <w:rFonts w:hint="eastAsia" w:ascii="宋体" w:hAnsi="宋体"/>
                <w:bCs/>
              </w:rPr>
              <w:t>准备充分：学生需要提前准备好对话练习所需的材料，以确保练习的顺利进行。</w:t>
            </w:r>
          </w:p>
          <w:p w14:paraId="0CE98A8A">
            <w:pPr>
              <w:pStyle w:val="14"/>
              <w:widowControl w:val="0"/>
              <w:numPr>
                <w:ilvl w:val="0"/>
                <w:numId w:val="3"/>
              </w:numPr>
              <w:jc w:val="left"/>
              <w:rPr>
                <w:rFonts w:ascii="宋体" w:hAnsi="宋体"/>
                <w:bCs/>
              </w:rPr>
            </w:pPr>
            <w:r>
              <w:rPr>
                <w:rFonts w:hint="eastAsia" w:ascii="宋体" w:hAnsi="宋体"/>
                <w:bCs/>
              </w:rPr>
              <w:t>学生需要积极参与对话练习，勇于开口表达自己的想法和观点，</w:t>
            </w:r>
          </w:p>
          <w:p w14:paraId="6E02B9FA">
            <w:pPr>
              <w:pStyle w:val="14"/>
              <w:widowControl w:val="0"/>
              <w:numPr>
                <w:ilvl w:val="0"/>
                <w:numId w:val="3"/>
              </w:numPr>
              <w:jc w:val="left"/>
              <w:rPr>
                <w:rFonts w:ascii="宋体" w:hAnsi="宋体"/>
                <w:bCs/>
              </w:rPr>
            </w:pPr>
            <w:r>
              <w:rPr>
                <w:rFonts w:hint="eastAsia" w:ascii="宋体" w:hAnsi="宋体"/>
                <w:bCs/>
              </w:rPr>
              <w:t>注意语调和语速：学生需要注意自己的语调和语速，尽量清晰地表达自己的想法，避免口语表达中的模糊和含糊不清。</w:t>
            </w:r>
          </w:p>
          <w:p w14:paraId="3A63FDC1">
            <w:pPr>
              <w:pStyle w:val="14"/>
              <w:widowControl w:val="0"/>
              <w:numPr>
                <w:ilvl w:val="0"/>
                <w:numId w:val="3"/>
              </w:numPr>
              <w:jc w:val="left"/>
              <w:rPr>
                <w:rFonts w:ascii="宋体" w:hAnsi="宋体"/>
                <w:bCs/>
              </w:rPr>
            </w:pPr>
            <w:r>
              <w:rPr>
                <w:rFonts w:hint="eastAsia" w:ascii="宋体" w:hAnsi="宋体"/>
                <w:bCs/>
              </w:rPr>
              <w:t>积极提问和回答：学生需要积极提出问题，并且对他人的提问进行回答，以保持对话的流畅和连贯。</w:t>
            </w:r>
          </w:p>
          <w:p w14:paraId="522C72EB">
            <w:pPr>
              <w:pStyle w:val="14"/>
              <w:widowControl w:val="0"/>
              <w:numPr>
                <w:ilvl w:val="0"/>
                <w:numId w:val="3"/>
              </w:numPr>
              <w:jc w:val="left"/>
              <w:rPr>
                <w:rFonts w:ascii="宋体" w:hAnsi="宋体"/>
                <w:bCs/>
              </w:rPr>
            </w:pPr>
            <w:r>
              <w:rPr>
                <w:rFonts w:hint="eastAsia" w:ascii="宋体" w:hAnsi="宋体"/>
                <w:bCs/>
              </w:rPr>
              <w:t>学生需要听取教师和同伴的反馈意见，了解自己口语表达中的不足之处，并且努力改进和提高。</w:t>
            </w:r>
          </w:p>
          <w:p w14:paraId="440A935C">
            <w:pPr>
              <w:pStyle w:val="14"/>
              <w:widowControl w:val="0"/>
              <w:numPr>
                <w:ilvl w:val="0"/>
                <w:numId w:val="3"/>
              </w:numPr>
              <w:jc w:val="left"/>
              <w:rPr>
                <w:rFonts w:ascii="宋体" w:hAnsi="宋体"/>
                <w:bCs/>
              </w:rPr>
            </w:pPr>
            <w:r>
              <w:rPr>
                <w:rFonts w:hint="eastAsia" w:ascii="宋体" w:hAnsi="宋体"/>
                <w:bCs/>
              </w:rPr>
              <w:t>合作精神：学生需要展现出合作的态度，在对话练习中与对话伙伴积极互动，共同完成任务。</w:t>
            </w:r>
          </w:p>
        </w:tc>
      </w:tr>
      <w:tr w14:paraId="5EB82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4519E23">
            <w:pPr>
              <w:widowControl w:val="0"/>
              <w:spacing w:line="440" w:lineRule="exact"/>
              <w:jc w:val="both"/>
              <w:rPr>
                <w:rFonts w:cs="仿宋"/>
                <w:bCs/>
                <w:color w:val="000000"/>
                <w:szCs w:val="21"/>
              </w:rPr>
            </w:pPr>
            <w:bookmarkStart w:id="2" w:name="_Hlk160293243"/>
            <w:r>
              <w:rPr>
                <w:rFonts w:hint="eastAsia" w:cs="仿宋"/>
                <w:bCs/>
                <w:color w:val="000000"/>
                <w:szCs w:val="21"/>
              </w:rPr>
              <w:t>实验2：</w:t>
            </w:r>
            <w:r>
              <w:rPr>
                <w:rFonts w:hint="eastAsia" w:cs="仿宋"/>
                <w:bCs/>
                <w:szCs w:val="21"/>
              </w:rPr>
              <w:t>情景表演</w:t>
            </w:r>
          </w:p>
        </w:tc>
      </w:tr>
      <w:tr w14:paraId="1D4A4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Borders>
              <w:bottom w:val="single" w:color="auto" w:sz="4" w:space="0"/>
            </w:tcBorders>
          </w:tcPr>
          <w:p w14:paraId="4A5E04D9">
            <w:pPr>
              <w:pStyle w:val="14"/>
              <w:widowControl w:val="0"/>
              <w:jc w:val="left"/>
              <w:rPr>
                <w:rFonts w:ascii="宋体" w:hAnsi="宋体"/>
                <w:bCs/>
              </w:rPr>
            </w:pPr>
            <w:r>
              <w:rPr>
                <w:rFonts w:hint="eastAsia" w:ascii="宋体" w:hAnsi="宋体"/>
                <w:bCs/>
              </w:rPr>
              <w:t>教学目标：</w:t>
            </w:r>
          </w:p>
          <w:p w14:paraId="18CB3290">
            <w:pPr>
              <w:pStyle w:val="14"/>
              <w:widowControl w:val="0"/>
              <w:numPr>
                <w:ilvl w:val="0"/>
                <w:numId w:val="4"/>
              </w:numPr>
              <w:jc w:val="left"/>
              <w:rPr>
                <w:rFonts w:ascii="宋体" w:hAnsi="宋体"/>
                <w:bCs/>
              </w:rPr>
            </w:pPr>
            <w:r>
              <w:rPr>
                <w:rFonts w:hint="eastAsia" w:ascii="宋体" w:hAnsi="宋体"/>
                <w:bCs/>
              </w:rPr>
              <w:t>提高口语表达能力：通过情景表演，学生可以在真实的语言环境中练习口语表达，提高他们的口语流利度和准确性。</w:t>
            </w:r>
          </w:p>
          <w:p w14:paraId="1F8A794B">
            <w:pPr>
              <w:pStyle w:val="14"/>
              <w:widowControl w:val="0"/>
              <w:numPr>
                <w:ilvl w:val="0"/>
                <w:numId w:val="4"/>
              </w:numPr>
              <w:jc w:val="left"/>
              <w:rPr>
                <w:rFonts w:ascii="宋体" w:hAnsi="宋体"/>
                <w:bCs/>
              </w:rPr>
            </w:pPr>
            <w:r>
              <w:rPr>
                <w:rFonts w:hint="eastAsia" w:ascii="宋体" w:hAnsi="宋体"/>
                <w:bCs/>
              </w:rPr>
              <w:t>增强语言应用能力：情景表演能够帮助学生将所学语言运用到实际情境中，加深对语言的理解和掌握，并提高他们在日常生活中应用语言的能力。</w:t>
            </w:r>
          </w:p>
          <w:p w14:paraId="7D203320">
            <w:pPr>
              <w:pStyle w:val="14"/>
              <w:widowControl w:val="0"/>
              <w:numPr>
                <w:ilvl w:val="0"/>
                <w:numId w:val="4"/>
              </w:numPr>
              <w:jc w:val="left"/>
              <w:rPr>
                <w:rFonts w:ascii="宋体" w:hAnsi="宋体"/>
                <w:bCs/>
              </w:rPr>
            </w:pPr>
            <w:r>
              <w:rPr>
                <w:rFonts w:hint="eastAsia" w:ascii="宋体" w:hAnsi="宋体"/>
                <w:bCs/>
              </w:rPr>
              <w:t>培养沟通技巧：情景表演要求学生在模拟的情景中与他人进行交流，这有助于培养学生的交际技能，包括倾听、提问、回答、解释等方面的能力。</w:t>
            </w:r>
          </w:p>
          <w:p w14:paraId="5A5AE20D">
            <w:pPr>
              <w:pStyle w:val="14"/>
              <w:widowControl w:val="0"/>
              <w:numPr>
                <w:ilvl w:val="0"/>
                <w:numId w:val="4"/>
              </w:numPr>
              <w:jc w:val="left"/>
              <w:rPr>
                <w:rFonts w:ascii="宋体" w:hAnsi="宋体"/>
                <w:bCs/>
              </w:rPr>
            </w:pPr>
            <w:r>
              <w:rPr>
                <w:rFonts w:hint="eastAsia" w:ascii="宋体" w:hAnsi="宋体"/>
                <w:bCs/>
              </w:rPr>
              <w:t>培养合作意识：情景表演通常需要学生之间进行合作，共同完成任务。通过与他人合作，学生可以学会团队合作、互助互补，培养合作意识和团队精神。</w:t>
            </w:r>
          </w:p>
          <w:p w14:paraId="3871C3F9">
            <w:pPr>
              <w:pStyle w:val="14"/>
              <w:widowControl w:val="0"/>
              <w:jc w:val="left"/>
              <w:rPr>
                <w:rFonts w:ascii="宋体" w:hAnsi="宋体"/>
                <w:bCs/>
              </w:rPr>
            </w:pPr>
            <w:r>
              <w:rPr>
                <w:rFonts w:hint="eastAsia" w:ascii="宋体" w:hAnsi="宋体"/>
                <w:bCs/>
              </w:rPr>
              <w:t>内容：</w:t>
            </w:r>
          </w:p>
          <w:p w14:paraId="2FE1BB01">
            <w:pPr>
              <w:pStyle w:val="14"/>
              <w:widowControl w:val="0"/>
              <w:numPr>
                <w:ilvl w:val="0"/>
                <w:numId w:val="5"/>
              </w:numPr>
              <w:jc w:val="left"/>
              <w:rPr>
                <w:rFonts w:ascii="宋体" w:hAnsi="宋体"/>
                <w:bCs/>
              </w:rPr>
            </w:pPr>
            <w:r>
              <w:rPr>
                <w:rFonts w:hint="eastAsia" w:ascii="宋体" w:hAnsi="宋体"/>
                <w:bCs/>
              </w:rPr>
              <w:t>日常生活情景：学生扮演日常生活中的各种角色，如在家庭、学校、工作场所等场景中进行对话，包括购物、预约、约会、工作安排等情景。</w:t>
            </w:r>
          </w:p>
          <w:p w14:paraId="31E7F49D">
            <w:pPr>
              <w:pStyle w:val="14"/>
              <w:widowControl w:val="0"/>
              <w:numPr>
                <w:ilvl w:val="0"/>
                <w:numId w:val="5"/>
              </w:numPr>
              <w:jc w:val="left"/>
              <w:rPr>
                <w:rFonts w:ascii="宋体" w:hAnsi="宋体"/>
                <w:bCs/>
              </w:rPr>
            </w:pPr>
            <w:r>
              <w:rPr>
                <w:rFonts w:hint="eastAsia" w:ascii="宋体" w:hAnsi="宋体"/>
                <w:bCs/>
              </w:rPr>
              <w:t>社交场合情景：学生在社交场合中扮演各种角色，如在聚会、餐厅、咖啡馆等场合中进行对话，包括问候、介绍、交流兴趣爱好等情景。</w:t>
            </w:r>
          </w:p>
          <w:p w14:paraId="32DB8528">
            <w:pPr>
              <w:pStyle w:val="14"/>
              <w:widowControl w:val="0"/>
              <w:numPr>
                <w:ilvl w:val="0"/>
                <w:numId w:val="5"/>
              </w:numPr>
              <w:jc w:val="left"/>
              <w:rPr>
                <w:rFonts w:ascii="宋体" w:hAnsi="宋体"/>
                <w:bCs/>
              </w:rPr>
            </w:pPr>
            <w:r>
              <w:rPr>
                <w:rFonts w:hint="eastAsia" w:ascii="宋体" w:hAnsi="宋体"/>
                <w:bCs/>
              </w:rPr>
              <w:t>旅行情景：学生在旅行场景中扮演各种角色，如在机场、火车站、酒店等场所进行对话，包括询问路线、预订房间、购买票务等情景。</w:t>
            </w:r>
          </w:p>
          <w:p w14:paraId="6B2407F0">
            <w:pPr>
              <w:pStyle w:val="14"/>
              <w:widowControl w:val="0"/>
              <w:jc w:val="left"/>
              <w:rPr>
                <w:rFonts w:ascii="宋体" w:hAnsi="宋体"/>
                <w:bCs/>
              </w:rPr>
            </w:pPr>
            <w:r>
              <w:rPr>
                <w:rFonts w:hint="eastAsia" w:ascii="宋体" w:hAnsi="宋体"/>
                <w:bCs/>
              </w:rPr>
              <w:t>要求：</w:t>
            </w:r>
          </w:p>
          <w:p w14:paraId="580E1AEF">
            <w:pPr>
              <w:pStyle w:val="14"/>
              <w:widowControl w:val="0"/>
              <w:numPr>
                <w:ilvl w:val="0"/>
                <w:numId w:val="6"/>
              </w:numPr>
              <w:jc w:val="left"/>
              <w:rPr>
                <w:rFonts w:ascii="宋体" w:hAnsi="宋体"/>
                <w:bCs/>
              </w:rPr>
            </w:pPr>
            <w:r>
              <w:rPr>
                <w:rFonts w:hint="eastAsia" w:ascii="宋体" w:hAnsi="宋体"/>
                <w:bCs/>
              </w:rPr>
              <w:t>学生需要认真扮演自己在情景中所分配的角色，包括角色的身份、性格、语言风格等方面的表现。</w:t>
            </w:r>
          </w:p>
          <w:p w14:paraId="38CD3DB5">
            <w:pPr>
              <w:pStyle w:val="14"/>
              <w:widowControl w:val="0"/>
              <w:numPr>
                <w:ilvl w:val="0"/>
                <w:numId w:val="6"/>
              </w:numPr>
              <w:jc w:val="left"/>
              <w:rPr>
                <w:rFonts w:ascii="宋体" w:hAnsi="宋体"/>
                <w:bCs/>
              </w:rPr>
            </w:pPr>
            <w:r>
              <w:rPr>
                <w:rFonts w:hint="eastAsia" w:ascii="宋体" w:hAnsi="宋体"/>
                <w:bCs/>
              </w:rPr>
              <w:t>学生需要具备一定的语言表达能力，能够用所学语言流利地表达自己的想法和情感，并且尽量避免使用母语干扰表达。</w:t>
            </w:r>
          </w:p>
          <w:p w14:paraId="51786B7E">
            <w:pPr>
              <w:pStyle w:val="14"/>
              <w:widowControl w:val="0"/>
              <w:numPr>
                <w:ilvl w:val="0"/>
                <w:numId w:val="6"/>
              </w:numPr>
              <w:jc w:val="left"/>
              <w:rPr>
                <w:rFonts w:ascii="宋体" w:hAnsi="宋体"/>
                <w:bCs/>
              </w:rPr>
            </w:pPr>
            <w:r>
              <w:rPr>
                <w:rFonts w:hint="eastAsia" w:ascii="宋体" w:hAnsi="宋体"/>
                <w:bCs/>
              </w:rPr>
              <w:t>学生需要能够理解情景中其他角色的对话内容，包括语速、语调等方面的理解。</w:t>
            </w:r>
          </w:p>
          <w:p w14:paraId="53701702">
            <w:pPr>
              <w:pStyle w:val="14"/>
              <w:widowControl w:val="0"/>
              <w:numPr>
                <w:ilvl w:val="0"/>
                <w:numId w:val="6"/>
              </w:numPr>
              <w:jc w:val="left"/>
              <w:rPr>
                <w:rFonts w:ascii="宋体" w:hAnsi="宋体"/>
                <w:bCs/>
              </w:rPr>
            </w:pPr>
            <w:r>
              <w:rPr>
                <w:rFonts w:hint="eastAsia" w:ascii="宋体" w:hAnsi="宋体"/>
                <w:bCs/>
              </w:rPr>
              <w:t>学生需要能够在表演中准确地表达出所扮演角色的情感，使表演更加生动和真实。</w:t>
            </w:r>
          </w:p>
          <w:p w14:paraId="04844264">
            <w:pPr>
              <w:pStyle w:val="14"/>
              <w:widowControl w:val="0"/>
              <w:numPr>
                <w:ilvl w:val="0"/>
                <w:numId w:val="6"/>
              </w:numPr>
              <w:jc w:val="left"/>
              <w:rPr>
                <w:rFonts w:ascii="宋体" w:hAnsi="宋体"/>
                <w:bCs/>
              </w:rPr>
            </w:pPr>
            <w:r>
              <w:rPr>
                <w:rFonts w:hint="eastAsia" w:ascii="宋体" w:hAnsi="宋体"/>
                <w:bCs/>
              </w:rPr>
              <w:t>学生需要具备一定的创造力和想象力，能够在给定的情景下，想象并且创造出合适的对话内容和行为。</w:t>
            </w:r>
          </w:p>
        </w:tc>
      </w:tr>
      <w:tr w14:paraId="30519C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bottom w:val="single" w:color="auto" w:sz="2" w:space="0"/>
            </w:tcBorders>
          </w:tcPr>
          <w:p w14:paraId="576C9D96">
            <w:pPr>
              <w:pStyle w:val="14"/>
              <w:widowControl w:val="0"/>
              <w:jc w:val="left"/>
              <w:rPr>
                <w:rFonts w:ascii="宋体" w:hAnsi="宋体"/>
                <w:bCs/>
                <w:sz w:val="24"/>
                <w:szCs w:val="24"/>
              </w:rPr>
            </w:pPr>
            <w:r>
              <w:rPr>
                <w:rFonts w:hint="eastAsia" w:ascii="宋体" w:hAnsi="宋体" w:cs="仿宋"/>
                <w:bCs/>
                <w:sz w:val="24"/>
                <w:szCs w:val="24"/>
              </w:rPr>
              <w:t>实验3：模拟口试</w:t>
            </w:r>
          </w:p>
        </w:tc>
      </w:tr>
      <w:tr w14:paraId="69D6C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96" w:type="dxa"/>
            <w:tcBorders>
              <w:top w:val="single" w:color="auto" w:sz="2" w:space="0"/>
            </w:tcBorders>
          </w:tcPr>
          <w:p w14:paraId="73CC980C">
            <w:pPr>
              <w:pStyle w:val="14"/>
              <w:widowControl w:val="0"/>
              <w:jc w:val="left"/>
              <w:rPr>
                <w:rFonts w:ascii="宋体" w:hAnsi="宋体"/>
                <w:bCs/>
              </w:rPr>
            </w:pPr>
            <w:r>
              <w:rPr>
                <w:rFonts w:hint="eastAsia" w:ascii="宋体" w:hAnsi="宋体"/>
                <w:bCs/>
              </w:rPr>
              <w:t>教学目标：</w:t>
            </w:r>
          </w:p>
          <w:p w14:paraId="10797AA8">
            <w:pPr>
              <w:pStyle w:val="14"/>
              <w:widowControl w:val="0"/>
              <w:numPr>
                <w:ilvl w:val="0"/>
                <w:numId w:val="7"/>
              </w:numPr>
              <w:jc w:val="left"/>
              <w:rPr>
                <w:rFonts w:ascii="宋体" w:hAnsi="宋体"/>
                <w:bCs/>
              </w:rPr>
            </w:pPr>
            <w:r>
              <w:rPr>
                <w:rFonts w:hint="eastAsia" w:ascii="宋体" w:hAnsi="宋体"/>
                <w:bCs/>
              </w:rPr>
              <w:t>提高口语表达能力：通过模拟口试，学生能够在真实的语言环境中练习口语表达，提高他们的口语流利度、准确性和自信心。</w:t>
            </w:r>
          </w:p>
          <w:p w14:paraId="1DCC7035">
            <w:pPr>
              <w:pStyle w:val="14"/>
              <w:widowControl w:val="0"/>
              <w:numPr>
                <w:ilvl w:val="0"/>
                <w:numId w:val="7"/>
              </w:numPr>
              <w:jc w:val="left"/>
              <w:rPr>
                <w:rFonts w:ascii="宋体" w:hAnsi="宋体"/>
                <w:bCs/>
              </w:rPr>
            </w:pPr>
            <w:r>
              <w:rPr>
                <w:rFonts w:hint="eastAsia" w:ascii="宋体" w:hAnsi="宋体"/>
                <w:bCs/>
              </w:rPr>
              <w:t>训练应变能力：模拟口试能够让学生在紧张的情况下做出反应，培养他们的应变能力和自我控制能力，使他们能够更好地应对真实口试中的紧张情绪。</w:t>
            </w:r>
          </w:p>
          <w:p w14:paraId="179D109E">
            <w:pPr>
              <w:pStyle w:val="14"/>
              <w:widowControl w:val="0"/>
              <w:numPr>
                <w:ilvl w:val="0"/>
                <w:numId w:val="7"/>
              </w:numPr>
              <w:jc w:val="left"/>
              <w:rPr>
                <w:rFonts w:ascii="宋体" w:hAnsi="宋体"/>
                <w:bCs/>
              </w:rPr>
            </w:pPr>
            <w:r>
              <w:rPr>
                <w:rFonts w:hint="eastAsia" w:ascii="宋体" w:hAnsi="宋体"/>
                <w:bCs/>
              </w:rPr>
              <w:t>提高答题技巧：学生通过模拟口试，能够学习和掌握一些口试答题的技巧和方法，如如何组织语言、如何回答问题、如何运用丰富的词汇等。</w:t>
            </w:r>
          </w:p>
          <w:p w14:paraId="3EC0F43F">
            <w:pPr>
              <w:pStyle w:val="14"/>
              <w:widowControl w:val="0"/>
              <w:numPr>
                <w:ilvl w:val="0"/>
                <w:numId w:val="7"/>
              </w:numPr>
              <w:jc w:val="left"/>
              <w:rPr>
                <w:rFonts w:ascii="宋体" w:hAnsi="宋体"/>
                <w:bCs/>
              </w:rPr>
            </w:pPr>
            <w:r>
              <w:rPr>
                <w:rFonts w:hint="eastAsia" w:ascii="宋体" w:hAnsi="宋体"/>
                <w:bCs/>
              </w:rPr>
              <w:t>培养自我评价能力：学生在模拟口试结束后，可以对自己的表现进行评价和反思，发现自己的不足之处并加以改进，从而提高自我评价能力和自我提升意识。</w:t>
            </w:r>
          </w:p>
          <w:p w14:paraId="3AACB74F">
            <w:pPr>
              <w:pStyle w:val="14"/>
              <w:widowControl w:val="0"/>
              <w:jc w:val="left"/>
              <w:rPr>
                <w:rFonts w:ascii="宋体" w:hAnsi="宋体"/>
                <w:bCs/>
              </w:rPr>
            </w:pPr>
            <w:r>
              <w:rPr>
                <w:rFonts w:hint="eastAsia" w:ascii="宋体" w:hAnsi="宋体"/>
                <w:bCs/>
              </w:rPr>
              <w:t>内容：</w:t>
            </w:r>
          </w:p>
          <w:p w14:paraId="45D9E582">
            <w:pPr>
              <w:pStyle w:val="14"/>
              <w:widowControl w:val="0"/>
              <w:numPr>
                <w:ilvl w:val="0"/>
                <w:numId w:val="8"/>
              </w:numPr>
              <w:jc w:val="left"/>
              <w:rPr>
                <w:rFonts w:ascii="宋体" w:hAnsi="宋体"/>
                <w:bCs/>
              </w:rPr>
            </w:pPr>
            <w:r>
              <w:rPr>
                <w:rFonts w:hint="eastAsia" w:ascii="宋体" w:hAnsi="宋体"/>
                <w:bCs/>
              </w:rPr>
              <w:t>歌德A</w:t>
            </w:r>
            <w:r>
              <w:rPr>
                <w:rFonts w:ascii="宋体" w:hAnsi="宋体"/>
                <w:bCs/>
              </w:rPr>
              <w:t>2</w:t>
            </w:r>
            <w:r>
              <w:rPr>
                <w:rFonts w:hint="eastAsia" w:ascii="宋体" w:hAnsi="宋体"/>
                <w:bCs/>
              </w:rPr>
              <w:t>考试口语题型讲解和训练。</w:t>
            </w:r>
          </w:p>
          <w:p w14:paraId="23BBEFC1">
            <w:pPr>
              <w:pStyle w:val="14"/>
              <w:widowControl w:val="0"/>
              <w:numPr>
                <w:ilvl w:val="0"/>
                <w:numId w:val="8"/>
              </w:numPr>
              <w:jc w:val="left"/>
              <w:rPr>
                <w:rFonts w:ascii="宋体" w:hAnsi="宋体"/>
                <w:bCs/>
              </w:rPr>
            </w:pPr>
            <w:r>
              <w:rPr>
                <w:rFonts w:hint="eastAsia" w:ascii="宋体" w:hAnsi="宋体"/>
                <w:bCs/>
              </w:rPr>
              <w:t>口试技巧训练：学生可以学习和掌握一些口试答题的技巧和方法，如如何组织语言、如何回答开放性问题、如何提出问题等。这有助于提高学生的口试应对能力和自信心。</w:t>
            </w:r>
          </w:p>
          <w:p w14:paraId="1778CC5E">
            <w:pPr>
              <w:pStyle w:val="14"/>
              <w:widowControl w:val="0"/>
              <w:numPr>
                <w:ilvl w:val="0"/>
                <w:numId w:val="8"/>
              </w:numPr>
              <w:jc w:val="left"/>
              <w:rPr>
                <w:rFonts w:ascii="宋体" w:hAnsi="宋体"/>
                <w:bCs/>
              </w:rPr>
            </w:pPr>
            <w:r>
              <w:rPr>
                <w:rFonts w:hint="eastAsia" w:ascii="宋体" w:hAnsi="宋体"/>
                <w:bCs/>
              </w:rPr>
              <w:t>安排模拟考试，模拟真实的考试环境和流程，让学生在考试前进行充分的实战训练。</w:t>
            </w:r>
          </w:p>
          <w:p w14:paraId="43589BA2">
            <w:pPr>
              <w:pStyle w:val="14"/>
              <w:widowControl w:val="0"/>
              <w:jc w:val="left"/>
              <w:rPr>
                <w:rFonts w:ascii="宋体" w:hAnsi="宋体"/>
                <w:bCs/>
              </w:rPr>
            </w:pPr>
            <w:r>
              <w:rPr>
                <w:rFonts w:hint="eastAsia" w:ascii="宋体" w:hAnsi="宋体"/>
                <w:bCs/>
              </w:rPr>
              <w:t>要求：</w:t>
            </w:r>
          </w:p>
          <w:p w14:paraId="27769186">
            <w:pPr>
              <w:pStyle w:val="14"/>
              <w:widowControl w:val="0"/>
              <w:numPr>
                <w:ilvl w:val="0"/>
                <w:numId w:val="9"/>
              </w:numPr>
              <w:jc w:val="left"/>
              <w:rPr>
                <w:rFonts w:ascii="宋体" w:hAnsi="宋体"/>
                <w:bCs/>
              </w:rPr>
            </w:pPr>
            <w:r>
              <w:rPr>
                <w:rFonts w:hint="eastAsia" w:ascii="宋体" w:hAnsi="宋体"/>
                <w:bCs/>
              </w:rPr>
              <w:t>清晰度和流利度：学生的口语表达应该清晰易懂，语速适中，避免口吃和结巴，保持流畅的表达。</w:t>
            </w:r>
          </w:p>
          <w:p w14:paraId="4ECF675C">
            <w:pPr>
              <w:pStyle w:val="14"/>
              <w:widowControl w:val="0"/>
              <w:numPr>
                <w:ilvl w:val="0"/>
                <w:numId w:val="9"/>
              </w:numPr>
              <w:jc w:val="left"/>
              <w:rPr>
                <w:rFonts w:ascii="宋体" w:hAnsi="宋体"/>
                <w:bCs/>
              </w:rPr>
            </w:pPr>
            <w:r>
              <w:rPr>
                <w:rFonts w:hint="eastAsia" w:ascii="宋体" w:hAnsi="宋体"/>
                <w:bCs/>
              </w:rPr>
              <w:t>准确性和正确性：学生的口语表达应准确无误，语法和词汇的使用应符合德语语言规范，避免频繁的语法错误和词汇选择错误。</w:t>
            </w:r>
          </w:p>
          <w:p w14:paraId="1852ED36">
            <w:pPr>
              <w:pStyle w:val="14"/>
              <w:widowControl w:val="0"/>
              <w:numPr>
                <w:ilvl w:val="0"/>
                <w:numId w:val="9"/>
              </w:numPr>
              <w:jc w:val="left"/>
              <w:rPr>
                <w:rFonts w:ascii="宋体" w:hAnsi="宋体"/>
                <w:bCs/>
              </w:rPr>
            </w:pPr>
            <w:r>
              <w:rPr>
                <w:rFonts w:hint="eastAsia" w:ascii="宋体" w:hAnsi="宋体"/>
                <w:bCs/>
              </w:rPr>
              <w:t>内容连贯性：学生的口语表达应该有条理，内容之间逻辑清晰，不应出现跳跃或断断续续的情况。</w:t>
            </w:r>
          </w:p>
          <w:p w14:paraId="0879018E">
            <w:pPr>
              <w:pStyle w:val="14"/>
              <w:widowControl w:val="0"/>
              <w:numPr>
                <w:ilvl w:val="0"/>
                <w:numId w:val="9"/>
              </w:numPr>
              <w:jc w:val="left"/>
              <w:rPr>
                <w:rFonts w:ascii="宋体" w:hAnsi="宋体"/>
                <w:bCs/>
              </w:rPr>
            </w:pPr>
            <w:r>
              <w:rPr>
                <w:rFonts w:hint="eastAsia" w:ascii="宋体" w:hAnsi="宋体"/>
                <w:bCs/>
              </w:rPr>
              <w:t>应对能力：学生需要具备一定的应对能力，在面对不同情境和问题时能够迅速作出反应，并给出恰当的回答或反馈。</w:t>
            </w:r>
          </w:p>
        </w:tc>
      </w:tr>
      <w:bookmarkEnd w:id="2"/>
    </w:tbl>
    <w:p w14:paraId="111DC87A">
      <w:pPr>
        <w:pStyle w:val="17"/>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85"/>
        <w:gridCol w:w="1596"/>
        <w:gridCol w:w="1449"/>
        <w:gridCol w:w="1306"/>
        <w:gridCol w:w="1240"/>
      </w:tblGrid>
      <w:tr w14:paraId="2F0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20" w:type="dxa"/>
            <w:tcBorders>
              <w:top w:val="single" w:color="auto" w:sz="12" w:space="0"/>
              <w:left w:val="single" w:color="auto" w:sz="12" w:space="0"/>
              <w:tl2br w:val="single" w:color="auto" w:sz="4" w:space="0"/>
            </w:tcBorders>
          </w:tcPr>
          <w:p w14:paraId="3C1A17C4">
            <w:pPr>
              <w:pStyle w:val="13"/>
              <w:ind w:firstLine="489"/>
              <w:jc w:val="right"/>
              <w:rPr>
                <w:szCs w:val="16"/>
              </w:rPr>
            </w:pPr>
            <w:r>
              <w:rPr>
                <w:rFonts w:hint="eastAsia"/>
                <w:szCs w:val="16"/>
              </w:rPr>
              <w:t>课程目标</w:t>
            </w:r>
          </w:p>
          <w:p w14:paraId="1E38B72B">
            <w:pPr>
              <w:pStyle w:val="13"/>
              <w:ind w:right="210"/>
              <w:jc w:val="left"/>
              <w:rPr>
                <w:szCs w:val="16"/>
              </w:rPr>
            </w:pPr>
          </w:p>
          <w:p w14:paraId="225F9CB9">
            <w:pPr>
              <w:pStyle w:val="13"/>
              <w:ind w:right="210"/>
              <w:jc w:val="left"/>
              <w:rPr>
                <w:szCs w:val="16"/>
              </w:rPr>
            </w:pPr>
            <w:r>
              <w:rPr>
                <w:rFonts w:hint="eastAsia"/>
                <w:szCs w:val="16"/>
              </w:rPr>
              <w:t>实验项目名称</w:t>
            </w:r>
          </w:p>
        </w:tc>
        <w:tc>
          <w:tcPr>
            <w:tcW w:w="1560" w:type="dxa"/>
            <w:tcBorders>
              <w:top w:val="single" w:color="auto" w:sz="12" w:space="0"/>
            </w:tcBorders>
            <w:vAlign w:val="center"/>
          </w:tcPr>
          <w:p w14:paraId="63EC96F3">
            <w:pPr>
              <w:pStyle w:val="13"/>
              <w:rPr>
                <w:szCs w:val="16"/>
              </w:rPr>
            </w:pPr>
            <w:r>
              <w:rPr>
                <w:rFonts w:hint="eastAsia"/>
                <w:szCs w:val="16"/>
              </w:rPr>
              <w:t>1</w:t>
            </w:r>
          </w:p>
        </w:tc>
        <w:tc>
          <w:tcPr>
            <w:tcW w:w="1417" w:type="dxa"/>
            <w:tcBorders>
              <w:top w:val="single" w:color="auto" w:sz="12" w:space="0"/>
            </w:tcBorders>
            <w:vAlign w:val="center"/>
          </w:tcPr>
          <w:p w14:paraId="0C3ADD74">
            <w:pPr>
              <w:pStyle w:val="13"/>
              <w:rPr>
                <w:szCs w:val="16"/>
              </w:rPr>
            </w:pPr>
            <w:r>
              <w:rPr>
                <w:szCs w:val="16"/>
              </w:rPr>
              <w:t>2</w:t>
            </w:r>
          </w:p>
        </w:tc>
        <w:tc>
          <w:tcPr>
            <w:tcW w:w="1277" w:type="dxa"/>
            <w:tcBorders>
              <w:top w:val="single" w:color="auto" w:sz="12" w:space="0"/>
            </w:tcBorders>
            <w:vAlign w:val="center"/>
          </w:tcPr>
          <w:p w14:paraId="39F6EF08">
            <w:pPr>
              <w:pStyle w:val="13"/>
              <w:rPr>
                <w:szCs w:val="16"/>
              </w:rPr>
            </w:pPr>
            <w:r>
              <w:rPr>
                <w:rFonts w:hint="eastAsia"/>
                <w:szCs w:val="16"/>
              </w:rPr>
              <w:t>3</w:t>
            </w:r>
          </w:p>
        </w:tc>
        <w:tc>
          <w:tcPr>
            <w:tcW w:w="1212" w:type="dxa"/>
            <w:tcBorders>
              <w:top w:val="single" w:color="auto" w:sz="12" w:space="0"/>
            </w:tcBorders>
            <w:vAlign w:val="center"/>
          </w:tcPr>
          <w:p w14:paraId="2D2E8158">
            <w:pPr>
              <w:pStyle w:val="13"/>
              <w:rPr>
                <w:szCs w:val="16"/>
              </w:rPr>
            </w:pPr>
            <w:r>
              <w:rPr>
                <w:rFonts w:hint="eastAsia"/>
                <w:szCs w:val="16"/>
              </w:rPr>
              <w:t>4</w:t>
            </w:r>
          </w:p>
        </w:tc>
      </w:tr>
      <w:tr w14:paraId="7B54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tcPr>
          <w:p w14:paraId="7CFFBE4B">
            <w:pPr>
              <w:pStyle w:val="14"/>
            </w:pPr>
            <w:r>
              <w:rPr>
                <w:rFonts w:hint="eastAsia"/>
              </w:rPr>
              <w:t>对话练习</w:t>
            </w:r>
          </w:p>
        </w:tc>
        <w:tc>
          <w:tcPr>
            <w:tcW w:w="1560" w:type="dxa"/>
            <w:vAlign w:val="center"/>
          </w:tcPr>
          <w:p w14:paraId="2A3D25A5">
            <w:pPr>
              <w:pStyle w:val="14"/>
            </w:pPr>
            <w:r>
              <w:rPr>
                <w:rFonts w:hint="eastAsia"/>
              </w:rPr>
              <w:t>√</w:t>
            </w:r>
          </w:p>
        </w:tc>
        <w:tc>
          <w:tcPr>
            <w:tcW w:w="1417" w:type="dxa"/>
            <w:vAlign w:val="center"/>
          </w:tcPr>
          <w:p w14:paraId="0ABF8F29">
            <w:pPr>
              <w:pStyle w:val="14"/>
            </w:pPr>
            <w:r>
              <w:rPr>
                <w:rFonts w:hint="eastAsia"/>
              </w:rPr>
              <w:t>√</w:t>
            </w:r>
          </w:p>
        </w:tc>
        <w:tc>
          <w:tcPr>
            <w:tcW w:w="1277" w:type="dxa"/>
            <w:vAlign w:val="center"/>
          </w:tcPr>
          <w:p w14:paraId="0C8A3242">
            <w:pPr>
              <w:pStyle w:val="14"/>
            </w:pPr>
            <w:r>
              <w:rPr>
                <w:rFonts w:hint="eastAsia"/>
              </w:rPr>
              <w:t>√</w:t>
            </w:r>
          </w:p>
        </w:tc>
        <w:tc>
          <w:tcPr>
            <w:tcW w:w="1212" w:type="dxa"/>
            <w:vAlign w:val="center"/>
          </w:tcPr>
          <w:p w14:paraId="3A2A5B5F">
            <w:pPr>
              <w:pStyle w:val="14"/>
            </w:pPr>
          </w:p>
        </w:tc>
      </w:tr>
      <w:tr w14:paraId="17B4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tcBorders>
          </w:tcPr>
          <w:p w14:paraId="2A0CD492">
            <w:pPr>
              <w:pStyle w:val="14"/>
            </w:pPr>
            <w:r>
              <w:rPr>
                <w:rFonts w:hint="eastAsia"/>
              </w:rPr>
              <w:t>情景表演</w:t>
            </w:r>
          </w:p>
        </w:tc>
        <w:tc>
          <w:tcPr>
            <w:tcW w:w="1560" w:type="dxa"/>
            <w:vAlign w:val="center"/>
          </w:tcPr>
          <w:p w14:paraId="11FD8966">
            <w:pPr>
              <w:pStyle w:val="14"/>
            </w:pPr>
          </w:p>
        </w:tc>
        <w:tc>
          <w:tcPr>
            <w:tcW w:w="1417" w:type="dxa"/>
            <w:vAlign w:val="center"/>
          </w:tcPr>
          <w:p w14:paraId="30AB8D59">
            <w:pPr>
              <w:pStyle w:val="14"/>
            </w:pPr>
          </w:p>
        </w:tc>
        <w:tc>
          <w:tcPr>
            <w:tcW w:w="1277" w:type="dxa"/>
            <w:vAlign w:val="center"/>
          </w:tcPr>
          <w:p w14:paraId="44024139">
            <w:pPr>
              <w:pStyle w:val="14"/>
            </w:pPr>
            <w:r>
              <w:rPr>
                <w:rFonts w:hint="eastAsia"/>
              </w:rPr>
              <w:t>√</w:t>
            </w:r>
          </w:p>
        </w:tc>
        <w:tc>
          <w:tcPr>
            <w:tcW w:w="1212" w:type="dxa"/>
            <w:vAlign w:val="center"/>
          </w:tcPr>
          <w:p w14:paraId="3F59D1CC">
            <w:pPr>
              <w:pStyle w:val="14"/>
            </w:pPr>
            <w:r>
              <w:rPr>
                <w:rFonts w:hint="eastAsia"/>
              </w:rPr>
              <w:t>√</w:t>
            </w:r>
          </w:p>
        </w:tc>
      </w:tr>
      <w:tr w14:paraId="51F4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20" w:type="dxa"/>
            <w:tcBorders>
              <w:left w:val="single" w:color="auto" w:sz="12" w:space="0"/>
              <w:bottom w:val="single" w:color="auto" w:sz="12" w:space="0"/>
            </w:tcBorders>
          </w:tcPr>
          <w:p w14:paraId="2C68ED84">
            <w:pPr>
              <w:pStyle w:val="14"/>
            </w:pPr>
            <w:r>
              <w:rPr>
                <w:rFonts w:hint="eastAsia"/>
              </w:rPr>
              <w:t>模拟口试</w:t>
            </w:r>
          </w:p>
        </w:tc>
        <w:tc>
          <w:tcPr>
            <w:tcW w:w="1560" w:type="dxa"/>
            <w:tcBorders>
              <w:bottom w:val="single" w:color="auto" w:sz="12" w:space="0"/>
            </w:tcBorders>
            <w:vAlign w:val="center"/>
          </w:tcPr>
          <w:p w14:paraId="3D610D87">
            <w:pPr>
              <w:pStyle w:val="14"/>
            </w:pPr>
            <w:r>
              <w:rPr>
                <w:rFonts w:hint="eastAsia"/>
              </w:rPr>
              <w:t>√</w:t>
            </w:r>
          </w:p>
        </w:tc>
        <w:tc>
          <w:tcPr>
            <w:tcW w:w="1417" w:type="dxa"/>
            <w:tcBorders>
              <w:bottom w:val="single" w:color="auto" w:sz="12" w:space="0"/>
            </w:tcBorders>
            <w:vAlign w:val="center"/>
          </w:tcPr>
          <w:p w14:paraId="189938F2">
            <w:pPr>
              <w:pStyle w:val="14"/>
            </w:pPr>
            <w:r>
              <w:rPr>
                <w:rFonts w:hint="eastAsia"/>
              </w:rPr>
              <w:t>√</w:t>
            </w:r>
          </w:p>
        </w:tc>
        <w:tc>
          <w:tcPr>
            <w:tcW w:w="1277" w:type="dxa"/>
            <w:tcBorders>
              <w:bottom w:val="single" w:color="auto" w:sz="12" w:space="0"/>
            </w:tcBorders>
            <w:vAlign w:val="center"/>
          </w:tcPr>
          <w:p w14:paraId="4F5D2CEB">
            <w:pPr>
              <w:pStyle w:val="14"/>
            </w:pPr>
            <w:r>
              <w:rPr>
                <w:rFonts w:hint="eastAsia"/>
              </w:rPr>
              <w:t>√</w:t>
            </w:r>
          </w:p>
        </w:tc>
        <w:tc>
          <w:tcPr>
            <w:tcW w:w="1212" w:type="dxa"/>
            <w:tcBorders>
              <w:bottom w:val="single" w:color="auto" w:sz="12" w:space="0"/>
            </w:tcBorders>
            <w:vAlign w:val="center"/>
          </w:tcPr>
          <w:p w14:paraId="772D9F8C">
            <w:pPr>
              <w:pStyle w:val="14"/>
            </w:pPr>
          </w:p>
        </w:tc>
      </w:tr>
      <w:bookmarkEnd w:id="0"/>
      <w:bookmarkEnd w:id="1"/>
    </w:tbl>
    <w:p w14:paraId="04F6BA44">
      <w:pPr>
        <w:pStyle w:val="16"/>
        <w:spacing w:before="326" w:beforeLines="100" w:line="360" w:lineRule="auto"/>
        <w:rPr>
          <w:rFonts w:ascii="黑体" w:hAnsi="宋体"/>
          <w:highlight w:val="green"/>
        </w:rPr>
      </w:pPr>
      <w:bookmarkStart w:id="3" w:name="OLE_LINK4"/>
      <w:bookmarkStart w:id="4"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9249F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5C32020F">
            <w:pPr>
              <w:pStyle w:val="14"/>
              <w:widowControl w:val="0"/>
              <w:jc w:val="left"/>
              <w:rPr>
                <w:rFonts w:ascii="宋体" w:hAnsi="宋体"/>
                <w:bCs/>
              </w:rPr>
            </w:pPr>
            <w:r>
              <w:rPr>
                <w:rFonts w:hint="eastAsia" w:ascii="宋体" w:hAnsi="宋体"/>
                <w:bCs/>
              </w:rPr>
              <w:t>该课程在以提高学生德语口语水平为目的的同时，将“爱岗敬业”作为为课程思政育人目标，引导学生热爱所学专业，锤炼外语表达技能，提升跨文化交际能力，并树立崇高职业理想与职业道德。</w:t>
            </w:r>
          </w:p>
          <w:p w14:paraId="408CA642">
            <w:pPr>
              <w:pStyle w:val="14"/>
              <w:widowControl w:val="0"/>
              <w:jc w:val="left"/>
              <w:rPr>
                <w:rFonts w:ascii="宋体" w:hAnsi="宋体"/>
                <w:bCs/>
              </w:rPr>
            </w:pPr>
            <w:r>
              <w:rPr>
                <w:rFonts w:hint="eastAsia" w:ascii="宋体" w:hAnsi="宋体"/>
                <w:bCs/>
              </w:rPr>
              <w:t>在课程教学中选好主题，充分利用课堂讨论活动，在提高学生口语表达能力的同时挖掘日常生活、文化艺术、体育、科学技术主题的课程思政元素，将社会主义核心价值观、新时代社会主义思想、职业理想与职业道德及中华优秀传统文化教育融入到口语话题的讨论中，培养学生的全球视野、人文情怀以及多元文化包容性。</w:t>
            </w:r>
          </w:p>
        </w:tc>
      </w:tr>
      <w:bookmarkEnd w:id="3"/>
      <w:bookmarkEnd w:id="4"/>
    </w:tbl>
    <w:p w14:paraId="723E0004">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049"/>
        <w:gridCol w:w="850"/>
        <w:gridCol w:w="851"/>
        <w:gridCol w:w="922"/>
        <w:gridCol w:w="706"/>
      </w:tblGrid>
      <w:tr w14:paraId="21A6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14:paraId="40B1C37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43791A0">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449F5E1">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0037B5FD">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7465827">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9EA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30314C">
            <w:pPr>
              <w:widowControl w:val="0"/>
              <w:snapToGrid w:val="0"/>
              <w:jc w:val="center"/>
              <w:rPr>
                <w:rFonts w:ascii="黑体" w:hAnsi="黑体" w:eastAsia="黑体"/>
                <w:bCs/>
                <w:sz w:val="21"/>
                <w:szCs w:val="21"/>
              </w:rPr>
            </w:pPr>
          </w:p>
        </w:tc>
        <w:tc>
          <w:tcPr>
            <w:tcW w:w="709" w:type="dxa"/>
            <w:vMerge w:val="continue"/>
          </w:tcPr>
          <w:p w14:paraId="7436D80B">
            <w:pPr>
              <w:pStyle w:val="16"/>
              <w:widowControl w:val="0"/>
              <w:jc w:val="both"/>
              <w:rPr>
                <w:rFonts w:ascii="黑体" w:hAnsi="黑体"/>
                <w:bCs/>
                <w:sz w:val="21"/>
                <w:szCs w:val="21"/>
              </w:rPr>
            </w:pPr>
          </w:p>
        </w:tc>
        <w:tc>
          <w:tcPr>
            <w:tcW w:w="2353" w:type="dxa"/>
            <w:vMerge w:val="continue"/>
            <w:tcBorders>
              <w:right w:val="double" w:color="auto" w:sz="4" w:space="0"/>
            </w:tcBorders>
          </w:tcPr>
          <w:p w14:paraId="227A7B76">
            <w:pPr>
              <w:pStyle w:val="16"/>
              <w:widowControl w:val="0"/>
              <w:jc w:val="both"/>
              <w:rPr>
                <w:rFonts w:ascii="黑体" w:hAnsi="黑体"/>
                <w:bCs/>
                <w:sz w:val="21"/>
                <w:szCs w:val="21"/>
              </w:rPr>
            </w:pPr>
          </w:p>
        </w:tc>
        <w:tc>
          <w:tcPr>
            <w:tcW w:w="1049" w:type="dxa"/>
            <w:tcBorders>
              <w:left w:val="double" w:color="auto" w:sz="4" w:space="0"/>
            </w:tcBorders>
            <w:vAlign w:val="center"/>
          </w:tcPr>
          <w:p w14:paraId="24228F9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50" w:type="dxa"/>
            <w:vAlign w:val="center"/>
          </w:tcPr>
          <w:p w14:paraId="55628215">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14:paraId="42827D6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922" w:type="dxa"/>
            <w:vAlign w:val="center"/>
          </w:tcPr>
          <w:p w14:paraId="16B82503">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3FC80D59">
            <w:pPr>
              <w:pStyle w:val="16"/>
              <w:widowControl w:val="0"/>
              <w:spacing w:line="240" w:lineRule="auto"/>
              <w:jc w:val="center"/>
              <w:rPr>
                <w:rFonts w:ascii="黑体" w:hAnsi="黑体"/>
                <w:bCs/>
                <w:sz w:val="21"/>
                <w:szCs w:val="21"/>
              </w:rPr>
            </w:pPr>
          </w:p>
        </w:tc>
      </w:tr>
      <w:tr w14:paraId="2223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8D6249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F423609">
            <w:pPr>
              <w:pStyle w:val="14"/>
              <w:widowControl w:val="0"/>
            </w:pPr>
            <w:r>
              <w:t>20%</w:t>
            </w:r>
          </w:p>
        </w:tc>
        <w:tc>
          <w:tcPr>
            <w:tcW w:w="2353" w:type="dxa"/>
            <w:tcBorders>
              <w:right w:val="double" w:color="auto" w:sz="4" w:space="0"/>
            </w:tcBorders>
            <w:vAlign w:val="center"/>
          </w:tcPr>
          <w:p w14:paraId="0698B6F2">
            <w:pPr>
              <w:pStyle w:val="14"/>
              <w:widowControl w:val="0"/>
            </w:pPr>
            <w:r>
              <w:rPr>
                <w:rFonts w:hint="eastAsia"/>
              </w:rPr>
              <w:t>课堂对话</w:t>
            </w:r>
          </w:p>
        </w:tc>
        <w:tc>
          <w:tcPr>
            <w:tcW w:w="1049" w:type="dxa"/>
            <w:tcBorders>
              <w:left w:val="double" w:color="auto" w:sz="4" w:space="0"/>
            </w:tcBorders>
            <w:vAlign w:val="center"/>
          </w:tcPr>
          <w:p w14:paraId="59DB43AA">
            <w:pPr>
              <w:pStyle w:val="14"/>
              <w:widowControl w:val="0"/>
            </w:pPr>
            <w:r>
              <w:rPr>
                <w:rFonts w:hint="eastAsia"/>
              </w:rPr>
              <w:t>2</w:t>
            </w:r>
            <w:r>
              <w:t>0</w:t>
            </w:r>
          </w:p>
        </w:tc>
        <w:tc>
          <w:tcPr>
            <w:tcW w:w="850" w:type="dxa"/>
            <w:vAlign w:val="center"/>
          </w:tcPr>
          <w:p w14:paraId="0E3EAFA1">
            <w:pPr>
              <w:pStyle w:val="14"/>
              <w:widowControl w:val="0"/>
            </w:pPr>
            <w:r>
              <w:t>30</w:t>
            </w:r>
          </w:p>
        </w:tc>
        <w:tc>
          <w:tcPr>
            <w:tcW w:w="851" w:type="dxa"/>
            <w:vAlign w:val="center"/>
          </w:tcPr>
          <w:p w14:paraId="45552136">
            <w:pPr>
              <w:pStyle w:val="14"/>
              <w:widowControl w:val="0"/>
            </w:pPr>
            <w:r>
              <w:t>30</w:t>
            </w:r>
          </w:p>
        </w:tc>
        <w:tc>
          <w:tcPr>
            <w:tcW w:w="922" w:type="dxa"/>
            <w:vAlign w:val="center"/>
          </w:tcPr>
          <w:p w14:paraId="14B53A08">
            <w:pPr>
              <w:pStyle w:val="14"/>
              <w:widowControl w:val="0"/>
            </w:pPr>
            <w:r>
              <w:t>20</w:t>
            </w:r>
          </w:p>
        </w:tc>
        <w:tc>
          <w:tcPr>
            <w:tcW w:w="706" w:type="dxa"/>
            <w:tcBorders>
              <w:right w:val="single" w:color="auto" w:sz="12" w:space="0"/>
            </w:tcBorders>
            <w:vAlign w:val="center"/>
          </w:tcPr>
          <w:p w14:paraId="6E504B6E">
            <w:pPr>
              <w:pStyle w:val="14"/>
              <w:widowControl w:val="0"/>
            </w:pPr>
            <w:r>
              <w:rPr>
                <w:rFonts w:hint="eastAsia"/>
              </w:rPr>
              <w:t>1</w:t>
            </w:r>
            <w:r>
              <w:t>00</w:t>
            </w:r>
          </w:p>
        </w:tc>
      </w:tr>
      <w:tr w14:paraId="7B2F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9E501D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8EFB060">
            <w:pPr>
              <w:pStyle w:val="14"/>
              <w:widowControl w:val="0"/>
            </w:pPr>
            <w:r>
              <w:t>30%</w:t>
            </w:r>
          </w:p>
        </w:tc>
        <w:tc>
          <w:tcPr>
            <w:tcW w:w="2353" w:type="dxa"/>
            <w:tcBorders>
              <w:right w:val="double" w:color="auto" w:sz="4" w:space="0"/>
            </w:tcBorders>
            <w:vAlign w:val="center"/>
          </w:tcPr>
          <w:p w14:paraId="13B13640">
            <w:pPr>
              <w:pStyle w:val="14"/>
              <w:widowControl w:val="0"/>
            </w:pPr>
            <w:r>
              <w:rPr>
                <w:rFonts w:hint="eastAsia"/>
              </w:rPr>
              <w:t>课后作业</w:t>
            </w:r>
          </w:p>
        </w:tc>
        <w:tc>
          <w:tcPr>
            <w:tcW w:w="1049" w:type="dxa"/>
            <w:tcBorders>
              <w:left w:val="double" w:color="auto" w:sz="4" w:space="0"/>
            </w:tcBorders>
            <w:vAlign w:val="center"/>
          </w:tcPr>
          <w:p w14:paraId="09408A68">
            <w:pPr>
              <w:pStyle w:val="14"/>
              <w:widowControl w:val="0"/>
            </w:pPr>
          </w:p>
        </w:tc>
        <w:tc>
          <w:tcPr>
            <w:tcW w:w="850" w:type="dxa"/>
            <w:vAlign w:val="center"/>
          </w:tcPr>
          <w:p w14:paraId="50C49DEE">
            <w:pPr>
              <w:pStyle w:val="14"/>
              <w:widowControl w:val="0"/>
            </w:pPr>
            <w:r>
              <w:rPr>
                <w:rFonts w:hint="eastAsia"/>
              </w:rPr>
              <w:t>4</w:t>
            </w:r>
            <w:r>
              <w:t>0</w:t>
            </w:r>
          </w:p>
        </w:tc>
        <w:tc>
          <w:tcPr>
            <w:tcW w:w="851" w:type="dxa"/>
            <w:vAlign w:val="center"/>
          </w:tcPr>
          <w:p w14:paraId="0FA08A7D">
            <w:pPr>
              <w:pStyle w:val="14"/>
              <w:widowControl w:val="0"/>
            </w:pPr>
            <w:r>
              <w:rPr>
                <w:rFonts w:hint="eastAsia"/>
              </w:rPr>
              <w:t>4</w:t>
            </w:r>
            <w:r>
              <w:t>0</w:t>
            </w:r>
          </w:p>
        </w:tc>
        <w:tc>
          <w:tcPr>
            <w:tcW w:w="922" w:type="dxa"/>
            <w:vAlign w:val="center"/>
          </w:tcPr>
          <w:p w14:paraId="6FCE17CC">
            <w:pPr>
              <w:pStyle w:val="14"/>
              <w:widowControl w:val="0"/>
            </w:pPr>
            <w:r>
              <w:rPr>
                <w:rFonts w:hint="eastAsia"/>
              </w:rPr>
              <w:t>2</w:t>
            </w:r>
            <w:r>
              <w:t>0</w:t>
            </w:r>
          </w:p>
        </w:tc>
        <w:tc>
          <w:tcPr>
            <w:tcW w:w="706" w:type="dxa"/>
            <w:tcBorders>
              <w:right w:val="single" w:color="auto" w:sz="12" w:space="0"/>
            </w:tcBorders>
            <w:vAlign w:val="center"/>
          </w:tcPr>
          <w:p w14:paraId="17287846">
            <w:pPr>
              <w:pStyle w:val="14"/>
              <w:widowControl w:val="0"/>
            </w:pPr>
            <w:r>
              <w:rPr>
                <w:rFonts w:hint="eastAsia"/>
              </w:rPr>
              <w:t>1</w:t>
            </w:r>
            <w:r>
              <w:t>00</w:t>
            </w:r>
          </w:p>
        </w:tc>
      </w:tr>
      <w:tr w14:paraId="39E7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F96140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0E68E0A">
            <w:pPr>
              <w:pStyle w:val="14"/>
              <w:widowControl w:val="0"/>
            </w:pPr>
            <w:r>
              <w:t>50%</w:t>
            </w:r>
          </w:p>
        </w:tc>
        <w:tc>
          <w:tcPr>
            <w:tcW w:w="2353" w:type="dxa"/>
            <w:tcBorders>
              <w:right w:val="double" w:color="auto" w:sz="4" w:space="0"/>
            </w:tcBorders>
            <w:vAlign w:val="center"/>
          </w:tcPr>
          <w:p w14:paraId="61AE762A">
            <w:pPr>
              <w:pStyle w:val="14"/>
              <w:widowControl w:val="0"/>
            </w:pPr>
            <w:r>
              <w:rPr>
                <w:rFonts w:hint="eastAsia"/>
              </w:rPr>
              <w:t>口语测试</w:t>
            </w:r>
          </w:p>
        </w:tc>
        <w:tc>
          <w:tcPr>
            <w:tcW w:w="1049" w:type="dxa"/>
            <w:tcBorders>
              <w:left w:val="double" w:color="auto" w:sz="4" w:space="0"/>
            </w:tcBorders>
            <w:vAlign w:val="center"/>
          </w:tcPr>
          <w:p w14:paraId="736A0F32">
            <w:pPr>
              <w:pStyle w:val="14"/>
              <w:widowControl w:val="0"/>
            </w:pPr>
            <w:r>
              <w:rPr>
                <w:rFonts w:hint="eastAsia"/>
              </w:rPr>
              <w:t>2</w:t>
            </w:r>
            <w:r>
              <w:t>0</w:t>
            </w:r>
          </w:p>
        </w:tc>
        <w:tc>
          <w:tcPr>
            <w:tcW w:w="850" w:type="dxa"/>
            <w:vAlign w:val="center"/>
          </w:tcPr>
          <w:p w14:paraId="43C74744">
            <w:pPr>
              <w:pStyle w:val="14"/>
              <w:widowControl w:val="0"/>
            </w:pPr>
            <w:r>
              <w:rPr>
                <w:rFonts w:hint="eastAsia"/>
              </w:rPr>
              <w:t>4</w:t>
            </w:r>
            <w:r>
              <w:t>0</w:t>
            </w:r>
          </w:p>
        </w:tc>
        <w:tc>
          <w:tcPr>
            <w:tcW w:w="851" w:type="dxa"/>
            <w:vAlign w:val="center"/>
          </w:tcPr>
          <w:p w14:paraId="4B203F5E">
            <w:pPr>
              <w:pStyle w:val="14"/>
              <w:widowControl w:val="0"/>
            </w:pPr>
            <w:r>
              <w:t>40</w:t>
            </w:r>
          </w:p>
        </w:tc>
        <w:tc>
          <w:tcPr>
            <w:tcW w:w="922" w:type="dxa"/>
            <w:vAlign w:val="center"/>
          </w:tcPr>
          <w:p w14:paraId="6189C80B">
            <w:pPr>
              <w:pStyle w:val="14"/>
              <w:widowControl w:val="0"/>
            </w:pPr>
          </w:p>
        </w:tc>
        <w:tc>
          <w:tcPr>
            <w:tcW w:w="706" w:type="dxa"/>
            <w:tcBorders>
              <w:right w:val="single" w:color="auto" w:sz="12" w:space="0"/>
            </w:tcBorders>
            <w:vAlign w:val="center"/>
          </w:tcPr>
          <w:p w14:paraId="58CC039E">
            <w:pPr>
              <w:pStyle w:val="14"/>
              <w:widowControl w:val="0"/>
            </w:pPr>
            <w:r>
              <w:rPr>
                <w:rFonts w:hint="eastAsia"/>
              </w:rPr>
              <w:t>1</w:t>
            </w:r>
            <w:r>
              <w:t>00</w:t>
            </w:r>
          </w:p>
        </w:tc>
      </w:tr>
    </w:tbl>
    <w:p w14:paraId="43A6DFF5">
      <w:pPr>
        <w:pStyle w:val="16"/>
        <w:spacing w:before="326" w:beforeLines="100" w:line="360" w:lineRule="auto"/>
        <w:rPr>
          <w:rFonts w:ascii="黑体" w:hAnsi="宋体"/>
        </w:rPr>
      </w:pPr>
    </w:p>
    <w:p w14:paraId="70FD8576">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73C5">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DCDEE67">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DCDEE67">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63331"/>
    <w:multiLevelType w:val="multilevel"/>
    <w:tmpl w:val="04D6333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D395BE6"/>
    <w:multiLevelType w:val="multilevel"/>
    <w:tmpl w:val="1D395BE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D464861"/>
    <w:multiLevelType w:val="multilevel"/>
    <w:tmpl w:val="1D46486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DBB4804"/>
    <w:multiLevelType w:val="multilevel"/>
    <w:tmpl w:val="1DBB48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07E05F2"/>
    <w:multiLevelType w:val="multilevel"/>
    <w:tmpl w:val="307E05F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45B4BB0"/>
    <w:multiLevelType w:val="multilevel"/>
    <w:tmpl w:val="345B4BB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CFF3CE9"/>
    <w:multiLevelType w:val="multilevel"/>
    <w:tmpl w:val="3CFF3CE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25674AB"/>
    <w:multiLevelType w:val="multilevel"/>
    <w:tmpl w:val="525674A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A3D6577"/>
    <w:multiLevelType w:val="multilevel"/>
    <w:tmpl w:val="6A3D657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6"/>
  </w:num>
  <w:num w:numId="3">
    <w:abstractNumId w:val="8"/>
  </w:num>
  <w:num w:numId="4">
    <w:abstractNumId w:val="0"/>
  </w:num>
  <w:num w:numId="5">
    <w:abstractNumId w:val="3"/>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C3520"/>
    <w:rsid w:val="000D28E5"/>
    <w:rsid w:val="000D34D7"/>
    <w:rsid w:val="000E604B"/>
    <w:rsid w:val="00100633"/>
    <w:rsid w:val="001072BC"/>
    <w:rsid w:val="0011026D"/>
    <w:rsid w:val="00114BD6"/>
    <w:rsid w:val="00130F6D"/>
    <w:rsid w:val="00142C42"/>
    <w:rsid w:val="00144082"/>
    <w:rsid w:val="00157EBB"/>
    <w:rsid w:val="00163A48"/>
    <w:rsid w:val="00164E36"/>
    <w:rsid w:val="00183AA1"/>
    <w:rsid w:val="00190E3F"/>
    <w:rsid w:val="001A0139"/>
    <w:rsid w:val="001A135C"/>
    <w:rsid w:val="001B0D49"/>
    <w:rsid w:val="001B546F"/>
    <w:rsid w:val="001B55E5"/>
    <w:rsid w:val="001C2E3E"/>
    <w:rsid w:val="001C388D"/>
    <w:rsid w:val="001D0453"/>
    <w:rsid w:val="001E1D2D"/>
    <w:rsid w:val="001E32B7"/>
    <w:rsid w:val="001E5A17"/>
    <w:rsid w:val="001F216E"/>
    <w:rsid w:val="001F332E"/>
    <w:rsid w:val="001F37CB"/>
    <w:rsid w:val="002056AB"/>
    <w:rsid w:val="00206188"/>
    <w:rsid w:val="002125E7"/>
    <w:rsid w:val="00217861"/>
    <w:rsid w:val="002204E4"/>
    <w:rsid w:val="002211BF"/>
    <w:rsid w:val="002339E7"/>
    <w:rsid w:val="00233F15"/>
    <w:rsid w:val="002420F1"/>
    <w:rsid w:val="002507B2"/>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559E"/>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233B"/>
    <w:rsid w:val="00373C8A"/>
    <w:rsid w:val="00376148"/>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452B"/>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202"/>
    <w:rsid w:val="00547C51"/>
    <w:rsid w:val="00551335"/>
    <w:rsid w:val="005519BB"/>
    <w:rsid w:val="005523FD"/>
    <w:rsid w:val="00553D03"/>
    <w:rsid w:val="00555BA0"/>
    <w:rsid w:val="00556E41"/>
    <w:rsid w:val="00571DF1"/>
    <w:rsid w:val="00587E6A"/>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750A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3A2E"/>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4AD66875"/>
    <w:rsid w:val="54600CF1"/>
    <w:rsid w:val="569868B5"/>
    <w:rsid w:val="611F6817"/>
    <w:rsid w:val="66CA1754"/>
    <w:rsid w:val="6F1E65D4"/>
    <w:rsid w:val="6F266C86"/>
    <w:rsid w:val="6F5042C2"/>
    <w:rsid w:val="74316312"/>
    <w:rsid w:val="780F13C8"/>
    <w:rsid w:val="7C385448"/>
    <w:rsid w:val="7CB3663D"/>
    <w:rsid w:val="7EF58B34"/>
    <w:rsid w:val="7FE4B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3438</Words>
  <Characters>3554</Characters>
  <Lines>27</Lines>
  <Paragraphs>7</Paragraphs>
  <TotalTime>0</TotalTime>
  <ScaleCrop>false</ScaleCrop>
  <LinksUpToDate>false</LinksUpToDate>
  <CharactersWithSpaces>3590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2024-03-02T17:13:00Z</dcterms:created>
  <dc:creator>juvg</dc:creator>
  <cp:lastModifiedBy>奶茶</cp:lastModifiedBy>
  <cp:lastPrinted>2023-09-17T15:48:00Z</cp:lastPrinted>
  <dcterms:modified xsi:type="dcterms:W3CDTF">2024-09-26T02:28:40Z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7AC353F1EE8E4F678DA76F9D20FDCBF8_12</vt:lpwstr>
  </property>
</Properties>
</file>