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02062">
      <w:pPr>
        <w:spacing w:line="288" w:lineRule="auto"/>
        <w:jc w:val="center"/>
        <w:rPr>
          <w:rFonts w:ascii="方正小标宋简体" w:hAnsi="宋体"/>
          <w:bCs/>
          <w:kern w:val="0"/>
          <w:szCs w:val="21"/>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A831C83">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14:paraId="3A831C83">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b/>
          <w:sz w:val="28"/>
          <w:szCs w:val="30"/>
        </w:rPr>
        <w:t>【日本文学概论】</w:t>
      </w:r>
    </w:p>
    <w:p w14:paraId="0692D736">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Japanese literature</w:t>
      </w:r>
      <w:r>
        <w:rPr>
          <w:rFonts w:cs="Calibri"/>
          <w:b/>
          <w:bCs/>
          <w:sz w:val="28"/>
          <w:szCs w:val="28"/>
        </w:rPr>
        <w:t>’</w:t>
      </w:r>
      <w:r>
        <w:rPr>
          <w:rFonts w:hint="eastAsia" w:cs="Calibri"/>
          <w:b/>
          <w:bCs/>
          <w:sz w:val="28"/>
          <w:szCs w:val="28"/>
        </w:rPr>
        <w:t>s I</w:t>
      </w:r>
      <w:r>
        <w:rPr>
          <w:rFonts w:cs="Calibri"/>
          <w:b/>
          <w:bCs/>
          <w:sz w:val="28"/>
          <w:szCs w:val="28"/>
        </w:rPr>
        <w:t>ntroduction</w:t>
      </w:r>
      <w:r>
        <w:rPr>
          <w:rFonts w:hint="eastAsia"/>
          <w:b/>
          <w:sz w:val="28"/>
          <w:szCs w:val="30"/>
        </w:rPr>
        <w:t>】</w:t>
      </w:r>
      <w:bookmarkStart w:id="0" w:name="a2"/>
      <w:bookmarkEnd w:id="0"/>
    </w:p>
    <w:p w14:paraId="5B433AA8">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14:paraId="545EAF17">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【2020360】</w:t>
      </w:r>
    </w:p>
    <w:p w14:paraId="270BB1EB">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1</w:t>
      </w:r>
      <w:r>
        <w:rPr>
          <w:color w:val="000000"/>
          <w:sz w:val="20"/>
          <w:szCs w:val="20"/>
        </w:rPr>
        <w:t>】</w:t>
      </w:r>
    </w:p>
    <w:p w14:paraId="6F2ACF15">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【日语专业本科】</w:t>
      </w:r>
    </w:p>
    <w:p w14:paraId="60A466E9">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专业必修课</w:t>
      </w:r>
      <w:r>
        <w:rPr>
          <w:color w:val="000000"/>
          <w:sz w:val="20"/>
          <w:szCs w:val="20"/>
        </w:rPr>
        <w:t>】</w:t>
      </w:r>
    </w:p>
    <w:p w14:paraId="5F7C39D9">
      <w:pPr>
        <w:snapToGrid w:val="0"/>
        <w:spacing w:line="288" w:lineRule="auto"/>
        <w:ind w:firstLine="394" w:firstLineChars="196"/>
        <w:rPr>
          <w:b/>
          <w:bCs/>
          <w:color w:val="000000"/>
          <w:szCs w:val="21"/>
        </w:rPr>
      </w:pPr>
      <w:r>
        <w:rPr>
          <w:b/>
          <w:bCs/>
          <w:color w:val="000000"/>
          <w:sz w:val="20"/>
          <w:szCs w:val="20"/>
        </w:rPr>
        <w:t>开课院系：</w:t>
      </w:r>
      <w:r>
        <w:rPr>
          <w:bCs/>
          <w:color w:val="000000"/>
          <w:sz w:val="20"/>
          <w:szCs w:val="20"/>
        </w:rPr>
        <w:t>外国语学院日语系</w:t>
      </w:r>
    </w:p>
    <w:p w14:paraId="1409CD92">
      <w:pPr>
        <w:snapToGrid w:val="0"/>
        <w:spacing w:line="288" w:lineRule="auto"/>
        <w:ind w:firstLine="394" w:firstLineChars="196"/>
        <w:rPr>
          <w:color w:val="000000"/>
          <w:sz w:val="20"/>
          <w:szCs w:val="20"/>
        </w:rPr>
      </w:pPr>
      <w:r>
        <w:rPr>
          <w:b/>
          <w:bCs/>
          <w:color w:val="000000"/>
          <w:sz w:val="20"/>
          <w:szCs w:val="20"/>
        </w:rPr>
        <w:t>使用教材：</w:t>
      </w:r>
    </w:p>
    <w:p w14:paraId="38511E5C">
      <w:pPr>
        <w:snapToGrid w:val="0"/>
        <w:spacing w:line="288" w:lineRule="auto"/>
        <w:ind w:firstLine="792" w:firstLineChars="396"/>
        <w:rPr>
          <w:color w:val="000000"/>
          <w:szCs w:val="21"/>
        </w:rPr>
      </w:pPr>
      <w:r>
        <w:rPr>
          <w:color w:val="000000"/>
          <w:sz w:val="20"/>
          <w:szCs w:val="20"/>
        </w:rPr>
        <w:t>教材【</w:t>
      </w:r>
      <w:r>
        <w:rPr>
          <w:rFonts w:hint="eastAsia"/>
          <w:sz w:val="20"/>
          <w:szCs w:val="20"/>
        </w:rPr>
        <w:t>《日本文学史》，张如意著，外语教学与研究出版社，2014年1月</w:t>
      </w:r>
      <w:r>
        <w:rPr>
          <w:color w:val="000000"/>
          <w:sz w:val="20"/>
          <w:szCs w:val="20"/>
        </w:rPr>
        <w:t>】</w:t>
      </w:r>
    </w:p>
    <w:p w14:paraId="70AFDD7E">
      <w:pPr>
        <w:snapToGrid w:val="0"/>
        <w:spacing w:line="288" w:lineRule="auto"/>
        <w:ind w:left="718" w:leftChars="342" w:firstLine="100" w:firstLineChars="50"/>
        <w:rPr>
          <w:sz w:val="20"/>
          <w:szCs w:val="20"/>
        </w:rPr>
      </w:pPr>
      <w:r>
        <w:rPr>
          <w:rFonts w:hint="eastAsia"/>
          <w:sz w:val="20"/>
          <w:szCs w:val="20"/>
        </w:rPr>
        <w:t>参考书目</w:t>
      </w:r>
      <w:r>
        <w:rPr>
          <w:color w:val="000000"/>
          <w:sz w:val="20"/>
          <w:szCs w:val="20"/>
        </w:rPr>
        <w:t>【</w:t>
      </w:r>
      <w:r>
        <w:rPr>
          <w:rFonts w:hint="eastAsia"/>
          <w:sz w:val="20"/>
          <w:szCs w:val="20"/>
        </w:rPr>
        <w:t>《日本文学史》（修订版），肖霞编著，山东大学出版社，2008年3月</w:t>
      </w:r>
    </w:p>
    <w:p w14:paraId="45358AC6">
      <w:pPr>
        <w:snapToGrid w:val="0"/>
        <w:spacing w:line="288" w:lineRule="auto"/>
        <w:ind w:left="1873" w:leftChars="892"/>
        <w:rPr>
          <w:sz w:val="20"/>
          <w:szCs w:val="20"/>
        </w:rPr>
      </w:pPr>
      <w:r>
        <w:rPr>
          <w:rFonts w:hint="eastAsia"/>
          <w:sz w:val="20"/>
          <w:szCs w:val="20"/>
        </w:rPr>
        <w:t>《日本文学史》，小西甚一著，郑清茂译，译林出版社，2020年6月</w:t>
      </w:r>
    </w:p>
    <w:p w14:paraId="49907383">
      <w:pPr>
        <w:snapToGrid w:val="0"/>
        <w:spacing w:line="288" w:lineRule="auto"/>
        <w:ind w:left="1619" w:leftChars="390" w:hanging="800" w:hangingChars="400"/>
        <w:rPr>
          <w:color w:val="000000"/>
          <w:szCs w:val="21"/>
        </w:rPr>
      </w:pPr>
      <w:r>
        <w:rPr>
          <w:rFonts w:hint="eastAsia"/>
          <w:sz w:val="20"/>
          <w:szCs w:val="20"/>
        </w:rPr>
        <w:t xml:space="preserve">          《</w:t>
      </w:r>
      <w:r>
        <w:rPr>
          <w:sz w:val="20"/>
          <w:szCs w:val="20"/>
        </w:rPr>
        <w:t>日本近现代文学史第三版</w:t>
      </w:r>
      <w:r>
        <w:rPr>
          <w:rFonts w:hint="eastAsia"/>
          <w:sz w:val="20"/>
          <w:szCs w:val="20"/>
        </w:rPr>
        <w:t>》，谭晶华编著，上海外语教育出版社，2007年12月</w:t>
      </w:r>
      <w:r>
        <w:rPr>
          <w:color w:val="000000"/>
          <w:sz w:val="20"/>
          <w:szCs w:val="20"/>
        </w:rPr>
        <w:t>】</w:t>
      </w:r>
    </w:p>
    <w:p w14:paraId="08FB0021">
      <w:pPr>
        <w:snapToGrid w:val="0"/>
        <w:spacing w:line="288" w:lineRule="auto"/>
        <w:ind w:firstLine="394" w:firstLineChars="196"/>
        <w:rPr>
          <w:color w:val="000000"/>
          <w:sz w:val="20"/>
          <w:szCs w:val="20"/>
        </w:rPr>
      </w:pPr>
      <w:r>
        <w:rPr>
          <w:rFonts w:hint="eastAsia"/>
          <w:b/>
          <w:bCs/>
          <w:color w:val="000000"/>
          <w:sz w:val="20"/>
          <w:szCs w:val="20"/>
        </w:rPr>
        <w:t>课程网站网址：无</w:t>
      </w:r>
    </w:p>
    <w:p w14:paraId="466A8442">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基础日语（4）</w:t>
      </w:r>
      <w:r>
        <w:rPr>
          <w:rFonts w:hint="eastAsia"/>
          <w:bCs/>
          <w:color w:val="000000"/>
          <w:sz w:val="20"/>
          <w:szCs w:val="20"/>
        </w:rPr>
        <w:t>2020255</w:t>
      </w:r>
      <w:r>
        <w:rPr>
          <w:rFonts w:hint="eastAsia"/>
          <w:color w:val="000000"/>
          <w:sz w:val="20"/>
          <w:szCs w:val="20"/>
        </w:rPr>
        <w:t>（8）</w:t>
      </w:r>
      <w:r>
        <w:rPr>
          <w:color w:val="000000"/>
          <w:sz w:val="20"/>
          <w:szCs w:val="20"/>
        </w:rPr>
        <w:t>】</w:t>
      </w:r>
    </w:p>
    <w:p w14:paraId="644AC186">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14:paraId="77D90970">
      <w:pPr>
        <w:snapToGrid w:val="0"/>
        <w:spacing w:line="288" w:lineRule="auto"/>
        <w:ind w:left="399" w:leftChars="190" w:firstLine="400" w:firstLineChars="200"/>
        <w:rPr>
          <w:color w:val="000000"/>
          <w:sz w:val="20"/>
          <w:szCs w:val="20"/>
        </w:rPr>
      </w:pPr>
      <w:r>
        <w:rPr>
          <w:rFonts w:hint="eastAsia"/>
          <w:color w:val="000000"/>
          <w:sz w:val="20"/>
          <w:szCs w:val="20"/>
        </w:rPr>
        <w:t>本课程是日语专业的专业必修课，于日语专业第五学期开设，教学对象为日语本科三年级学生。文学是文化的重要组成部分，通过介绍梳理日本文学史，选读、分析、鉴赏各个不同时期具有代表性的不同思潮、流派的代表作品，使学生了解日本文学的发展历程及各时期的文学特色，增强学生对日本文学及日本社会文化的理解。同时使学生理解作品表达的主要思想，鉴赏作者的创作风格和语言艺术，令其具备一定的文学鉴赏能力和审美能力，培养良好的人文素质，为学习其他文学文化课程和今后从事相关工作打好基础。</w:t>
      </w:r>
    </w:p>
    <w:p w14:paraId="49A9FD4C">
      <w:pPr>
        <w:snapToGrid w:val="0"/>
        <w:spacing w:line="288" w:lineRule="auto"/>
        <w:ind w:left="399" w:leftChars="190" w:firstLine="400" w:firstLineChars="200"/>
        <w:rPr>
          <w:color w:val="000000"/>
          <w:sz w:val="20"/>
          <w:szCs w:val="20"/>
        </w:rPr>
      </w:pPr>
    </w:p>
    <w:p w14:paraId="15FE2759">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14:paraId="3F69527F">
      <w:pPr>
        <w:adjustRightInd w:val="0"/>
        <w:snapToGrid w:val="0"/>
        <w:spacing w:line="288" w:lineRule="auto"/>
        <w:ind w:firstLine="800" w:firstLineChars="400"/>
        <w:rPr>
          <w:color w:val="000000"/>
          <w:sz w:val="20"/>
          <w:szCs w:val="20"/>
        </w:rPr>
      </w:pPr>
      <w:r>
        <w:rPr>
          <w:rFonts w:hint="eastAsia"/>
          <w:color w:val="000000"/>
          <w:sz w:val="20"/>
          <w:szCs w:val="20"/>
        </w:rPr>
        <w:t>本课程适合日语本科专业三年级第一学期开设。</w:t>
      </w:r>
    </w:p>
    <w:p w14:paraId="4C5BDD25">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7"/>
        <w:tblpPr w:leftFromText="180" w:rightFromText="180" w:vertAnchor="text" w:horzAnchor="page" w:tblpXSpec="center" w:tblpY="242"/>
        <w:tblOverlap w:val="never"/>
        <w:tblW w:w="7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5953"/>
        <w:gridCol w:w="709"/>
      </w:tblGrid>
      <w:tr w14:paraId="6D22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12" w:type="dxa"/>
            <w:gridSpan w:val="2"/>
          </w:tcPr>
          <w:p w14:paraId="2A7F5028">
            <w:pPr>
              <w:jc w:val="center"/>
              <w:rPr>
                <w:rFonts w:ascii="黑体" w:hAnsi="黑体" w:eastAsia="黑体" w:cs="黑体"/>
                <w:kern w:val="0"/>
                <w:szCs w:val="21"/>
              </w:rPr>
            </w:pPr>
            <w:r>
              <w:rPr>
                <w:rFonts w:hint="eastAsia" w:ascii="黑体" w:hAnsi="黑体" w:eastAsia="黑体" w:cs="黑体"/>
                <w:kern w:val="0"/>
                <w:szCs w:val="21"/>
              </w:rPr>
              <w:t>专业毕业要求</w:t>
            </w:r>
          </w:p>
        </w:tc>
        <w:tc>
          <w:tcPr>
            <w:tcW w:w="709" w:type="dxa"/>
          </w:tcPr>
          <w:p w14:paraId="7AAA3B76">
            <w:pPr>
              <w:jc w:val="center"/>
              <w:rPr>
                <w:rFonts w:ascii="黑体" w:hAnsi="黑体" w:eastAsia="黑体" w:cs="黑体"/>
                <w:kern w:val="0"/>
                <w:szCs w:val="21"/>
              </w:rPr>
            </w:pPr>
            <w:r>
              <w:rPr>
                <w:rFonts w:hint="eastAsia" w:ascii="黑体" w:hAnsi="黑体" w:eastAsia="黑体" w:cs="黑体"/>
                <w:kern w:val="0"/>
                <w:szCs w:val="21"/>
              </w:rPr>
              <w:t>关联</w:t>
            </w:r>
          </w:p>
        </w:tc>
      </w:tr>
      <w:tr w14:paraId="0FEC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959" w:type="dxa"/>
            <w:vMerge w:val="restart"/>
            <w:vAlign w:val="center"/>
          </w:tcPr>
          <w:p w14:paraId="1F49CB17">
            <w:pPr>
              <w:jc w:val="left"/>
              <w:rPr>
                <w:rFonts w:ascii="Times New Roman" w:hAnsi="Times New Roman"/>
                <w:kern w:val="0"/>
                <w:sz w:val="24"/>
                <w:szCs w:val="24"/>
              </w:rPr>
            </w:pPr>
            <w:r>
              <w:rPr>
                <w:rFonts w:hint="eastAsia" w:ascii="仿宋" w:hAnsi="仿宋" w:eastAsia="仿宋" w:cs="宋体"/>
                <w:color w:val="000000"/>
                <w:kern w:val="0"/>
                <w:sz w:val="24"/>
                <w:szCs w:val="24"/>
              </w:rPr>
              <w:t>LO1：品德休养</w:t>
            </w:r>
          </w:p>
        </w:tc>
        <w:tc>
          <w:tcPr>
            <w:tcW w:w="5953" w:type="dxa"/>
            <w:vAlign w:val="center"/>
          </w:tcPr>
          <w:p w14:paraId="0A1DA459">
            <w:pPr>
              <w:jc w:val="left"/>
              <w:rPr>
                <w:rFonts w:ascii="宋体" w:hAnsi="宋体"/>
                <w:kern w:val="0"/>
                <w:sz w:val="20"/>
                <w:szCs w:val="20"/>
              </w:rPr>
            </w:pPr>
            <w:r>
              <w:rPr>
                <w:rFonts w:cs="Calibri"/>
                <w:kern w:val="0"/>
                <w:sz w:val="20"/>
                <w:szCs w:val="20"/>
              </w:rPr>
              <w:t>LO11</w:t>
            </w:r>
            <w:r>
              <w:rPr>
                <w:rFonts w:ascii="宋体" w:hAnsi="宋体"/>
                <w:kern w:val="0"/>
                <w:sz w:val="20"/>
                <w:szCs w:val="20"/>
              </w:rPr>
              <w:t xml:space="preserve"> </w:t>
            </w:r>
            <w:r>
              <w:rPr>
                <w:rFonts w:ascii="宋体" w:hAnsi="宋体" w:cs="宋体"/>
                <w:bCs/>
                <w:kern w:val="0"/>
                <w:sz w:val="20"/>
                <w:szCs w:val="20"/>
              </w:rPr>
              <w:t>爱党爱国，坚决拥护党的领导，热爱祖国的大好河山、悠久历史、灿烂文化，自觉维护民族利益和国家尊严</w:t>
            </w:r>
            <w:r>
              <w:rPr>
                <w:rFonts w:hint="eastAsia" w:ascii="宋体" w:hAnsi="宋体" w:cs="宋体"/>
                <w:bCs/>
                <w:kern w:val="0"/>
                <w:sz w:val="20"/>
                <w:szCs w:val="20"/>
              </w:rPr>
              <w:t>。</w:t>
            </w:r>
          </w:p>
        </w:tc>
        <w:tc>
          <w:tcPr>
            <w:tcW w:w="709" w:type="dxa"/>
            <w:vAlign w:val="center"/>
          </w:tcPr>
          <w:p w14:paraId="11470A8D">
            <w:pPr>
              <w:jc w:val="center"/>
              <w:rPr>
                <w:rFonts w:ascii="仿宋" w:hAnsi="仿宋" w:eastAsia="仿宋" w:cs="宋体"/>
                <w:color w:val="000000"/>
                <w:kern w:val="0"/>
                <w:szCs w:val="21"/>
              </w:rPr>
            </w:pPr>
          </w:p>
        </w:tc>
      </w:tr>
      <w:tr w14:paraId="2C80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959" w:type="dxa"/>
            <w:vMerge w:val="continue"/>
            <w:vAlign w:val="center"/>
          </w:tcPr>
          <w:p w14:paraId="286CED16">
            <w:pPr>
              <w:jc w:val="left"/>
              <w:rPr>
                <w:rFonts w:ascii="仿宋" w:hAnsi="仿宋" w:eastAsia="仿宋" w:cs="宋体"/>
                <w:color w:val="000000"/>
                <w:kern w:val="0"/>
                <w:sz w:val="24"/>
                <w:szCs w:val="24"/>
              </w:rPr>
            </w:pPr>
          </w:p>
        </w:tc>
        <w:tc>
          <w:tcPr>
            <w:tcW w:w="5953" w:type="dxa"/>
            <w:vAlign w:val="center"/>
          </w:tcPr>
          <w:p w14:paraId="47F6C12A">
            <w:pPr>
              <w:jc w:val="left"/>
              <w:rPr>
                <w:rFonts w:ascii="宋体" w:hAnsi="宋体"/>
                <w:kern w:val="0"/>
                <w:sz w:val="20"/>
                <w:szCs w:val="20"/>
              </w:rPr>
            </w:pPr>
            <w:r>
              <w:rPr>
                <w:rFonts w:cs="Calibri"/>
                <w:kern w:val="0"/>
                <w:sz w:val="20"/>
                <w:szCs w:val="20"/>
              </w:rPr>
              <w:t>LO12</w:t>
            </w:r>
            <w:r>
              <w:rPr>
                <w:rFonts w:ascii="宋体" w:hAnsi="宋体"/>
                <w:kern w:val="0"/>
                <w:sz w:val="20"/>
                <w:szCs w:val="20"/>
              </w:rPr>
              <w:t xml:space="preserve"> </w:t>
            </w:r>
            <w:r>
              <w:rPr>
                <w:rFonts w:ascii="宋体" w:hAnsi="宋体" w:cs="宋体"/>
                <w:bCs/>
                <w:kern w:val="0"/>
                <w:sz w:val="20"/>
                <w:szCs w:val="20"/>
              </w:rPr>
              <w:t>遵纪守法，增强法律意识，培养法律思维，自觉遵守法律法规、校纪校规。</w:t>
            </w:r>
          </w:p>
        </w:tc>
        <w:tc>
          <w:tcPr>
            <w:tcW w:w="709" w:type="dxa"/>
            <w:vAlign w:val="center"/>
          </w:tcPr>
          <w:p w14:paraId="4ECDFC2A">
            <w:pPr>
              <w:jc w:val="center"/>
              <w:rPr>
                <w:rFonts w:ascii="仿宋" w:hAnsi="仿宋" w:eastAsia="仿宋" w:cs="宋体"/>
                <w:kern w:val="0"/>
                <w:szCs w:val="21"/>
              </w:rPr>
            </w:pPr>
          </w:p>
        </w:tc>
      </w:tr>
      <w:tr w14:paraId="19B0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959" w:type="dxa"/>
            <w:vMerge w:val="continue"/>
            <w:vAlign w:val="center"/>
          </w:tcPr>
          <w:p w14:paraId="5A62EA7B">
            <w:pPr>
              <w:jc w:val="left"/>
              <w:rPr>
                <w:rFonts w:ascii="仿宋" w:hAnsi="仿宋" w:eastAsia="仿宋" w:cs="宋体"/>
                <w:color w:val="000000"/>
                <w:kern w:val="0"/>
                <w:sz w:val="24"/>
                <w:szCs w:val="24"/>
              </w:rPr>
            </w:pPr>
          </w:p>
        </w:tc>
        <w:tc>
          <w:tcPr>
            <w:tcW w:w="5953" w:type="dxa"/>
            <w:vAlign w:val="center"/>
          </w:tcPr>
          <w:p w14:paraId="6B235F54">
            <w:pPr>
              <w:jc w:val="left"/>
              <w:rPr>
                <w:rFonts w:ascii="宋体" w:hAnsi="宋体"/>
                <w:kern w:val="0"/>
                <w:sz w:val="20"/>
                <w:szCs w:val="20"/>
              </w:rPr>
            </w:pPr>
            <w:r>
              <w:rPr>
                <w:rFonts w:hint="eastAsia" w:cs="Calibri"/>
                <w:kern w:val="0"/>
                <w:sz w:val="20"/>
                <w:szCs w:val="20"/>
              </w:rPr>
              <w:t>LO13</w:t>
            </w:r>
            <w:r>
              <w:rPr>
                <w:rFonts w:ascii="宋体" w:hAnsi="宋体" w:cs="宋体"/>
                <w:bCs/>
                <w:kern w:val="0"/>
                <w:sz w:val="20"/>
                <w:szCs w:val="20"/>
              </w:rPr>
              <w:t>奉献社会，富有爱心，懂得感恩，自觉传承和弘扬雷锋精神，具有服务社会的意愿和行动，积极参加志愿者服务。</w:t>
            </w:r>
          </w:p>
        </w:tc>
        <w:tc>
          <w:tcPr>
            <w:tcW w:w="709" w:type="dxa"/>
            <w:vAlign w:val="center"/>
          </w:tcPr>
          <w:p w14:paraId="30A5A3EB">
            <w:pPr>
              <w:jc w:val="center"/>
              <w:rPr>
                <w:rFonts w:ascii="仿宋" w:hAnsi="仿宋" w:eastAsia="仿宋" w:cs="宋体"/>
                <w:kern w:val="0"/>
                <w:sz w:val="24"/>
                <w:szCs w:val="20"/>
              </w:rPr>
            </w:pPr>
            <w:r>
              <w:rPr>
                <w:rFonts w:hint="eastAsia" w:ascii="仿宋" w:hAnsi="仿宋" w:eastAsia="仿宋" w:cs="宋体"/>
                <w:kern w:val="0"/>
                <w:sz w:val="24"/>
                <w:szCs w:val="20"/>
              </w:rPr>
              <w:t>●</w:t>
            </w:r>
          </w:p>
        </w:tc>
      </w:tr>
      <w:tr w14:paraId="2C3E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959" w:type="dxa"/>
            <w:vMerge w:val="continue"/>
            <w:vAlign w:val="center"/>
          </w:tcPr>
          <w:p w14:paraId="3A3AE5F9">
            <w:pPr>
              <w:jc w:val="left"/>
              <w:rPr>
                <w:rFonts w:ascii="仿宋" w:hAnsi="仿宋" w:eastAsia="仿宋" w:cs="宋体"/>
                <w:color w:val="000000"/>
                <w:kern w:val="0"/>
                <w:sz w:val="24"/>
                <w:szCs w:val="24"/>
              </w:rPr>
            </w:pPr>
          </w:p>
        </w:tc>
        <w:tc>
          <w:tcPr>
            <w:tcW w:w="5953" w:type="dxa"/>
            <w:vAlign w:val="center"/>
          </w:tcPr>
          <w:p w14:paraId="61168B81">
            <w:pPr>
              <w:jc w:val="left"/>
              <w:rPr>
                <w:rFonts w:ascii="宋体" w:hAnsi="宋体"/>
                <w:kern w:val="0"/>
                <w:sz w:val="20"/>
                <w:szCs w:val="20"/>
              </w:rPr>
            </w:pPr>
            <w:r>
              <w:rPr>
                <w:rFonts w:hint="eastAsia" w:cs="Calibri"/>
                <w:kern w:val="0"/>
                <w:sz w:val="20"/>
                <w:szCs w:val="20"/>
              </w:rPr>
              <w:t>LO14</w:t>
            </w:r>
            <w:r>
              <w:rPr>
                <w:rFonts w:ascii="宋体" w:hAnsi="宋体" w:cs="宋体"/>
                <w:bCs/>
                <w:kern w:val="0"/>
                <w:sz w:val="20"/>
                <w:szCs w:val="20"/>
              </w:rPr>
              <w:t>诚信尽责，为人诚实，信守承诺，勤奋努力，精益求精，勇于担责。</w:t>
            </w:r>
          </w:p>
        </w:tc>
        <w:tc>
          <w:tcPr>
            <w:tcW w:w="709" w:type="dxa"/>
            <w:vAlign w:val="center"/>
          </w:tcPr>
          <w:p w14:paraId="373BC8EB">
            <w:pPr>
              <w:jc w:val="center"/>
              <w:rPr>
                <w:rFonts w:ascii="仿宋" w:hAnsi="仿宋" w:eastAsia="仿宋" w:cs="宋体"/>
                <w:kern w:val="0"/>
                <w:sz w:val="24"/>
                <w:szCs w:val="20"/>
              </w:rPr>
            </w:pPr>
          </w:p>
        </w:tc>
      </w:tr>
      <w:tr w14:paraId="28D9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959" w:type="dxa"/>
            <w:vMerge w:val="continue"/>
            <w:vAlign w:val="center"/>
          </w:tcPr>
          <w:p w14:paraId="1232EC67">
            <w:pPr>
              <w:jc w:val="left"/>
              <w:rPr>
                <w:rFonts w:ascii="仿宋" w:hAnsi="仿宋" w:eastAsia="仿宋" w:cs="宋体"/>
                <w:color w:val="000000"/>
                <w:kern w:val="0"/>
                <w:sz w:val="24"/>
                <w:szCs w:val="24"/>
              </w:rPr>
            </w:pPr>
          </w:p>
        </w:tc>
        <w:tc>
          <w:tcPr>
            <w:tcW w:w="5953" w:type="dxa"/>
            <w:vAlign w:val="center"/>
          </w:tcPr>
          <w:p w14:paraId="1D34B91D">
            <w:pPr>
              <w:jc w:val="left"/>
              <w:rPr>
                <w:rFonts w:ascii="宋体" w:hAnsi="宋体"/>
                <w:kern w:val="0"/>
                <w:sz w:val="20"/>
                <w:szCs w:val="20"/>
              </w:rPr>
            </w:pPr>
            <w:r>
              <w:rPr>
                <w:rFonts w:cs="Calibri"/>
                <w:kern w:val="0"/>
                <w:sz w:val="20"/>
                <w:szCs w:val="20"/>
              </w:rPr>
              <w:t>LO15</w:t>
            </w:r>
            <w:r>
              <w:rPr>
                <w:rFonts w:ascii="宋体" w:hAnsi="宋体" w:cs="宋体"/>
                <w:bCs/>
                <w:kern w:val="0"/>
                <w:sz w:val="20"/>
                <w:szCs w:val="20"/>
              </w:rPr>
              <w:t>爱岗敬业，热爱所学专业，勤学多练，锤炼技能。熟悉本专业相关的法律法规，在实习实践中自觉遵守职业规范，具备职业道德操守。</w:t>
            </w:r>
          </w:p>
        </w:tc>
        <w:tc>
          <w:tcPr>
            <w:tcW w:w="709" w:type="dxa"/>
            <w:vAlign w:val="center"/>
          </w:tcPr>
          <w:p w14:paraId="342C7F4F">
            <w:pPr>
              <w:jc w:val="center"/>
              <w:rPr>
                <w:rFonts w:ascii="仿宋" w:hAnsi="仿宋" w:eastAsia="仿宋" w:cs="宋体"/>
                <w:kern w:val="0"/>
                <w:sz w:val="24"/>
                <w:szCs w:val="20"/>
              </w:rPr>
            </w:pPr>
          </w:p>
        </w:tc>
      </w:tr>
      <w:tr w14:paraId="40E3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959" w:type="dxa"/>
            <w:vMerge w:val="restart"/>
            <w:vAlign w:val="center"/>
          </w:tcPr>
          <w:p w14:paraId="72F92783">
            <w:pPr>
              <w:widowControl/>
              <w:jc w:val="left"/>
              <w:rPr>
                <w:rFonts w:ascii="Times New Roman" w:hAnsi="Times New Roman"/>
                <w:kern w:val="0"/>
                <w:sz w:val="24"/>
                <w:szCs w:val="24"/>
              </w:rPr>
            </w:pPr>
            <w:r>
              <w:rPr>
                <w:rFonts w:hint="eastAsia" w:ascii="仿宋" w:hAnsi="仿宋" w:eastAsia="仿宋" w:cs="宋体"/>
                <w:color w:val="000000"/>
                <w:kern w:val="0"/>
                <w:sz w:val="24"/>
                <w:szCs w:val="24"/>
              </w:rPr>
              <w:t>LO2：专业能力</w:t>
            </w:r>
          </w:p>
        </w:tc>
        <w:tc>
          <w:tcPr>
            <w:tcW w:w="5953" w:type="dxa"/>
            <w:vAlign w:val="center"/>
          </w:tcPr>
          <w:p w14:paraId="15DA746F">
            <w:pPr>
              <w:widowControl/>
              <w:jc w:val="left"/>
              <w:rPr>
                <w:rFonts w:ascii="宋体" w:hAnsi="宋体"/>
                <w:kern w:val="0"/>
                <w:sz w:val="20"/>
                <w:szCs w:val="20"/>
              </w:rPr>
            </w:pPr>
            <w:r>
              <w:rPr>
                <w:rFonts w:cs="Calibri"/>
                <w:kern w:val="0"/>
                <w:sz w:val="20"/>
                <w:szCs w:val="20"/>
              </w:rPr>
              <w:t>LO21</w:t>
            </w:r>
            <w:r>
              <w:rPr>
                <w:rFonts w:ascii="宋体" w:hAnsi="宋体"/>
                <w:kern w:val="0"/>
                <w:sz w:val="20"/>
                <w:szCs w:val="20"/>
              </w:rPr>
              <w:t xml:space="preserve"> </w:t>
            </w:r>
            <w:r>
              <w:rPr>
                <w:rFonts w:hint="eastAsia" w:ascii="宋体" w:hAnsi="宋体" w:cs="宋体"/>
                <w:bCs/>
                <w:kern w:val="0"/>
                <w:sz w:val="20"/>
                <w:szCs w:val="20"/>
              </w:rPr>
              <w:t>具有专业所需的人文科学素养。</w:t>
            </w:r>
          </w:p>
        </w:tc>
        <w:tc>
          <w:tcPr>
            <w:tcW w:w="709" w:type="dxa"/>
            <w:vAlign w:val="center"/>
          </w:tcPr>
          <w:p w14:paraId="394C2E6A">
            <w:pPr>
              <w:widowControl/>
              <w:jc w:val="center"/>
              <w:rPr>
                <w:rFonts w:ascii="仿宋" w:hAnsi="仿宋" w:eastAsia="仿宋" w:cs="宋体"/>
                <w:kern w:val="0"/>
                <w:szCs w:val="21"/>
              </w:rPr>
            </w:pPr>
          </w:p>
        </w:tc>
      </w:tr>
      <w:tr w14:paraId="51CD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959" w:type="dxa"/>
            <w:vMerge w:val="continue"/>
            <w:vAlign w:val="center"/>
          </w:tcPr>
          <w:p w14:paraId="5D64EFC7">
            <w:pPr>
              <w:widowControl/>
              <w:jc w:val="left"/>
              <w:rPr>
                <w:rFonts w:ascii="仿宋" w:hAnsi="仿宋" w:eastAsia="仿宋" w:cs="宋体"/>
                <w:color w:val="000000"/>
                <w:kern w:val="0"/>
                <w:sz w:val="24"/>
                <w:szCs w:val="24"/>
              </w:rPr>
            </w:pPr>
          </w:p>
        </w:tc>
        <w:tc>
          <w:tcPr>
            <w:tcW w:w="5953" w:type="dxa"/>
            <w:vAlign w:val="center"/>
          </w:tcPr>
          <w:p w14:paraId="2EDF578E">
            <w:pPr>
              <w:widowControl/>
              <w:jc w:val="left"/>
              <w:rPr>
                <w:rFonts w:ascii="宋体" w:hAnsi="宋体"/>
                <w:kern w:val="0"/>
                <w:sz w:val="20"/>
                <w:szCs w:val="20"/>
              </w:rPr>
            </w:pPr>
            <w:r>
              <w:rPr>
                <w:rFonts w:hint="eastAsia" w:cs="Calibri"/>
                <w:kern w:val="0"/>
                <w:sz w:val="20"/>
                <w:szCs w:val="20"/>
              </w:rPr>
              <w:t>LO22</w:t>
            </w:r>
            <w:r>
              <w:rPr>
                <w:rFonts w:hint="eastAsia" w:ascii="宋体" w:hAnsi="宋体" w:cs="宋体"/>
                <w:bCs/>
                <w:kern w:val="0"/>
                <w:sz w:val="20"/>
                <w:szCs w:val="20"/>
              </w:rPr>
              <w:t>掌握日语语言基础知识，具有扎实的语言基本功和听、说、读、写、译等语言应用能力。</w:t>
            </w:r>
          </w:p>
        </w:tc>
        <w:tc>
          <w:tcPr>
            <w:tcW w:w="709" w:type="dxa"/>
            <w:vAlign w:val="center"/>
          </w:tcPr>
          <w:p w14:paraId="7BDF149F">
            <w:pPr>
              <w:widowControl/>
              <w:jc w:val="center"/>
              <w:rPr>
                <w:rFonts w:ascii="Times New Roman" w:hAnsi="Times New Roman"/>
                <w:kern w:val="0"/>
                <w:szCs w:val="21"/>
              </w:rPr>
            </w:pPr>
          </w:p>
        </w:tc>
      </w:tr>
      <w:tr w14:paraId="4D5D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959" w:type="dxa"/>
            <w:vMerge w:val="continue"/>
            <w:vAlign w:val="center"/>
          </w:tcPr>
          <w:p w14:paraId="63D25C9B">
            <w:pPr>
              <w:widowControl/>
              <w:jc w:val="left"/>
              <w:rPr>
                <w:rFonts w:ascii="仿宋" w:hAnsi="仿宋" w:eastAsia="仿宋" w:cs="宋体"/>
                <w:color w:val="000000"/>
                <w:kern w:val="0"/>
                <w:sz w:val="24"/>
                <w:szCs w:val="24"/>
              </w:rPr>
            </w:pPr>
          </w:p>
        </w:tc>
        <w:tc>
          <w:tcPr>
            <w:tcW w:w="5953" w:type="dxa"/>
            <w:vAlign w:val="center"/>
          </w:tcPr>
          <w:p w14:paraId="0D5F6619">
            <w:pPr>
              <w:widowControl/>
              <w:jc w:val="left"/>
              <w:rPr>
                <w:rFonts w:ascii="宋体" w:hAnsi="宋体"/>
                <w:kern w:val="0"/>
                <w:sz w:val="20"/>
                <w:szCs w:val="20"/>
              </w:rPr>
            </w:pPr>
            <w:r>
              <w:rPr>
                <w:rFonts w:hint="eastAsia" w:cs="Calibri"/>
                <w:kern w:val="0"/>
                <w:sz w:val="20"/>
                <w:szCs w:val="20"/>
              </w:rPr>
              <w:t>LO23</w:t>
            </w:r>
            <w:r>
              <w:rPr>
                <w:rFonts w:hint="eastAsia" w:ascii="宋体" w:hAnsi="宋体" w:cs="宋体"/>
                <w:bCs/>
                <w:kern w:val="0"/>
                <w:sz w:val="20"/>
                <w:szCs w:val="20"/>
              </w:rPr>
              <w:t>掌握日语语言学、文学等相关知识，具备文学欣赏与文本分析能力。</w:t>
            </w:r>
          </w:p>
        </w:tc>
        <w:tc>
          <w:tcPr>
            <w:tcW w:w="709" w:type="dxa"/>
            <w:vAlign w:val="center"/>
          </w:tcPr>
          <w:p w14:paraId="1ABD794E">
            <w:pPr>
              <w:widowControl/>
              <w:jc w:val="center"/>
              <w:rPr>
                <w:rFonts w:ascii="仿宋" w:hAnsi="仿宋" w:eastAsia="仿宋" w:cs="宋体"/>
                <w:kern w:val="0"/>
                <w:sz w:val="24"/>
                <w:szCs w:val="20"/>
              </w:rPr>
            </w:pPr>
            <w:r>
              <w:rPr>
                <w:rFonts w:hint="eastAsia" w:ascii="仿宋" w:hAnsi="仿宋" w:eastAsia="仿宋" w:cs="宋体"/>
                <w:kern w:val="0"/>
                <w:sz w:val="24"/>
                <w:szCs w:val="20"/>
              </w:rPr>
              <w:t>●</w:t>
            </w:r>
          </w:p>
        </w:tc>
      </w:tr>
      <w:tr w14:paraId="2234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959" w:type="dxa"/>
            <w:vMerge w:val="continue"/>
            <w:vAlign w:val="center"/>
          </w:tcPr>
          <w:p w14:paraId="7F09C120">
            <w:pPr>
              <w:widowControl/>
              <w:jc w:val="left"/>
              <w:rPr>
                <w:rFonts w:ascii="仿宋" w:hAnsi="仿宋" w:eastAsia="仿宋" w:cs="宋体"/>
                <w:color w:val="000000"/>
                <w:kern w:val="0"/>
                <w:sz w:val="24"/>
                <w:szCs w:val="24"/>
              </w:rPr>
            </w:pPr>
          </w:p>
        </w:tc>
        <w:tc>
          <w:tcPr>
            <w:tcW w:w="5953" w:type="dxa"/>
            <w:vAlign w:val="center"/>
          </w:tcPr>
          <w:p w14:paraId="37A91A4C">
            <w:pPr>
              <w:widowControl/>
              <w:jc w:val="left"/>
              <w:rPr>
                <w:rFonts w:ascii="宋体" w:hAnsi="宋体"/>
                <w:kern w:val="0"/>
                <w:sz w:val="20"/>
                <w:szCs w:val="20"/>
              </w:rPr>
            </w:pPr>
            <w:r>
              <w:rPr>
                <w:rFonts w:cs="Calibri"/>
                <w:kern w:val="0"/>
                <w:sz w:val="20"/>
                <w:szCs w:val="20"/>
              </w:rPr>
              <w:t>LO24</w:t>
            </w:r>
            <w:r>
              <w:rPr>
                <w:rFonts w:hint="eastAsia" w:ascii="宋体" w:hAnsi="宋体" w:cs="宋体"/>
                <w:bCs/>
                <w:kern w:val="0"/>
                <w:sz w:val="20"/>
                <w:szCs w:val="20"/>
              </w:rPr>
              <w:t>了解中日两国的社会、文化及中日文化差异，具有良好的跨文化交际能力。</w:t>
            </w:r>
          </w:p>
        </w:tc>
        <w:tc>
          <w:tcPr>
            <w:tcW w:w="709" w:type="dxa"/>
            <w:vAlign w:val="center"/>
          </w:tcPr>
          <w:p w14:paraId="0D8E1531">
            <w:pPr>
              <w:widowControl/>
              <w:jc w:val="center"/>
              <w:rPr>
                <w:rFonts w:ascii="仿宋" w:hAnsi="仿宋" w:eastAsia="仿宋" w:cs="宋体"/>
                <w:kern w:val="0"/>
                <w:sz w:val="24"/>
                <w:szCs w:val="20"/>
              </w:rPr>
            </w:pPr>
          </w:p>
        </w:tc>
      </w:tr>
      <w:tr w14:paraId="172B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959" w:type="dxa"/>
            <w:vMerge w:val="continue"/>
            <w:vAlign w:val="center"/>
          </w:tcPr>
          <w:p w14:paraId="51B84DB5">
            <w:pPr>
              <w:widowControl/>
              <w:jc w:val="left"/>
              <w:rPr>
                <w:rFonts w:ascii="仿宋" w:hAnsi="仿宋" w:eastAsia="仿宋" w:cs="宋体"/>
                <w:color w:val="000000"/>
                <w:kern w:val="0"/>
                <w:sz w:val="24"/>
                <w:szCs w:val="24"/>
              </w:rPr>
            </w:pPr>
          </w:p>
        </w:tc>
        <w:tc>
          <w:tcPr>
            <w:tcW w:w="5953" w:type="dxa"/>
            <w:vAlign w:val="center"/>
          </w:tcPr>
          <w:p w14:paraId="4BD3A1C8">
            <w:pPr>
              <w:widowControl/>
              <w:jc w:val="left"/>
              <w:rPr>
                <w:rFonts w:ascii="宋体" w:hAnsi="宋体"/>
                <w:kern w:val="0"/>
                <w:sz w:val="20"/>
                <w:szCs w:val="20"/>
              </w:rPr>
            </w:pPr>
            <w:r>
              <w:rPr>
                <w:rFonts w:hint="eastAsia" w:cs="Calibri"/>
                <w:kern w:val="0"/>
                <w:sz w:val="20"/>
                <w:szCs w:val="20"/>
              </w:rPr>
              <w:t>LO25</w:t>
            </w:r>
            <w:r>
              <w:rPr>
                <w:rFonts w:hint="eastAsia" w:ascii="宋体" w:hAnsi="宋体" w:cs="宋体"/>
                <w:bCs/>
                <w:kern w:val="0"/>
                <w:sz w:val="20"/>
                <w:szCs w:val="20"/>
              </w:rPr>
              <w:t>了解日本企业文化，掌握商务实践知识，具备职场日语沟通的基本技能。</w:t>
            </w:r>
          </w:p>
        </w:tc>
        <w:tc>
          <w:tcPr>
            <w:tcW w:w="709" w:type="dxa"/>
            <w:vAlign w:val="center"/>
          </w:tcPr>
          <w:p w14:paraId="735574C7">
            <w:pPr>
              <w:widowControl/>
              <w:jc w:val="center"/>
              <w:rPr>
                <w:rFonts w:ascii="仿宋" w:hAnsi="仿宋" w:eastAsia="仿宋" w:cs="宋体"/>
                <w:kern w:val="0"/>
                <w:sz w:val="24"/>
                <w:szCs w:val="20"/>
              </w:rPr>
            </w:pPr>
          </w:p>
        </w:tc>
      </w:tr>
      <w:tr w14:paraId="4F74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959" w:type="dxa"/>
            <w:vMerge w:val="continue"/>
            <w:vAlign w:val="center"/>
          </w:tcPr>
          <w:p w14:paraId="6AFFDC65">
            <w:pPr>
              <w:widowControl/>
              <w:jc w:val="left"/>
              <w:rPr>
                <w:rFonts w:ascii="仿宋" w:hAnsi="仿宋" w:eastAsia="仿宋" w:cs="宋体"/>
                <w:color w:val="000000"/>
                <w:kern w:val="0"/>
                <w:sz w:val="24"/>
                <w:szCs w:val="24"/>
              </w:rPr>
            </w:pPr>
          </w:p>
        </w:tc>
        <w:tc>
          <w:tcPr>
            <w:tcW w:w="5953" w:type="dxa"/>
            <w:vAlign w:val="center"/>
          </w:tcPr>
          <w:p w14:paraId="308CE637">
            <w:pPr>
              <w:widowControl/>
              <w:jc w:val="left"/>
              <w:rPr>
                <w:rFonts w:ascii="宋体" w:hAnsi="宋体"/>
                <w:kern w:val="0"/>
                <w:sz w:val="20"/>
                <w:szCs w:val="20"/>
              </w:rPr>
            </w:pPr>
            <w:r>
              <w:rPr>
                <w:rFonts w:hint="eastAsia" w:cs="Calibri"/>
                <w:kern w:val="0"/>
                <w:sz w:val="20"/>
                <w:szCs w:val="20"/>
              </w:rPr>
              <w:t>LO26</w:t>
            </w:r>
            <w:r>
              <w:rPr>
                <w:rFonts w:hint="eastAsia" w:ascii="宋体" w:hAnsi="宋体" w:cs="宋体"/>
                <w:bCs/>
                <w:kern w:val="0"/>
                <w:sz w:val="20"/>
                <w:szCs w:val="20"/>
              </w:rPr>
              <w:t>掌握文献检索的基本方法，具有初步的科学研究与实际工作能力。</w:t>
            </w:r>
          </w:p>
        </w:tc>
        <w:tc>
          <w:tcPr>
            <w:tcW w:w="709" w:type="dxa"/>
            <w:vAlign w:val="center"/>
          </w:tcPr>
          <w:p w14:paraId="634C73C9">
            <w:pPr>
              <w:widowControl/>
              <w:jc w:val="center"/>
              <w:rPr>
                <w:rFonts w:ascii="仿宋" w:hAnsi="仿宋" w:eastAsia="仿宋" w:cs="宋体"/>
                <w:kern w:val="0"/>
                <w:sz w:val="24"/>
                <w:szCs w:val="20"/>
              </w:rPr>
            </w:pPr>
          </w:p>
        </w:tc>
      </w:tr>
      <w:tr w14:paraId="27F2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59" w:type="dxa"/>
            <w:vMerge w:val="restart"/>
            <w:vAlign w:val="center"/>
          </w:tcPr>
          <w:p w14:paraId="124ED567">
            <w:pPr>
              <w:widowControl/>
              <w:jc w:val="left"/>
              <w:rPr>
                <w:rFonts w:ascii="Times New Roman" w:hAnsi="Times New Roman"/>
                <w:kern w:val="0"/>
                <w:sz w:val="24"/>
                <w:szCs w:val="24"/>
              </w:rPr>
            </w:pPr>
            <w:r>
              <w:rPr>
                <w:rFonts w:hint="eastAsia" w:ascii="仿宋" w:hAnsi="仿宋" w:eastAsia="仿宋" w:cs="宋体"/>
                <w:color w:val="000000"/>
                <w:kern w:val="0"/>
                <w:sz w:val="24"/>
                <w:szCs w:val="24"/>
              </w:rPr>
              <w:t>LO3：表达沟通</w:t>
            </w:r>
          </w:p>
        </w:tc>
        <w:tc>
          <w:tcPr>
            <w:tcW w:w="5953" w:type="dxa"/>
            <w:vAlign w:val="center"/>
          </w:tcPr>
          <w:p w14:paraId="100C1801">
            <w:pPr>
              <w:jc w:val="left"/>
              <w:rPr>
                <w:rFonts w:ascii="宋体" w:hAnsi="宋体"/>
                <w:kern w:val="0"/>
                <w:sz w:val="20"/>
                <w:szCs w:val="20"/>
              </w:rPr>
            </w:pPr>
            <w:r>
              <w:rPr>
                <w:rFonts w:hint="eastAsia" w:cs="Calibri"/>
                <w:kern w:val="0"/>
                <w:sz w:val="20"/>
                <w:szCs w:val="20"/>
              </w:rPr>
              <w:t>LO31</w:t>
            </w:r>
            <w:r>
              <w:rPr>
                <w:rFonts w:ascii="宋体" w:hAnsi="宋体" w:cs="宋体"/>
                <w:bCs/>
                <w:kern w:val="0"/>
                <w:sz w:val="20"/>
                <w:szCs w:val="20"/>
              </w:rPr>
              <w:t>倾听他人意见、尊重他人观点、分析他人需求。</w:t>
            </w:r>
          </w:p>
        </w:tc>
        <w:tc>
          <w:tcPr>
            <w:tcW w:w="709" w:type="dxa"/>
            <w:vAlign w:val="center"/>
          </w:tcPr>
          <w:p w14:paraId="13124C90">
            <w:pPr>
              <w:widowControl/>
              <w:jc w:val="center"/>
              <w:rPr>
                <w:rFonts w:ascii="仿宋" w:hAnsi="仿宋" w:eastAsia="仿宋" w:cs="宋体"/>
                <w:color w:val="000000"/>
                <w:kern w:val="0"/>
                <w:szCs w:val="21"/>
              </w:rPr>
            </w:pPr>
          </w:p>
        </w:tc>
      </w:tr>
      <w:tr w14:paraId="4268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59" w:type="dxa"/>
            <w:vMerge w:val="continue"/>
            <w:vAlign w:val="center"/>
          </w:tcPr>
          <w:p w14:paraId="40415915">
            <w:pPr>
              <w:widowControl/>
              <w:jc w:val="left"/>
              <w:rPr>
                <w:rFonts w:ascii="仿宋" w:hAnsi="仿宋" w:eastAsia="仿宋" w:cs="宋体"/>
                <w:color w:val="000000"/>
                <w:kern w:val="0"/>
                <w:sz w:val="24"/>
                <w:szCs w:val="24"/>
              </w:rPr>
            </w:pPr>
          </w:p>
        </w:tc>
        <w:tc>
          <w:tcPr>
            <w:tcW w:w="5953" w:type="dxa"/>
            <w:vAlign w:val="center"/>
          </w:tcPr>
          <w:p w14:paraId="4B550D32">
            <w:pPr>
              <w:jc w:val="left"/>
              <w:rPr>
                <w:rFonts w:ascii="宋体" w:hAnsi="宋体"/>
                <w:kern w:val="0"/>
                <w:sz w:val="20"/>
                <w:szCs w:val="20"/>
              </w:rPr>
            </w:pPr>
            <w:r>
              <w:rPr>
                <w:rFonts w:hint="eastAsia" w:cs="Calibri"/>
                <w:kern w:val="0"/>
                <w:sz w:val="20"/>
                <w:szCs w:val="20"/>
              </w:rPr>
              <w:t>LO32</w:t>
            </w:r>
            <w:r>
              <w:rPr>
                <w:rFonts w:ascii="宋体" w:hAnsi="宋体" w:cs="宋体"/>
                <w:bCs/>
                <w:kern w:val="0"/>
                <w:sz w:val="20"/>
                <w:szCs w:val="20"/>
              </w:rPr>
              <w:t>应用书面或口头形式，阐释自己的观点，有效沟通。</w:t>
            </w:r>
          </w:p>
        </w:tc>
        <w:tc>
          <w:tcPr>
            <w:tcW w:w="709" w:type="dxa"/>
            <w:vAlign w:val="center"/>
          </w:tcPr>
          <w:p w14:paraId="69097980">
            <w:pPr>
              <w:widowControl/>
              <w:jc w:val="center"/>
              <w:rPr>
                <w:rFonts w:ascii="仿宋" w:hAnsi="仿宋" w:eastAsia="仿宋" w:cs="宋体"/>
                <w:color w:val="000000"/>
                <w:kern w:val="0"/>
                <w:szCs w:val="21"/>
              </w:rPr>
            </w:pPr>
          </w:p>
        </w:tc>
      </w:tr>
      <w:tr w14:paraId="4465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959" w:type="dxa"/>
            <w:vMerge w:val="restart"/>
            <w:vAlign w:val="center"/>
          </w:tcPr>
          <w:p w14:paraId="18A490E0">
            <w:pPr>
              <w:widowControl/>
              <w:jc w:val="left"/>
              <w:rPr>
                <w:rFonts w:ascii="Times New Roman" w:hAnsi="Times New Roman"/>
                <w:kern w:val="0"/>
                <w:sz w:val="24"/>
                <w:szCs w:val="24"/>
              </w:rPr>
            </w:pPr>
            <w:r>
              <w:rPr>
                <w:rFonts w:hint="eastAsia" w:ascii="仿宋" w:hAnsi="仿宋" w:eastAsia="仿宋" w:cs="宋体"/>
                <w:color w:val="000000"/>
                <w:kern w:val="0"/>
                <w:sz w:val="24"/>
                <w:szCs w:val="24"/>
              </w:rPr>
              <w:t>LO4：自主学习</w:t>
            </w:r>
          </w:p>
        </w:tc>
        <w:tc>
          <w:tcPr>
            <w:tcW w:w="5953" w:type="dxa"/>
            <w:vAlign w:val="center"/>
          </w:tcPr>
          <w:p w14:paraId="62855A42">
            <w:pPr>
              <w:widowControl/>
              <w:jc w:val="left"/>
              <w:rPr>
                <w:rFonts w:ascii="宋体" w:hAnsi="宋体"/>
                <w:kern w:val="0"/>
                <w:sz w:val="20"/>
                <w:szCs w:val="20"/>
              </w:rPr>
            </w:pPr>
            <w:r>
              <w:rPr>
                <w:rFonts w:cs="Calibri"/>
                <w:kern w:val="0"/>
                <w:sz w:val="20"/>
                <w:szCs w:val="20"/>
              </w:rPr>
              <w:t>LO41</w:t>
            </w:r>
            <w:r>
              <w:rPr>
                <w:rFonts w:ascii="宋体" w:hAnsi="宋体" w:cs="宋体"/>
                <w:bCs/>
                <w:kern w:val="0"/>
                <w:sz w:val="20"/>
                <w:szCs w:val="20"/>
              </w:rPr>
              <w:t>能根据需要确定学习目标，并设计学习计划。</w:t>
            </w:r>
          </w:p>
        </w:tc>
        <w:tc>
          <w:tcPr>
            <w:tcW w:w="709" w:type="dxa"/>
            <w:vAlign w:val="center"/>
          </w:tcPr>
          <w:p w14:paraId="55980C80">
            <w:pPr>
              <w:widowControl/>
              <w:jc w:val="center"/>
              <w:rPr>
                <w:rFonts w:ascii="仿宋" w:hAnsi="仿宋" w:eastAsia="仿宋" w:cs="宋体"/>
                <w:kern w:val="0"/>
                <w:szCs w:val="21"/>
              </w:rPr>
            </w:pPr>
          </w:p>
        </w:tc>
      </w:tr>
      <w:tr w14:paraId="765C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959" w:type="dxa"/>
            <w:vMerge w:val="continue"/>
            <w:vAlign w:val="center"/>
          </w:tcPr>
          <w:p w14:paraId="4F13B424">
            <w:pPr>
              <w:widowControl/>
              <w:jc w:val="left"/>
              <w:rPr>
                <w:rFonts w:ascii="仿宋" w:hAnsi="仿宋" w:eastAsia="仿宋" w:cs="宋体"/>
                <w:color w:val="000000"/>
                <w:kern w:val="0"/>
                <w:sz w:val="24"/>
                <w:szCs w:val="24"/>
              </w:rPr>
            </w:pPr>
          </w:p>
        </w:tc>
        <w:tc>
          <w:tcPr>
            <w:tcW w:w="5953" w:type="dxa"/>
            <w:vAlign w:val="center"/>
          </w:tcPr>
          <w:p w14:paraId="67ADA1F2">
            <w:pPr>
              <w:widowControl/>
              <w:jc w:val="left"/>
              <w:rPr>
                <w:rFonts w:ascii="宋体" w:hAnsi="宋体"/>
                <w:kern w:val="0"/>
                <w:sz w:val="20"/>
                <w:szCs w:val="20"/>
              </w:rPr>
            </w:pPr>
            <w:r>
              <w:rPr>
                <w:rFonts w:hint="eastAsia" w:cs="Calibri"/>
                <w:kern w:val="0"/>
                <w:sz w:val="20"/>
                <w:szCs w:val="20"/>
              </w:rPr>
              <w:t>LO42</w:t>
            </w:r>
            <w:r>
              <w:rPr>
                <w:rFonts w:hint="eastAsia" w:ascii="宋体" w:hAnsi="宋体"/>
                <w:kern w:val="0"/>
                <w:sz w:val="20"/>
                <w:szCs w:val="20"/>
              </w:rPr>
              <w:t xml:space="preserve"> </w:t>
            </w:r>
            <w:r>
              <w:rPr>
                <w:rFonts w:ascii="宋体" w:hAnsi="宋体" w:cs="宋体"/>
                <w:bCs/>
                <w:kern w:val="0"/>
                <w:sz w:val="20"/>
                <w:szCs w:val="20"/>
              </w:rPr>
              <w:t>能搜集、获取达到目标所需要的学习资源，实施学习计划、反思学习计划、持续改进，达到学习目标。</w:t>
            </w:r>
          </w:p>
        </w:tc>
        <w:tc>
          <w:tcPr>
            <w:tcW w:w="709" w:type="dxa"/>
            <w:vAlign w:val="center"/>
          </w:tcPr>
          <w:p w14:paraId="015246AC">
            <w:pPr>
              <w:widowControl/>
              <w:jc w:val="center"/>
              <w:rPr>
                <w:rFonts w:ascii="仿宋" w:hAnsi="仿宋" w:eastAsia="仿宋" w:cs="宋体"/>
                <w:color w:val="000000"/>
                <w:kern w:val="0"/>
                <w:szCs w:val="21"/>
              </w:rPr>
            </w:pPr>
          </w:p>
        </w:tc>
      </w:tr>
      <w:tr w14:paraId="4915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959" w:type="dxa"/>
            <w:vMerge w:val="restart"/>
            <w:vAlign w:val="center"/>
          </w:tcPr>
          <w:p w14:paraId="4EC931A1">
            <w:pPr>
              <w:widowControl/>
              <w:jc w:val="left"/>
              <w:rPr>
                <w:rFonts w:ascii="Times New Roman" w:hAnsi="Times New Roman"/>
                <w:kern w:val="0"/>
                <w:sz w:val="24"/>
                <w:szCs w:val="24"/>
              </w:rPr>
            </w:pPr>
            <w:r>
              <w:rPr>
                <w:rFonts w:hint="eastAsia" w:ascii="仿宋" w:hAnsi="仿宋" w:eastAsia="仿宋" w:cs="宋体"/>
                <w:color w:val="000000"/>
                <w:kern w:val="0"/>
                <w:sz w:val="24"/>
                <w:szCs w:val="24"/>
              </w:rPr>
              <w:t>LO5：健康发展</w:t>
            </w:r>
          </w:p>
        </w:tc>
        <w:tc>
          <w:tcPr>
            <w:tcW w:w="5953" w:type="dxa"/>
            <w:vAlign w:val="center"/>
          </w:tcPr>
          <w:p w14:paraId="21D096F6">
            <w:pPr>
              <w:widowControl/>
              <w:jc w:val="left"/>
              <w:rPr>
                <w:rFonts w:ascii="宋体" w:hAnsi="宋体"/>
                <w:kern w:val="0"/>
                <w:sz w:val="20"/>
                <w:szCs w:val="20"/>
              </w:rPr>
            </w:pPr>
            <w:r>
              <w:rPr>
                <w:rFonts w:hint="eastAsia" w:cs="Calibri"/>
                <w:kern w:val="0"/>
                <w:sz w:val="20"/>
                <w:szCs w:val="20"/>
              </w:rPr>
              <w:t>LO51</w:t>
            </w:r>
            <w:r>
              <w:rPr>
                <w:rFonts w:ascii="宋体" w:hAnsi="宋体"/>
                <w:kern w:val="0"/>
                <w:sz w:val="20"/>
                <w:szCs w:val="20"/>
              </w:rPr>
              <w:t xml:space="preserve"> </w:t>
            </w:r>
            <w:r>
              <w:rPr>
                <w:rFonts w:ascii="宋体" w:hAnsi="宋体" w:cs="宋体"/>
                <w:bCs/>
                <w:kern w:val="0"/>
                <w:sz w:val="20"/>
                <w:szCs w:val="20"/>
              </w:rPr>
              <w:t>身体健康，具有良好的卫生习惯，积极参加体育活动。</w:t>
            </w:r>
          </w:p>
        </w:tc>
        <w:tc>
          <w:tcPr>
            <w:tcW w:w="709" w:type="dxa"/>
            <w:vAlign w:val="center"/>
          </w:tcPr>
          <w:p w14:paraId="461680B9">
            <w:pPr>
              <w:widowControl/>
              <w:jc w:val="center"/>
              <w:rPr>
                <w:rFonts w:ascii="仿宋" w:hAnsi="仿宋" w:eastAsia="仿宋" w:cs="宋体"/>
                <w:color w:val="000000"/>
                <w:kern w:val="0"/>
                <w:szCs w:val="21"/>
              </w:rPr>
            </w:pPr>
          </w:p>
        </w:tc>
      </w:tr>
      <w:tr w14:paraId="1008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59" w:type="dxa"/>
            <w:vMerge w:val="continue"/>
            <w:vAlign w:val="center"/>
          </w:tcPr>
          <w:p w14:paraId="02BC06E6">
            <w:pPr>
              <w:widowControl/>
              <w:jc w:val="left"/>
              <w:rPr>
                <w:rFonts w:ascii="仿宋" w:hAnsi="仿宋" w:eastAsia="仿宋" w:cs="宋体"/>
                <w:color w:val="000000"/>
                <w:kern w:val="0"/>
                <w:sz w:val="24"/>
                <w:szCs w:val="24"/>
              </w:rPr>
            </w:pPr>
          </w:p>
        </w:tc>
        <w:tc>
          <w:tcPr>
            <w:tcW w:w="5953" w:type="dxa"/>
            <w:vAlign w:val="center"/>
          </w:tcPr>
          <w:p w14:paraId="42EF6007">
            <w:pPr>
              <w:widowControl/>
              <w:jc w:val="left"/>
              <w:rPr>
                <w:rFonts w:ascii="宋体" w:hAnsi="宋体"/>
                <w:kern w:val="0"/>
                <w:sz w:val="20"/>
                <w:szCs w:val="20"/>
              </w:rPr>
            </w:pPr>
            <w:r>
              <w:rPr>
                <w:rFonts w:hint="eastAsia" w:cs="Calibri"/>
                <w:kern w:val="0"/>
                <w:sz w:val="20"/>
                <w:szCs w:val="20"/>
              </w:rPr>
              <w:t>LO52</w:t>
            </w:r>
            <w:r>
              <w:rPr>
                <w:rFonts w:hint="eastAsia" w:ascii="宋体" w:hAnsi="宋体"/>
                <w:kern w:val="0"/>
                <w:sz w:val="20"/>
                <w:szCs w:val="20"/>
              </w:rPr>
              <w:t xml:space="preserve"> </w:t>
            </w:r>
            <w:r>
              <w:rPr>
                <w:rFonts w:ascii="宋体" w:hAnsi="宋体" w:cs="宋体"/>
                <w:bCs/>
                <w:kern w:val="0"/>
                <w:sz w:val="20"/>
                <w:szCs w:val="20"/>
              </w:rPr>
              <w:t>心理健康，学习和参与心理调适各项活动，耐挫折，能承受学习和生活中的压力。</w:t>
            </w:r>
          </w:p>
        </w:tc>
        <w:tc>
          <w:tcPr>
            <w:tcW w:w="709" w:type="dxa"/>
            <w:vAlign w:val="center"/>
          </w:tcPr>
          <w:p w14:paraId="76051F1A">
            <w:pPr>
              <w:widowControl/>
              <w:jc w:val="center"/>
              <w:rPr>
                <w:rFonts w:ascii="仿宋" w:hAnsi="仿宋" w:eastAsia="仿宋" w:cs="宋体"/>
                <w:color w:val="000000"/>
                <w:kern w:val="0"/>
                <w:szCs w:val="21"/>
              </w:rPr>
            </w:pPr>
          </w:p>
        </w:tc>
      </w:tr>
      <w:tr w14:paraId="2984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59" w:type="dxa"/>
            <w:vMerge w:val="continue"/>
            <w:vAlign w:val="center"/>
          </w:tcPr>
          <w:p w14:paraId="2A2BF128">
            <w:pPr>
              <w:widowControl/>
              <w:jc w:val="left"/>
              <w:rPr>
                <w:rFonts w:ascii="仿宋" w:hAnsi="仿宋" w:eastAsia="仿宋" w:cs="宋体"/>
                <w:color w:val="000000"/>
                <w:kern w:val="0"/>
                <w:sz w:val="24"/>
                <w:szCs w:val="24"/>
              </w:rPr>
            </w:pPr>
          </w:p>
        </w:tc>
        <w:tc>
          <w:tcPr>
            <w:tcW w:w="5953" w:type="dxa"/>
            <w:vAlign w:val="center"/>
          </w:tcPr>
          <w:p w14:paraId="050B4351">
            <w:pPr>
              <w:widowControl/>
              <w:jc w:val="left"/>
              <w:rPr>
                <w:rFonts w:ascii="宋体" w:hAnsi="宋体"/>
                <w:kern w:val="0"/>
                <w:sz w:val="20"/>
                <w:szCs w:val="20"/>
              </w:rPr>
            </w:pPr>
            <w:r>
              <w:rPr>
                <w:rFonts w:hint="eastAsia" w:cs="Calibri"/>
                <w:kern w:val="0"/>
                <w:sz w:val="20"/>
                <w:szCs w:val="20"/>
              </w:rPr>
              <w:t>LO53</w:t>
            </w:r>
            <w:r>
              <w:rPr>
                <w:rFonts w:hint="eastAsia" w:ascii="宋体" w:hAnsi="宋体"/>
                <w:kern w:val="0"/>
                <w:sz w:val="20"/>
                <w:szCs w:val="20"/>
              </w:rPr>
              <w:t xml:space="preserve"> </w:t>
            </w:r>
            <w:r>
              <w:rPr>
                <w:rFonts w:ascii="宋体" w:hAnsi="宋体" w:cs="宋体"/>
                <w:bCs/>
                <w:kern w:val="0"/>
                <w:sz w:val="20"/>
                <w:szCs w:val="20"/>
              </w:rPr>
              <w:t>懂得审美，有发现美、感受美、鉴赏美、评价美、创造美的能力。</w:t>
            </w:r>
          </w:p>
        </w:tc>
        <w:tc>
          <w:tcPr>
            <w:tcW w:w="709" w:type="dxa"/>
            <w:vAlign w:val="center"/>
          </w:tcPr>
          <w:p w14:paraId="656F29D5">
            <w:pPr>
              <w:widowControl/>
              <w:jc w:val="center"/>
              <w:rPr>
                <w:rFonts w:ascii="仿宋" w:hAnsi="仿宋" w:eastAsia="仿宋" w:cs="宋体"/>
                <w:color w:val="000000"/>
                <w:kern w:val="0"/>
                <w:szCs w:val="21"/>
              </w:rPr>
            </w:pPr>
            <w:r>
              <w:rPr>
                <w:rFonts w:hint="eastAsia" w:ascii="仿宋" w:hAnsi="仿宋" w:eastAsia="仿宋" w:cs="宋体"/>
                <w:kern w:val="0"/>
                <w:sz w:val="24"/>
                <w:szCs w:val="20"/>
              </w:rPr>
              <w:t>●</w:t>
            </w:r>
          </w:p>
        </w:tc>
      </w:tr>
      <w:tr w14:paraId="1236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59" w:type="dxa"/>
            <w:vMerge w:val="continue"/>
            <w:vAlign w:val="center"/>
          </w:tcPr>
          <w:p w14:paraId="23750B77">
            <w:pPr>
              <w:widowControl/>
              <w:jc w:val="left"/>
              <w:rPr>
                <w:rFonts w:ascii="仿宋" w:hAnsi="仿宋" w:eastAsia="仿宋" w:cs="宋体"/>
                <w:color w:val="000000"/>
                <w:kern w:val="0"/>
                <w:sz w:val="24"/>
                <w:szCs w:val="24"/>
              </w:rPr>
            </w:pPr>
          </w:p>
        </w:tc>
        <w:tc>
          <w:tcPr>
            <w:tcW w:w="5953" w:type="dxa"/>
            <w:vAlign w:val="center"/>
          </w:tcPr>
          <w:p w14:paraId="2FD9154A">
            <w:pPr>
              <w:widowControl/>
              <w:jc w:val="left"/>
              <w:rPr>
                <w:rFonts w:ascii="宋体" w:hAnsi="宋体"/>
                <w:kern w:val="0"/>
                <w:sz w:val="20"/>
                <w:szCs w:val="20"/>
              </w:rPr>
            </w:pPr>
            <w:r>
              <w:rPr>
                <w:rFonts w:cs="Calibri"/>
                <w:kern w:val="0"/>
                <w:sz w:val="20"/>
                <w:szCs w:val="20"/>
              </w:rPr>
              <w:t>LO54</w:t>
            </w:r>
            <w:r>
              <w:rPr>
                <w:rFonts w:ascii="宋体" w:hAnsi="宋体"/>
                <w:kern w:val="0"/>
                <w:sz w:val="20"/>
                <w:szCs w:val="20"/>
              </w:rPr>
              <w:t xml:space="preserve"> </w:t>
            </w:r>
            <w:r>
              <w:rPr>
                <w:rFonts w:ascii="宋体" w:hAnsi="宋体" w:cs="宋体"/>
                <w:bCs/>
                <w:kern w:val="0"/>
                <w:sz w:val="20"/>
                <w:szCs w:val="20"/>
              </w:rPr>
              <w:t>热爱劳动，具有正确的劳动观念和态度，热爱劳动和劳动人民，养成劳动习惯。</w:t>
            </w:r>
          </w:p>
        </w:tc>
        <w:tc>
          <w:tcPr>
            <w:tcW w:w="709" w:type="dxa"/>
            <w:vAlign w:val="center"/>
          </w:tcPr>
          <w:p w14:paraId="5F7F4C8F">
            <w:pPr>
              <w:widowControl/>
              <w:jc w:val="center"/>
              <w:rPr>
                <w:rFonts w:ascii="仿宋" w:hAnsi="仿宋" w:eastAsia="仿宋" w:cs="宋体"/>
                <w:color w:val="000000"/>
                <w:kern w:val="0"/>
                <w:szCs w:val="21"/>
              </w:rPr>
            </w:pPr>
          </w:p>
        </w:tc>
      </w:tr>
      <w:tr w14:paraId="1038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59" w:type="dxa"/>
            <w:vMerge w:val="continue"/>
            <w:vAlign w:val="center"/>
          </w:tcPr>
          <w:p w14:paraId="23449BE3">
            <w:pPr>
              <w:widowControl/>
              <w:jc w:val="left"/>
              <w:rPr>
                <w:rFonts w:ascii="仿宋" w:hAnsi="仿宋" w:eastAsia="仿宋" w:cs="宋体"/>
                <w:color w:val="000000"/>
                <w:kern w:val="0"/>
                <w:sz w:val="24"/>
                <w:szCs w:val="24"/>
              </w:rPr>
            </w:pPr>
          </w:p>
        </w:tc>
        <w:tc>
          <w:tcPr>
            <w:tcW w:w="5953" w:type="dxa"/>
            <w:vAlign w:val="center"/>
          </w:tcPr>
          <w:p w14:paraId="46C987DD">
            <w:pPr>
              <w:widowControl/>
              <w:jc w:val="left"/>
              <w:rPr>
                <w:rFonts w:ascii="宋体" w:hAnsi="宋体"/>
                <w:kern w:val="0"/>
                <w:sz w:val="20"/>
                <w:szCs w:val="20"/>
              </w:rPr>
            </w:pPr>
            <w:r>
              <w:rPr>
                <w:rFonts w:cs="Calibri"/>
                <w:kern w:val="0"/>
                <w:sz w:val="20"/>
                <w:szCs w:val="20"/>
              </w:rPr>
              <w:t>LO55</w:t>
            </w:r>
            <w:r>
              <w:rPr>
                <w:rFonts w:hint="eastAsia" w:cs="Calibri"/>
                <w:kern w:val="0"/>
                <w:sz w:val="20"/>
                <w:szCs w:val="20"/>
              </w:rPr>
              <w:t xml:space="preserve"> </w:t>
            </w:r>
            <w:r>
              <w:rPr>
                <w:rFonts w:ascii="宋体" w:hAnsi="宋体" w:cs="宋体"/>
                <w:bCs/>
                <w:kern w:val="0"/>
                <w:sz w:val="20"/>
                <w:szCs w:val="20"/>
              </w:rPr>
              <w:t>持续发展，具有爱护环境的意识，与自然和谐相处的环保理念与行动；具备终生学习的意识和能力</w:t>
            </w:r>
            <w:r>
              <w:rPr>
                <w:rFonts w:hint="eastAsia" w:ascii="宋体" w:hAnsi="宋体" w:cs="宋体"/>
                <w:bCs/>
                <w:kern w:val="0"/>
                <w:sz w:val="20"/>
                <w:szCs w:val="20"/>
              </w:rPr>
              <w:t>。</w:t>
            </w:r>
          </w:p>
        </w:tc>
        <w:tc>
          <w:tcPr>
            <w:tcW w:w="709" w:type="dxa"/>
            <w:vAlign w:val="center"/>
          </w:tcPr>
          <w:p w14:paraId="6A66C8D2">
            <w:pPr>
              <w:widowControl/>
              <w:jc w:val="center"/>
              <w:rPr>
                <w:rFonts w:ascii="仿宋" w:hAnsi="仿宋" w:eastAsia="仿宋" w:cs="宋体"/>
                <w:color w:val="000000"/>
                <w:kern w:val="0"/>
                <w:szCs w:val="21"/>
              </w:rPr>
            </w:pPr>
          </w:p>
        </w:tc>
      </w:tr>
      <w:tr w14:paraId="4FD5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959" w:type="dxa"/>
            <w:vMerge w:val="restart"/>
            <w:vAlign w:val="center"/>
          </w:tcPr>
          <w:p w14:paraId="102A153F">
            <w:pPr>
              <w:widowControl/>
              <w:jc w:val="left"/>
              <w:rPr>
                <w:rFonts w:ascii="Times New Roman" w:hAnsi="Times New Roman"/>
                <w:kern w:val="0"/>
                <w:sz w:val="24"/>
                <w:szCs w:val="24"/>
              </w:rPr>
            </w:pPr>
            <w:r>
              <w:rPr>
                <w:rFonts w:hint="eastAsia" w:ascii="仿宋" w:hAnsi="仿宋" w:eastAsia="仿宋" w:cs="宋体"/>
                <w:color w:val="000000"/>
                <w:kern w:val="0"/>
                <w:sz w:val="24"/>
                <w:szCs w:val="24"/>
              </w:rPr>
              <w:t>LO6：协同创新</w:t>
            </w:r>
          </w:p>
        </w:tc>
        <w:tc>
          <w:tcPr>
            <w:tcW w:w="5953" w:type="dxa"/>
            <w:vAlign w:val="center"/>
          </w:tcPr>
          <w:p w14:paraId="1A6AF150">
            <w:pPr>
              <w:widowControl/>
              <w:jc w:val="left"/>
              <w:rPr>
                <w:rFonts w:ascii="宋体" w:hAnsi="宋体"/>
                <w:kern w:val="0"/>
                <w:sz w:val="20"/>
                <w:szCs w:val="20"/>
              </w:rPr>
            </w:pPr>
            <w:r>
              <w:rPr>
                <w:rFonts w:cs="Calibri"/>
                <w:kern w:val="0"/>
                <w:sz w:val="20"/>
                <w:szCs w:val="20"/>
              </w:rPr>
              <w:t>LO61</w:t>
            </w:r>
            <w:r>
              <w:rPr>
                <w:rFonts w:ascii="宋体" w:hAnsi="宋体"/>
                <w:kern w:val="0"/>
                <w:sz w:val="20"/>
                <w:szCs w:val="20"/>
              </w:rPr>
              <w:t xml:space="preserve"> </w:t>
            </w:r>
            <w:r>
              <w:rPr>
                <w:rFonts w:ascii="宋体" w:hAnsi="宋体" w:cs="宋体"/>
                <w:bCs/>
                <w:kern w:val="0"/>
                <w:sz w:val="20"/>
                <w:szCs w:val="20"/>
              </w:rPr>
              <w:t>在集体活动中能主动担任自己的角色，与其他成员密切合作，善于自我管理和团队管理，共同完成任务。</w:t>
            </w:r>
          </w:p>
        </w:tc>
        <w:tc>
          <w:tcPr>
            <w:tcW w:w="709" w:type="dxa"/>
            <w:vAlign w:val="center"/>
          </w:tcPr>
          <w:p w14:paraId="554AA9AF">
            <w:pPr>
              <w:widowControl/>
              <w:jc w:val="center"/>
              <w:rPr>
                <w:rFonts w:ascii="仿宋" w:hAnsi="仿宋" w:eastAsia="仿宋" w:cs="宋体"/>
                <w:color w:val="000000"/>
                <w:kern w:val="0"/>
                <w:szCs w:val="21"/>
              </w:rPr>
            </w:pPr>
          </w:p>
        </w:tc>
      </w:tr>
      <w:tr w14:paraId="1DD1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959" w:type="dxa"/>
            <w:vMerge w:val="continue"/>
            <w:vAlign w:val="center"/>
          </w:tcPr>
          <w:p w14:paraId="72784D97">
            <w:pPr>
              <w:widowControl/>
              <w:jc w:val="left"/>
              <w:rPr>
                <w:rFonts w:ascii="仿宋" w:hAnsi="仿宋" w:eastAsia="仿宋" w:cs="宋体"/>
                <w:color w:val="000000"/>
                <w:kern w:val="0"/>
                <w:sz w:val="24"/>
                <w:szCs w:val="24"/>
              </w:rPr>
            </w:pPr>
          </w:p>
        </w:tc>
        <w:tc>
          <w:tcPr>
            <w:tcW w:w="5953" w:type="dxa"/>
            <w:vAlign w:val="center"/>
          </w:tcPr>
          <w:p w14:paraId="50B26BE7">
            <w:pPr>
              <w:widowControl/>
              <w:jc w:val="left"/>
              <w:rPr>
                <w:rFonts w:ascii="宋体" w:hAnsi="宋体"/>
                <w:kern w:val="0"/>
                <w:sz w:val="20"/>
                <w:szCs w:val="20"/>
              </w:rPr>
            </w:pPr>
            <w:r>
              <w:rPr>
                <w:rFonts w:cs="Calibri"/>
                <w:kern w:val="0"/>
                <w:sz w:val="20"/>
                <w:szCs w:val="20"/>
              </w:rPr>
              <w:t>LO62</w:t>
            </w:r>
            <w:r>
              <w:rPr>
                <w:rFonts w:ascii="宋体" w:hAnsi="宋体"/>
                <w:kern w:val="0"/>
                <w:sz w:val="20"/>
                <w:szCs w:val="20"/>
              </w:rPr>
              <w:t xml:space="preserve"> </w:t>
            </w:r>
            <w:r>
              <w:rPr>
                <w:rFonts w:ascii="宋体" w:hAnsi="宋体" w:cs="宋体"/>
                <w:bCs/>
                <w:kern w:val="0"/>
                <w:sz w:val="20"/>
                <w:szCs w:val="20"/>
              </w:rPr>
              <w:t>有质疑精神，能有逻辑的分析与批判</w:t>
            </w:r>
            <w:r>
              <w:rPr>
                <w:rFonts w:hint="eastAsia" w:ascii="宋体" w:hAnsi="宋体" w:cs="宋体"/>
                <w:bCs/>
                <w:kern w:val="0"/>
                <w:sz w:val="20"/>
                <w:szCs w:val="20"/>
              </w:rPr>
              <w:t>。</w:t>
            </w:r>
          </w:p>
        </w:tc>
        <w:tc>
          <w:tcPr>
            <w:tcW w:w="709" w:type="dxa"/>
            <w:vAlign w:val="center"/>
          </w:tcPr>
          <w:p w14:paraId="234BCFD5">
            <w:pPr>
              <w:widowControl/>
              <w:jc w:val="center"/>
              <w:rPr>
                <w:rFonts w:ascii="仿宋" w:hAnsi="仿宋" w:eastAsia="仿宋" w:cs="宋体"/>
                <w:color w:val="000000"/>
                <w:kern w:val="0"/>
                <w:szCs w:val="21"/>
              </w:rPr>
            </w:pPr>
            <w:r>
              <w:rPr>
                <w:rFonts w:hint="eastAsia" w:ascii="仿宋" w:hAnsi="仿宋" w:eastAsia="仿宋" w:cs="宋体"/>
                <w:kern w:val="0"/>
                <w:sz w:val="24"/>
                <w:szCs w:val="20"/>
              </w:rPr>
              <w:t>●</w:t>
            </w:r>
          </w:p>
        </w:tc>
      </w:tr>
      <w:tr w14:paraId="14CC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959" w:type="dxa"/>
            <w:vMerge w:val="continue"/>
            <w:vAlign w:val="center"/>
          </w:tcPr>
          <w:p w14:paraId="153BE884">
            <w:pPr>
              <w:widowControl/>
              <w:jc w:val="left"/>
              <w:rPr>
                <w:rFonts w:ascii="仿宋" w:hAnsi="仿宋" w:eastAsia="仿宋" w:cs="宋体"/>
                <w:color w:val="000000"/>
                <w:kern w:val="0"/>
                <w:sz w:val="24"/>
                <w:szCs w:val="24"/>
              </w:rPr>
            </w:pPr>
          </w:p>
        </w:tc>
        <w:tc>
          <w:tcPr>
            <w:tcW w:w="5953" w:type="dxa"/>
            <w:vAlign w:val="center"/>
          </w:tcPr>
          <w:p w14:paraId="0D952F0A">
            <w:pPr>
              <w:widowControl/>
              <w:jc w:val="left"/>
              <w:rPr>
                <w:rFonts w:ascii="宋体" w:hAnsi="宋体"/>
                <w:kern w:val="0"/>
                <w:sz w:val="20"/>
                <w:szCs w:val="20"/>
              </w:rPr>
            </w:pPr>
            <w:r>
              <w:rPr>
                <w:rFonts w:cs="Calibri"/>
                <w:kern w:val="0"/>
                <w:sz w:val="20"/>
                <w:szCs w:val="20"/>
              </w:rPr>
              <w:t>LO63</w:t>
            </w:r>
            <w:r>
              <w:rPr>
                <w:rFonts w:ascii="宋体" w:hAnsi="宋体"/>
                <w:kern w:val="0"/>
                <w:sz w:val="20"/>
                <w:szCs w:val="20"/>
              </w:rPr>
              <w:t xml:space="preserve"> </w:t>
            </w:r>
            <w:r>
              <w:rPr>
                <w:rFonts w:ascii="宋体" w:hAnsi="宋体" w:cs="宋体"/>
                <w:bCs/>
                <w:kern w:val="0"/>
                <w:sz w:val="20"/>
                <w:szCs w:val="20"/>
              </w:rPr>
              <w:t>能用创新的方法或者多种方法解决复杂问题或真实问题。</w:t>
            </w:r>
          </w:p>
        </w:tc>
        <w:tc>
          <w:tcPr>
            <w:tcW w:w="709" w:type="dxa"/>
            <w:vAlign w:val="center"/>
          </w:tcPr>
          <w:p w14:paraId="79EDCD4B">
            <w:pPr>
              <w:widowControl/>
              <w:jc w:val="center"/>
              <w:rPr>
                <w:rFonts w:ascii="仿宋" w:hAnsi="仿宋" w:eastAsia="仿宋" w:cs="宋体"/>
                <w:color w:val="000000"/>
                <w:kern w:val="0"/>
                <w:szCs w:val="21"/>
              </w:rPr>
            </w:pPr>
          </w:p>
        </w:tc>
      </w:tr>
      <w:tr w14:paraId="4E59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959" w:type="dxa"/>
            <w:vMerge w:val="continue"/>
            <w:vAlign w:val="center"/>
          </w:tcPr>
          <w:p w14:paraId="6E3AC468">
            <w:pPr>
              <w:widowControl/>
              <w:jc w:val="left"/>
              <w:rPr>
                <w:rFonts w:ascii="仿宋" w:hAnsi="仿宋" w:eastAsia="仿宋" w:cs="宋体"/>
                <w:color w:val="000000"/>
                <w:kern w:val="0"/>
                <w:sz w:val="24"/>
                <w:szCs w:val="24"/>
              </w:rPr>
            </w:pPr>
          </w:p>
        </w:tc>
        <w:tc>
          <w:tcPr>
            <w:tcW w:w="5953" w:type="dxa"/>
            <w:vAlign w:val="center"/>
          </w:tcPr>
          <w:p w14:paraId="3FEC2DFB">
            <w:pPr>
              <w:widowControl/>
              <w:jc w:val="left"/>
              <w:rPr>
                <w:rFonts w:ascii="宋体" w:hAnsi="宋体"/>
                <w:kern w:val="0"/>
                <w:sz w:val="20"/>
                <w:szCs w:val="20"/>
              </w:rPr>
            </w:pPr>
            <w:r>
              <w:rPr>
                <w:rFonts w:cs="Calibri"/>
                <w:kern w:val="0"/>
                <w:sz w:val="20"/>
                <w:szCs w:val="20"/>
              </w:rPr>
              <w:t>LO64</w:t>
            </w:r>
            <w:r>
              <w:rPr>
                <w:rFonts w:ascii="宋体" w:hAnsi="宋体" w:cs="宋体"/>
                <w:bCs/>
                <w:kern w:val="0"/>
                <w:sz w:val="20"/>
                <w:szCs w:val="20"/>
              </w:rPr>
              <w:t>了解行业前沿知识技术。</w:t>
            </w:r>
          </w:p>
        </w:tc>
        <w:tc>
          <w:tcPr>
            <w:tcW w:w="709" w:type="dxa"/>
            <w:vAlign w:val="center"/>
          </w:tcPr>
          <w:p w14:paraId="60B1A266">
            <w:pPr>
              <w:widowControl/>
              <w:jc w:val="center"/>
              <w:rPr>
                <w:rFonts w:ascii="仿宋" w:hAnsi="仿宋" w:eastAsia="仿宋" w:cs="宋体"/>
                <w:color w:val="000000"/>
                <w:kern w:val="0"/>
                <w:szCs w:val="21"/>
              </w:rPr>
            </w:pPr>
          </w:p>
        </w:tc>
      </w:tr>
      <w:tr w14:paraId="0890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959" w:type="dxa"/>
            <w:vMerge w:val="restart"/>
            <w:vAlign w:val="center"/>
          </w:tcPr>
          <w:p w14:paraId="5A9D1039">
            <w:pPr>
              <w:widowControl/>
              <w:jc w:val="left"/>
              <w:rPr>
                <w:rFonts w:ascii="Times New Roman" w:hAnsi="Times New Roman"/>
                <w:kern w:val="0"/>
                <w:sz w:val="24"/>
                <w:szCs w:val="24"/>
              </w:rPr>
            </w:pPr>
            <w:r>
              <w:rPr>
                <w:rFonts w:hint="eastAsia" w:ascii="仿宋" w:hAnsi="仿宋" w:eastAsia="仿宋" w:cs="宋体"/>
                <w:color w:val="000000"/>
                <w:kern w:val="0"/>
                <w:sz w:val="24"/>
                <w:szCs w:val="24"/>
              </w:rPr>
              <w:t>LO7：信息应用</w:t>
            </w:r>
          </w:p>
        </w:tc>
        <w:tc>
          <w:tcPr>
            <w:tcW w:w="5953" w:type="dxa"/>
            <w:vAlign w:val="center"/>
          </w:tcPr>
          <w:p w14:paraId="35533C01">
            <w:pPr>
              <w:widowControl/>
              <w:jc w:val="left"/>
              <w:rPr>
                <w:rFonts w:ascii="宋体" w:hAnsi="宋体"/>
                <w:kern w:val="0"/>
                <w:sz w:val="20"/>
                <w:szCs w:val="20"/>
              </w:rPr>
            </w:pPr>
            <w:r>
              <w:rPr>
                <w:rFonts w:cs="Calibri"/>
                <w:kern w:val="0"/>
                <w:sz w:val="20"/>
                <w:szCs w:val="20"/>
              </w:rPr>
              <w:t>LO71</w:t>
            </w:r>
            <w:r>
              <w:rPr>
                <w:rFonts w:ascii="宋体" w:hAnsi="宋体"/>
                <w:kern w:val="0"/>
                <w:sz w:val="20"/>
                <w:szCs w:val="20"/>
              </w:rPr>
              <w:t xml:space="preserve"> </w:t>
            </w:r>
            <w:r>
              <w:rPr>
                <w:rFonts w:ascii="宋体" w:hAnsi="宋体" w:cs="宋体"/>
                <w:bCs/>
                <w:kern w:val="0"/>
                <w:sz w:val="20"/>
                <w:szCs w:val="20"/>
              </w:rPr>
              <w:t>能够根据需要进行专业文献检索。</w:t>
            </w:r>
          </w:p>
        </w:tc>
        <w:tc>
          <w:tcPr>
            <w:tcW w:w="709" w:type="dxa"/>
            <w:vAlign w:val="center"/>
          </w:tcPr>
          <w:p w14:paraId="64729B25">
            <w:pPr>
              <w:widowControl/>
              <w:jc w:val="center"/>
              <w:rPr>
                <w:rFonts w:ascii="仿宋" w:hAnsi="仿宋" w:eastAsia="仿宋" w:cs="宋体"/>
                <w:color w:val="000000"/>
                <w:kern w:val="0"/>
                <w:szCs w:val="21"/>
              </w:rPr>
            </w:pPr>
          </w:p>
        </w:tc>
      </w:tr>
      <w:tr w14:paraId="224F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59" w:type="dxa"/>
            <w:vMerge w:val="continue"/>
            <w:vAlign w:val="center"/>
          </w:tcPr>
          <w:p w14:paraId="62B6B006">
            <w:pPr>
              <w:widowControl/>
              <w:jc w:val="left"/>
              <w:rPr>
                <w:rFonts w:ascii="仿宋" w:hAnsi="仿宋" w:eastAsia="仿宋" w:cs="宋体"/>
                <w:color w:val="000000"/>
                <w:kern w:val="0"/>
                <w:sz w:val="24"/>
                <w:szCs w:val="24"/>
              </w:rPr>
            </w:pPr>
          </w:p>
        </w:tc>
        <w:tc>
          <w:tcPr>
            <w:tcW w:w="5953" w:type="dxa"/>
            <w:vAlign w:val="center"/>
          </w:tcPr>
          <w:p w14:paraId="21797126">
            <w:pPr>
              <w:widowControl/>
              <w:jc w:val="left"/>
              <w:rPr>
                <w:rFonts w:ascii="宋体" w:hAnsi="宋体"/>
                <w:kern w:val="0"/>
                <w:sz w:val="20"/>
                <w:szCs w:val="20"/>
              </w:rPr>
            </w:pPr>
            <w:r>
              <w:rPr>
                <w:rFonts w:cs="Calibri"/>
                <w:kern w:val="0"/>
                <w:sz w:val="20"/>
                <w:szCs w:val="20"/>
              </w:rPr>
              <w:t>LO72</w:t>
            </w:r>
            <w:r>
              <w:rPr>
                <w:rFonts w:ascii="宋体" w:hAnsi="宋体"/>
                <w:kern w:val="0"/>
                <w:sz w:val="20"/>
                <w:szCs w:val="20"/>
              </w:rPr>
              <w:t xml:space="preserve"> </w:t>
            </w:r>
            <w:r>
              <w:rPr>
                <w:rFonts w:ascii="宋体" w:hAnsi="宋体" w:cs="宋体"/>
                <w:bCs/>
                <w:kern w:val="0"/>
                <w:sz w:val="20"/>
                <w:szCs w:val="20"/>
              </w:rPr>
              <w:t>能够使用适合的工具来搜集信息，并对信息加以分析、鉴别、判断与整合。</w:t>
            </w:r>
          </w:p>
        </w:tc>
        <w:tc>
          <w:tcPr>
            <w:tcW w:w="709" w:type="dxa"/>
            <w:vAlign w:val="center"/>
          </w:tcPr>
          <w:p w14:paraId="79D1CC18">
            <w:pPr>
              <w:widowControl/>
              <w:jc w:val="center"/>
              <w:rPr>
                <w:rFonts w:ascii="仿宋" w:hAnsi="仿宋" w:eastAsia="仿宋" w:cs="宋体"/>
                <w:color w:val="000000"/>
                <w:kern w:val="0"/>
                <w:szCs w:val="21"/>
              </w:rPr>
            </w:pPr>
          </w:p>
        </w:tc>
      </w:tr>
      <w:tr w14:paraId="4F22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59" w:type="dxa"/>
            <w:vMerge w:val="continue"/>
            <w:vAlign w:val="center"/>
          </w:tcPr>
          <w:p w14:paraId="4CB09E7E">
            <w:pPr>
              <w:widowControl/>
              <w:jc w:val="left"/>
              <w:rPr>
                <w:rFonts w:ascii="仿宋" w:hAnsi="仿宋" w:eastAsia="仿宋" w:cs="宋体"/>
                <w:color w:val="000000"/>
                <w:kern w:val="0"/>
                <w:sz w:val="24"/>
                <w:szCs w:val="24"/>
              </w:rPr>
            </w:pPr>
          </w:p>
        </w:tc>
        <w:tc>
          <w:tcPr>
            <w:tcW w:w="5953" w:type="dxa"/>
            <w:vAlign w:val="center"/>
          </w:tcPr>
          <w:p w14:paraId="3ABEA7B5">
            <w:pPr>
              <w:widowControl/>
              <w:jc w:val="left"/>
              <w:rPr>
                <w:rFonts w:ascii="宋体" w:hAnsi="宋体"/>
                <w:kern w:val="0"/>
                <w:sz w:val="20"/>
                <w:szCs w:val="20"/>
              </w:rPr>
            </w:pPr>
            <w:r>
              <w:rPr>
                <w:rFonts w:cs="Calibri"/>
                <w:kern w:val="0"/>
                <w:sz w:val="20"/>
                <w:szCs w:val="20"/>
              </w:rPr>
              <w:t>LO73</w:t>
            </w:r>
            <w:r>
              <w:rPr>
                <w:rFonts w:ascii="宋体" w:hAnsi="宋体"/>
                <w:kern w:val="0"/>
                <w:sz w:val="20"/>
                <w:szCs w:val="20"/>
              </w:rPr>
              <w:t xml:space="preserve"> </w:t>
            </w:r>
            <w:r>
              <w:rPr>
                <w:rFonts w:ascii="宋体" w:hAnsi="宋体" w:cs="宋体"/>
                <w:bCs/>
                <w:kern w:val="0"/>
                <w:sz w:val="20"/>
                <w:szCs w:val="20"/>
              </w:rPr>
              <w:t>熟练使用计算机，掌握常用办公软件。</w:t>
            </w:r>
          </w:p>
        </w:tc>
        <w:tc>
          <w:tcPr>
            <w:tcW w:w="709" w:type="dxa"/>
            <w:vAlign w:val="center"/>
          </w:tcPr>
          <w:p w14:paraId="495E9F6D">
            <w:pPr>
              <w:widowControl/>
              <w:jc w:val="center"/>
              <w:rPr>
                <w:rFonts w:ascii="仿宋" w:hAnsi="仿宋" w:eastAsia="仿宋" w:cs="宋体"/>
                <w:color w:val="000000"/>
                <w:kern w:val="0"/>
                <w:szCs w:val="21"/>
              </w:rPr>
            </w:pPr>
          </w:p>
        </w:tc>
      </w:tr>
      <w:tr w14:paraId="3C64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959" w:type="dxa"/>
            <w:vMerge w:val="restart"/>
            <w:vAlign w:val="center"/>
          </w:tcPr>
          <w:p w14:paraId="0C6D8A74">
            <w:pPr>
              <w:widowControl/>
              <w:jc w:val="left"/>
              <w:rPr>
                <w:rFonts w:ascii="Times New Roman" w:hAnsi="Times New Roman"/>
                <w:kern w:val="0"/>
                <w:sz w:val="24"/>
                <w:szCs w:val="24"/>
              </w:rPr>
            </w:pPr>
            <w:r>
              <w:rPr>
                <w:rFonts w:hint="eastAsia" w:ascii="仿宋" w:hAnsi="仿宋" w:eastAsia="仿宋" w:cs="宋体"/>
                <w:color w:val="000000"/>
                <w:kern w:val="0"/>
                <w:sz w:val="24"/>
                <w:szCs w:val="24"/>
              </w:rPr>
              <w:t>LO8：国际视野</w:t>
            </w:r>
          </w:p>
        </w:tc>
        <w:tc>
          <w:tcPr>
            <w:tcW w:w="5953" w:type="dxa"/>
            <w:vAlign w:val="center"/>
          </w:tcPr>
          <w:p w14:paraId="080829FF">
            <w:pPr>
              <w:widowControl/>
              <w:jc w:val="left"/>
              <w:rPr>
                <w:rFonts w:ascii="宋体" w:hAnsi="宋体"/>
                <w:kern w:val="0"/>
                <w:sz w:val="20"/>
                <w:szCs w:val="20"/>
              </w:rPr>
            </w:pPr>
            <w:r>
              <w:rPr>
                <w:rFonts w:cs="Calibri"/>
                <w:kern w:val="0"/>
                <w:sz w:val="20"/>
                <w:szCs w:val="20"/>
              </w:rPr>
              <w:t>LO81</w:t>
            </w:r>
            <w:r>
              <w:rPr>
                <w:rFonts w:hint="eastAsia" w:cs="Calibri"/>
                <w:kern w:val="0"/>
                <w:sz w:val="20"/>
                <w:szCs w:val="20"/>
              </w:rPr>
              <w:t xml:space="preserve"> </w:t>
            </w:r>
            <w:r>
              <w:rPr>
                <w:rFonts w:hint="eastAsia" w:ascii="宋体" w:hAnsi="宋体"/>
                <w:kern w:val="0"/>
                <w:sz w:val="20"/>
                <w:szCs w:val="20"/>
              </w:rPr>
              <w:t>具备外语表达沟通能力，达到本专业的要求。</w:t>
            </w:r>
          </w:p>
        </w:tc>
        <w:tc>
          <w:tcPr>
            <w:tcW w:w="709" w:type="dxa"/>
            <w:vAlign w:val="center"/>
          </w:tcPr>
          <w:p w14:paraId="3312C999">
            <w:pPr>
              <w:widowControl/>
              <w:jc w:val="center"/>
              <w:rPr>
                <w:rFonts w:ascii="仿宋" w:hAnsi="仿宋" w:eastAsia="仿宋" w:cs="宋体"/>
                <w:color w:val="000000"/>
                <w:kern w:val="0"/>
                <w:szCs w:val="21"/>
              </w:rPr>
            </w:pPr>
          </w:p>
        </w:tc>
      </w:tr>
      <w:tr w14:paraId="193B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959" w:type="dxa"/>
            <w:vMerge w:val="continue"/>
            <w:vAlign w:val="center"/>
          </w:tcPr>
          <w:p w14:paraId="22DD3AFD">
            <w:pPr>
              <w:widowControl/>
              <w:jc w:val="center"/>
              <w:rPr>
                <w:rFonts w:ascii="仿宋" w:hAnsi="仿宋" w:eastAsia="仿宋" w:cs="宋体"/>
                <w:color w:val="000000"/>
                <w:kern w:val="0"/>
                <w:szCs w:val="21"/>
              </w:rPr>
            </w:pPr>
          </w:p>
        </w:tc>
        <w:tc>
          <w:tcPr>
            <w:tcW w:w="5953" w:type="dxa"/>
            <w:vAlign w:val="center"/>
          </w:tcPr>
          <w:p w14:paraId="503812D6">
            <w:pPr>
              <w:widowControl/>
              <w:jc w:val="left"/>
              <w:rPr>
                <w:rFonts w:ascii="宋体" w:hAnsi="宋体"/>
                <w:kern w:val="0"/>
                <w:sz w:val="20"/>
                <w:szCs w:val="20"/>
              </w:rPr>
            </w:pPr>
            <w:r>
              <w:rPr>
                <w:rFonts w:cs="Calibri"/>
                <w:kern w:val="0"/>
                <w:sz w:val="20"/>
                <w:szCs w:val="20"/>
              </w:rPr>
              <w:t>LO82</w:t>
            </w:r>
            <w:r>
              <w:rPr>
                <w:rFonts w:hint="eastAsia" w:cs="Calibri"/>
                <w:kern w:val="0"/>
                <w:sz w:val="20"/>
                <w:szCs w:val="20"/>
              </w:rPr>
              <w:t xml:space="preserve"> </w:t>
            </w:r>
            <w:r>
              <w:rPr>
                <w:rFonts w:hint="eastAsia" w:ascii="宋体" w:hAnsi="宋体"/>
                <w:kern w:val="0"/>
                <w:sz w:val="20"/>
                <w:szCs w:val="20"/>
              </w:rPr>
              <w:t>理解其他国家历史文化，有跨文化交流能力。</w:t>
            </w:r>
          </w:p>
        </w:tc>
        <w:tc>
          <w:tcPr>
            <w:tcW w:w="709" w:type="dxa"/>
            <w:vAlign w:val="center"/>
          </w:tcPr>
          <w:p w14:paraId="101FCB71">
            <w:pPr>
              <w:widowControl/>
              <w:jc w:val="center"/>
              <w:rPr>
                <w:rFonts w:ascii="仿宋" w:hAnsi="仿宋" w:eastAsia="仿宋" w:cs="宋体"/>
                <w:color w:val="000000"/>
                <w:kern w:val="0"/>
                <w:szCs w:val="21"/>
              </w:rPr>
            </w:pPr>
            <w:r>
              <w:rPr>
                <w:rFonts w:hint="eastAsia" w:ascii="仿宋" w:hAnsi="仿宋" w:eastAsia="仿宋" w:cs="宋体"/>
                <w:kern w:val="0"/>
                <w:sz w:val="24"/>
                <w:szCs w:val="20"/>
              </w:rPr>
              <w:t>●</w:t>
            </w:r>
          </w:p>
        </w:tc>
      </w:tr>
      <w:tr w14:paraId="1FBE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959" w:type="dxa"/>
            <w:vMerge w:val="continue"/>
            <w:vAlign w:val="center"/>
          </w:tcPr>
          <w:p w14:paraId="79BBBAB7">
            <w:pPr>
              <w:widowControl/>
              <w:jc w:val="center"/>
              <w:rPr>
                <w:rFonts w:ascii="仿宋" w:hAnsi="仿宋" w:eastAsia="仿宋" w:cs="宋体"/>
                <w:color w:val="000000"/>
                <w:kern w:val="0"/>
                <w:szCs w:val="21"/>
              </w:rPr>
            </w:pPr>
          </w:p>
        </w:tc>
        <w:tc>
          <w:tcPr>
            <w:tcW w:w="5953" w:type="dxa"/>
            <w:vAlign w:val="center"/>
          </w:tcPr>
          <w:p w14:paraId="682583A2">
            <w:pPr>
              <w:widowControl/>
              <w:jc w:val="left"/>
              <w:rPr>
                <w:rFonts w:ascii="宋体" w:hAnsi="宋体"/>
                <w:kern w:val="0"/>
                <w:sz w:val="20"/>
                <w:szCs w:val="20"/>
              </w:rPr>
            </w:pPr>
            <w:r>
              <w:rPr>
                <w:rFonts w:cs="Calibri"/>
                <w:kern w:val="0"/>
                <w:sz w:val="20"/>
                <w:szCs w:val="20"/>
              </w:rPr>
              <w:t>LO83</w:t>
            </w:r>
            <w:r>
              <w:rPr>
                <w:rFonts w:hint="eastAsia" w:ascii="宋体" w:hAnsi="宋体"/>
                <w:kern w:val="0"/>
                <w:sz w:val="20"/>
                <w:szCs w:val="20"/>
              </w:rPr>
              <w:t>有国际竞争与合作意识。</w:t>
            </w:r>
          </w:p>
        </w:tc>
        <w:tc>
          <w:tcPr>
            <w:tcW w:w="709" w:type="dxa"/>
            <w:vAlign w:val="center"/>
          </w:tcPr>
          <w:p w14:paraId="79D1313B">
            <w:pPr>
              <w:widowControl/>
              <w:jc w:val="center"/>
              <w:rPr>
                <w:rFonts w:ascii="仿宋" w:hAnsi="仿宋" w:eastAsia="仿宋" w:cs="宋体"/>
                <w:color w:val="000000"/>
                <w:kern w:val="0"/>
                <w:szCs w:val="21"/>
              </w:rPr>
            </w:pPr>
          </w:p>
        </w:tc>
      </w:tr>
    </w:tbl>
    <w:p w14:paraId="6409C063">
      <w:pPr>
        <w:ind w:firstLine="420" w:firstLineChars="200"/>
      </w:pPr>
      <w:r>
        <w:rPr>
          <w:rFonts w:hint="eastAsia"/>
        </w:rPr>
        <w:t>备注：LO=</w:t>
      </w:r>
      <w:r>
        <w:t>learning outcomes</w:t>
      </w:r>
      <w:r>
        <w:rPr>
          <w:rFonts w:hint="eastAsia"/>
        </w:rPr>
        <w:t>（学习成果）</w:t>
      </w:r>
    </w:p>
    <w:p w14:paraId="6D4B9F99"/>
    <w:p w14:paraId="2787275B">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7"/>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33"/>
        <w:gridCol w:w="2551"/>
        <w:gridCol w:w="2160"/>
        <w:gridCol w:w="1276"/>
      </w:tblGrid>
      <w:tr w14:paraId="3815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14:paraId="7806192A">
            <w:pPr>
              <w:snapToGrid w:val="0"/>
              <w:spacing w:line="288" w:lineRule="auto"/>
              <w:jc w:val="center"/>
              <w:rPr>
                <w:b/>
                <w:color w:val="000000"/>
                <w:sz w:val="20"/>
                <w:szCs w:val="20"/>
              </w:rPr>
            </w:pPr>
            <w:r>
              <w:rPr>
                <w:rFonts w:hint="eastAsia"/>
                <w:b/>
                <w:color w:val="000000"/>
                <w:sz w:val="20"/>
                <w:szCs w:val="20"/>
              </w:rPr>
              <w:t>序号</w:t>
            </w:r>
          </w:p>
        </w:tc>
        <w:tc>
          <w:tcPr>
            <w:tcW w:w="1133" w:type="dxa"/>
            <w:shd w:val="clear" w:color="auto" w:fill="auto"/>
          </w:tcPr>
          <w:p w14:paraId="5EBBB3A2">
            <w:pPr>
              <w:snapToGrid w:val="0"/>
              <w:spacing w:line="288" w:lineRule="auto"/>
              <w:jc w:val="center"/>
              <w:rPr>
                <w:b/>
                <w:color w:val="000000"/>
                <w:sz w:val="20"/>
                <w:szCs w:val="20"/>
              </w:rPr>
            </w:pPr>
            <w:r>
              <w:rPr>
                <w:rFonts w:hint="eastAsia"/>
                <w:b/>
                <w:color w:val="000000"/>
                <w:sz w:val="20"/>
                <w:szCs w:val="20"/>
              </w:rPr>
              <w:t>课程预期</w:t>
            </w:r>
          </w:p>
          <w:p w14:paraId="7DD91D52">
            <w:pPr>
              <w:snapToGrid w:val="0"/>
              <w:spacing w:line="288" w:lineRule="auto"/>
              <w:jc w:val="center"/>
              <w:rPr>
                <w:b/>
                <w:color w:val="000000"/>
                <w:sz w:val="20"/>
                <w:szCs w:val="20"/>
              </w:rPr>
            </w:pPr>
            <w:r>
              <w:rPr>
                <w:rFonts w:hint="eastAsia"/>
                <w:b/>
                <w:color w:val="000000"/>
                <w:sz w:val="20"/>
                <w:szCs w:val="20"/>
              </w:rPr>
              <w:t>学习成果</w:t>
            </w:r>
          </w:p>
        </w:tc>
        <w:tc>
          <w:tcPr>
            <w:tcW w:w="2551" w:type="dxa"/>
            <w:shd w:val="clear" w:color="auto" w:fill="auto"/>
            <w:vAlign w:val="center"/>
          </w:tcPr>
          <w:p w14:paraId="5DF25173">
            <w:pPr>
              <w:snapToGrid w:val="0"/>
              <w:spacing w:line="288" w:lineRule="auto"/>
              <w:jc w:val="center"/>
              <w:rPr>
                <w:b/>
                <w:color w:val="000000"/>
                <w:sz w:val="20"/>
                <w:szCs w:val="20"/>
                <w:highlight w:val="yellow"/>
              </w:rPr>
            </w:pPr>
            <w:r>
              <w:rPr>
                <w:rFonts w:hint="eastAsia"/>
                <w:b/>
                <w:color w:val="000000"/>
                <w:sz w:val="20"/>
                <w:szCs w:val="20"/>
              </w:rPr>
              <w:t>课程目标</w:t>
            </w:r>
          </w:p>
          <w:p w14:paraId="2DFBC45A">
            <w:pPr>
              <w:snapToGrid w:val="0"/>
              <w:spacing w:line="288" w:lineRule="auto"/>
              <w:jc w:val="center"/>
              <w:rPr>
                <w:b/>
                <w:color w:val="000000"/>
                <w:sz w:val="20"/>
                <w:szCs w:val="20"/>
              </w:rPr>
            </w:pPr>
            <w:r>
              <w:rPr>
                <w:rFonts w:hint="eastAsia"/>
                <w:b/>
                <w:color w:val="000000"/>
                <w:sz w:val="20"/>
                <w:szCs w:val="20"/>
              </w:rPr>
              <w:t>（细化的预期学习成果）</w:t>
            </w:r>
          </w:p>
        </w:tc>
        <w:tc>
          <w:tcPr>
            <w:tcW w:w="2160" w:type="dxa"/>
            <w:shd w:val="clear" w:color="auto" w:fill="auto"/>
            <w:vAlign w:val="center"/>
          </w:tcPr>
          <w:p w14:paraId="4784168C">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14:paraId="1F95303E">
            <w:pPr>
              <w:snapToGrid w:val="0"/>
              <w:spacing w:line="288" w:lineRule="auto"/>
              <w:jc w:val="center"/>
              <w:rPr>
                <w:b/>
                <w:color w:val="000000"/>
                <w:sz w:val="20"/>
                <w:szCs w:val="20"/>
              </w:rPr>
            </w:pPr>
            <w:r>
              <w:rPr>
                <w:rFonts w:hint="eastAsia"/>
                <w:b/>
                <w:color w:val="000000"/>
                <w:sz w:val="20"/>
                <w:szCs w:val="20"/>
              </w:rPr>
              <w:t>评价方式</w:t>
            </w:r>
          </w:p>
        </w:tc>
      </w:tr>
      <w:tr w14:paraId="7BA7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535" w:type="dxa"/>
            <w:shd w:val="clear" w:color="auto" w:fill="auto"/>
            <w:vAlign w:val="center"/>
          </w:tcPr>
          <w:p w14:paraId="0F8224A7">
            <w:pPr>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133" w:type="dxa"/>
            <w:shd w:val="clear" w:color="auto" w:fill="auto"/>
            <w:vAlign w:val="center"/>
          </w:tcPr>
          <w:p w14:paraId="26030462">
            <w:pPr>
              <w:jc w:val="left"/>
              <w:rPr>
                <w:rFonts w:ascii="仿宋" w:hAnsi="仿宋" w:eastAsia="仿宋" w:cs="宋体"/>
                <w:color w:val="000000"/>
                <w:kern w:val="0"/>
                <w:sz w:val="24"/>
                <w:szCs w:val="24"/>
              </w:rPr>
            </w:pPr>
            <w:r>
              <w:rPr>
                <w:rFonts w:ascii="仿宋" w:hAnsi="仿宋" w:eastAsia="仿宋" w:cs="宋体"/>
                <w:color w:val="000000"/>
                <w:kern w:val="0"/>
                <w:sz w:val="24"/>
                <w:szCs w:val="24"/>
              </w:rPr>
              <w:t>LO13</w:t>
            </w:r>
          </w:p>
        </w:tc>
        <w:tc>
          <w:tcPr>
            <w:tcW w:w="2551" w:type="dxa"/>
            <w:shd w:val="clear" w:color="auto" w:fill="auto"/>
            <w:vAlign w:val="center"/>
          </w:tcPr>
          <w:p w14:paraId="3A18D4F0">
            <w:pPr>
              <w:rPr>
                <w:rFonts w:ascii="宋体" w:hAnsi="宋体" w:cs="宋体"/>
                <w:color w:val="000000"/>
                <w:kern w:val="0"/>
                <w:sz w:val="20"/>
                <w:szCs w:val="20"/>
              </w:rPr>
            </w:pPr>
            <w:r>
              <w:rPr>
                <w:rFonts w:hint="eastAsia" w:ascii="宋体" w:hAnsi="宋体" w:cs="宋体"/>
                <w:color w:val="000000"/>
                <w:kern w:val="0"/>
                <w:sz w:val="20"/>
                <w:szCs w:val="20"/>
              </w:rPr>
              <w:t>培养学生具有奉献社会，富有爱心，懂得感恩的意识，自觉传承和弘扬雷锋精神，具有服务社会的意愿和行动，积极参加志愿者服务。</w:t>
            </w:r>
          </w:p>
        </w:tc>
        <w:tc>
          <w:tcPr>
            <w:tcW w:w="2160" w:type="dxa"/>
            <w:shd w:val="clear" w:color="auto" w:fill="auto"/>
            <w:vAlign w:val="center"/>
          </w:tcPr>
          <w:p w14:paraId="59FF25C9">
            <w:pPr>
              <w:snapToGrid w:val="0"/>
              <w:spacing w:line="288" w:lineRule="auto"/>
              <w:rPr>
                <w:rFonts w:ascii="宋体" w:hAnsi="宋体" w:cs="宋体"/>
                <w:color w:val="000000"/>
                <w:kern w:val="0"/>
                <w:sz w:val="20"/>
                <w:szCs w:val="20"/>
              </w:rPr>
            </w:pPr>
            <w:r>
              <w:rPr>
                <w:rFonts w:hint="eastAsia" w:ascii="宋体" w:hAnsi="宋体" w:cs="宋体"/>
                <w:color w:val="000000"/>
                <w:kern w:val="0"/>
                <w:sz w:val="20"/>
                <w:szCs w:val="20"/>
              </w:rPr>
              <w:t>课堂上强调奉献社会的重要性，指导学生如何传承和弘扬雷锋精神，积极参加志愿者活动，为服务社会做出贡献。</w:t>
            </w:r>
          </w:p>
        </w:tc>
        <w:tc>
          <w:tcPr>
            <w:tcW w:w="1276" w:type="dxa"/>
            <w:shd w:val="clear" w:color="auto" w:fill="auto"/>
            <w:vAlign w:val="center"/>
          </w:tcPr>
          <w:p w14:paraId="6F24BD9A">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课堂表现</w:t>
            </w:r>
          </w:p>
          <w:p w14:paraId="7FA7AF97">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课堂提问</w:t>
            </w:r>
          </w:p>
        </w:tc>
      </w:tr>
      <w:tr w14:paraId="0D0F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dxa"/>
            <w:shd w:val="clear" w:color="auto" w:fill="auto"/>
            <w:vAlign w:val="center"/>
          </w:tcPr>
          <w:p w14:paraId="560AAAAE">
            <w:pPr>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133" w:type="dxa"/>
            <w:shd w:val="clear" w:color="auto" w:fill="auto"/>
            <w:vAlign w:val="center"/>
          </w:tcPr>
          <w:p w14:paraId="489D75AC">
            <w:pPr>
              <w:jc w:val="left"/>
              <w:rPr>
                <w:rFonts w:ascii="仿宋" w:hAnsi="仿宋" w:eastAsia="仿宋" w:cs="宋体"/>
                <w:color w:val="000000"/>
                <w:kern w:val="0"/>
                <w:sz w:val="24"/>
                <w:szCs w:val="24"/>
              </w:rPr>
            </w:pPr>
            <w:r>
              <w:rPr>
                <w:rFonts w:ascii="仿宋" w:hAnsi="仿宋" w:eastAsia="仿宋" w:cs="宋体"/>
                <w:color w:val="000000"/>
                <w:kern w:val="0"/>
                <w:sz w:val="24"/>
                <w:szCs w:val="24"/>
              </w:rPr>
              <w:t>LO23</w:t>
            </w:r>
          </w:p>
        </w:tc>
        <w:tc>
          <w:tcPr>
            <w:tcW w:w="2551" w:type="dxa"/>
            <w:shd w:val="clear" w:color="auto" w:fill="auto"/>
            <w:vAlign w:val="center"/>
          </w:tcPr>
          <w:p w14:paraId="3E60563A">
            <w:pPr>
              <w:rPr>
                <w:rFonts w:ascii="宋体" w:hAnsi="宋体" w:cs="宋体"/>
                <w:color w:val="000000"/>
                <w:kern w:val="0"/>
                <w:sz w:val="20"/>
                <w:szCs w:val="20"/>
              </w:rPr>
            </w:pPr>
            <w:r>
              <w:rPr>
                <w:rFonts w:hint="eastAsia" w:ascii="宋体" w:hAnsi="宋体" w:cs="宋体"/>
                <w:color w:val="000000"/>
                <w:kern w:val="0"/>
                <w:sz w:val="20"/>
                <w:szCs w:val="20"/>
              </w:rPr>
              <w:t>能够了解日本文学史的基础知识、发展脉络及其内在规律，理解日本文学不同阶段的重要文学理念、主要流派、作家及其内容，提高欣赏日本文学的兴趣。同时使学生能够对部分文学作品进行分析，丰富学生的语言表达，提高文学修养，达到加强学生的日语综合应用能力的要求。</w:t>
            </w:r>
          </w:p>
        </w:tc>
        <w:tc>
          <w:tcPr>
            <w:tcW w:w="2160" w:type="dxa"/>
            <w:shd w:val="clear" w:color="auto" w:fill="auto"/>
            <w:vAlign w:val="center"/>
          </w:tcPr>
          <w:p w14:paraId="245A00BB">
            <w:pPr>
              <w:snapToGrid w:val="0"/>
              <w:spacing w:line="288" w:lineRule="auto"/>
              <w:rPr>
                <w:rFonts w:ascii="宋体" w:hAnsi="宋体" w:cs="宋体"/>
                <w:color w:val="000000"/>
                <w:kern w:val="0"/>
                <w:sz w:val="20"/>
                <w:szCs w:val="20"/>
              </w:rPr>
            </w:pPr>
            <w:r>
              <w:rPr>
                <w:rFonts w:cs="Calibri"/>
                <w:color w:val="000000"/>
                <w:kern w:val="0"/>
                <w:sz w:val="20"/>
                <w:szCs w:val="20"/>
              </w:rPr>
              <w:t>1.</w:t>
            </w:r>
            <w:r>
              <w:rPr>
                <w:rFonts w:hint="eastAsia" w:ascii="宋体" w:hAnsi="宋体" w:cs="宋体"/>
                <w:color w:val="000000"/>
                <w:kern w:val="0"/>
                <w:sz w:val="20"/>
                <w:szCs w:val="20"/>
              </w:rPr>
              <w:t>介绍不同文学阶段的重要文学理念、主要流派、作家及其内容。</w:t>
            </w:r>
          </w:p>
          <w:p w14:paraId="4CE6A477">
            <w:pPr>
              <w:snapToGrid w:val="0"/>
              <w:spacing w:line="288" w:lineRule="auto"/>
              <w:rPr>
                <w:rFonts w:ascii="宋体" w:hAnsi="宋体" w:cs="宋体"/>
                <w:color w:val="000000"/>
                <w:kern w:val="0"/>
                <w:sz w:val="20"/>
                <w:szCs w:val="20"/>
              </w:rPr>
            </w:pPr>
            <w:r>
              <w:rPr>
                <w:rFonts w:cs="Calibri"/>
                <w:color w:val="000000"/>
                <w:kern w:val="0"/>
                <w:sz w:val="20"/>
                <w:szCs w:val="20"/>
              </w:rPr>
              <w:t>2.</w:t>
            </w:r>
            <w:r>
              <w:rPr>
                <w:rFonts w:hint="eastAsia" w:ascii="宋体" w:hAnsi="宋体" w:cs="宋体"/>
                <w:color w:val="000000"/>
                <w:kern w:val="0"/>
                <w:sz w:val="20"/>
                <w:szCs w:val="20"/>
              </w:rPr>
              <w:t>要求学生能够对部分文学作品进行分析。</w:t>
            </w:r>
          </w:p>
          <w:p w14:paraId="39196B51">
            <w:pPr>
              <w:snapToGrid w:val="0"/>
              <w:spacing w:line="288" w:lineRule="auto"/>
              <w:rPr>
                <w:rFonts w:ascii="宋体" w:hAnsi="宋体" w:cs="宋体"/>
                <w:color w:val="000000"/>
                <w:kern w:val="0"/>
                <w:sz w:val="20"/>
                <w:szCs w:val="20"/>
              </w:rPr>
            </w:pPr>
            <w:r>
              <w:rPr>
                <w:rFonts w:hint="eastAsia" w:ascii="宋体" w:hAnsi="宋体" w:cs="宋体"/>
                <w:color w:val="000000"/>
                <w:kern w:val="0"/>
                <w:sz w:val="20"/>
                <w:szCs w:val="20"/>
              </w:rPr>
              <w:t>3.要求学生了解日本文学史的基础知识、发展脉络及其内在规律，进而加深对日本、日本人和日本文化的了解及认识。</w:t>
            </w:r>
          </w:p>
        </w:tc>
        <w:tc>
          <w:tcPr>
            <w:tcW w:w="1276" w:type="dxa"/>
            <w:shd w:val="clear" w:color="auto" w:fill="auto"/>
            <w:vAlign w:val="center"/>
          </w:tcPr>
          <w:p w14:paraId="4D8AB264">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课堂提问</w:t>
            </w:r>
          </w:p>
          <w:p w14:paraId="56B7ECAA">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课堂发表</w:t>
            </w:r>
          </w:p>
          <w:p w14:paraId="5951BAF6">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课后作业</w:t>
            </w:r>
          </w:p>
          <w:p w14:paraId="713586DB">
            <w:pPr>
              <w:snapToGrid w:val="0"/>
              <w:spacing w:line="288" w:lineRule="auto"/>
              <w:jc w:val="center"/>
              <w:rPr>
                <w:rFonts w:ascii="仿宋" w:hAnsi="仿宋" w:eastAsia="仿宋" w:cs="宋体"/>
                <w:color w:val="000000"/>
                <w:kern w:val="0"/>
                <w:sz w:val="24"/>
              </w:rPr>
            </w:pPr>
            <w:r>
              <w:rPr>
                <w:rFonts w:hint="eastAsia" w:ascii="宋体" w:hAnsi="宋体" w:cs="宋体"/>
                <w:color w:val="000000"/>
                <w:kern w:val="0"/>
                <w:sz w:val="20"/>
                <w:szCs w:val="20"/>
              </w:rPr>
              <w:t>小测验</w:t>
            </w:r>
          </w:p>
        </w:tc>
      </w:tr>
      <w:tr w14:paraId="159D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35" w:type="dxa"/>
            <w:shd w:val="clear" w:color="auto" w:fill="auto"/>
            <w:vAlign w:val="center"/>
          </w:tcPr>
          <w:p w14:paraId="63773BC1">
            <w:pPr>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133" w:type="dxa"/>
            <w:shd w:val="clear" w:color="auto" w:fill="auto"/>
            <w:vAlign w:val="center"/>
          </w:tcPr>
          <w:p w14:paraId="19CB7FC7">
            <w:pPr>
              <w:jc w:val="left"/>
              <w:rPr>
                <w:rFonts w:ascii="仿宋" w:hAnsi="仿宋" w:eastAsia="仿宋" w:cs="宋体"/>
                <w:color w:val="000000"/>
                <w:kern w:val="0"/>
                <w:sz w:val="24"/>
                <w:szCs w:val="24"/>
              </w:rPr>
            </w:pPr>
            <w:r>
              <w:rPr>
                <w:rFonts w:ascii="仿宋" w:hAnsi="仿宋" w:eastAsia="仿宋" w:cs="宋体"/>
                <w:color w:val="000000"/>
                <w:kern w:val="0"/>
                <w:sz w:val="24"/>
                <w:szCs w:val="24"/>
              </w:rPr>
              <w:t>LO53</w:t>
            </w:r>
          </w:p>
        </w:tc>
        <w:tc>
          <w:tcPr>
            <w:tcW w:w="2551" w:type="dxa"/>
            <w:shd w:val="clear" w:color="auto" w:fill="auto"/>
            <w:vAlign w:val="center"/>
          </w:tcPr>
          <w:p w14:paraId="4F3D1CF8">
            <w:pPr>
              <w:jc w:val="left"/>
              <w:rPr>
                <w:rFonts w:ascii="宋体" w:hAnsi="宋体" w:cs="宋体"/>
                <w:color w:val="000000"/>
                <w:kern w:val="0"/>
                <w:sz w:val="20"/>
                <w:szCs w:val="20"/>
              </w:rPr>
            </w:pPr>
            <w:r>
              <w:rPr>
                <w:rFonts w:hint="eastAsia" w:ascii="宋体" w:hAnsi="宋体" w:cs="宋体"/>
                <w:color w:val="000000"/>
                <w:kern w:val="0"/>
                <w:sz w:val="20"/>
                <w:szCs w:val="20"/>
              </w:rPr>
              <w:t>懂得审美，有发现美、感受美、鉴赏美、评价美、创造美的能力。</w:t>
            </w:r>
          </w:p>
        </w:tc>
        <w:tc>
          <w:tcPr>
            <w:tcW w:w="2160" w:type="dxa"/>
            <w:shd w:val="clear" w:color="auto" w:fill="auto"/>
          </w:tcPr>
          <w:p w14:paraId="20F88894">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要求学生能够对部分文学作品的进行分析，</w:t>
            </w:r>
          </w:p>
          <w:p w14:paraId="7938ADB7">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令其具备一定的文学鉴赏能力和审美能力，培养良好的人文素质</w:t>
            </w:r>
          </w:p>
        </w:tc>
        <w:tc>
          <w:tcPr>
            <w:tcW w:w="1276" w:type="dxa"/>
            <w:shd w:val="clear" w:color="auto" w:fill="auto"/>
            <w:vAlign w:val="center"/>
          </w:tcPr>
          <w:p w14:paraId="5CA87BFA">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课堂提问</w:t>
            </w:r>
          </w:p>
          <w:p w14:paraId="408F7561">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课堂发表</w:t>
            </w:r>
          </w:p>
          <w:p w14:paraId="5C1354DC">
            <w:pPr>
              <w:snapToGrid w:val="0"/>
              <w:spacing w:line="288" w:lineRule="auto"/>
              <w:jc w:val="center"/>
              <w:rPr>
                <w:rFonts w:ascii="仿宋" w:hAnsi="仿宋" w:eastAsia="仿宋" w:cs="宋体"/>
                <w:color w:val="000000"/>
                <w:kern w:val="0"/>
                <w:sz w:val="24"/>
              </w:rPr>
            </w:pPr>
            <w:r>
              <w:rPr>
                <w:rFonts w:hint="eastAsia" w:ascii="宋体" w:hAnsi="宋体" w:cs="宋体"/>
                <w:color w:val="000000"/>
                <w:kern w:val="0"/>
                <w:sz w:val="20"/>
                <w:szCs w:val="20"/>
              </w:rPr>
              <w:t>课后作业</w:t>
            </w:r>
          </w:p>
        </w:tc>
      </w:tr>
      <w:tr w14:paraId="5A80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35" w:type="dxa"/>
            <w:shd w:val="clear" w:color="auto" w:fill="auto"/>
            <w:vAlign w:val="center"/>
          </w:tcPr>
          <w:p w14:paraId="29D2D93F">
            <w:pPr>
              <w:rPr>
                <w:rFonts w:ascii="宋体" w:hAnsi="宋体" w:cs="宋体"/>
                <w:color w:val="000000"/>
                <w:kern w:val="0"/>
                <w:sz w:val="24"/>
                <w:szCs w:val="24"/>
              </w:rPr>
            </w:pPr>
            <w:r>
              <w:rPr>
                <w:rFonts w:hint="eastAsia" w:ascii="仿宋" w:hAnsi="仿宋" w:eastAsia="仿宋" w:cs="宋体"/>
                <w:color w:val="000000"/>
                <w:kern w:val="0"/>
                <w:sz w:val="24"/>
              </w:rPr>
              <w:t>4</w:t>
            </w:r>
          </w:p>
        </w:tc>
        <w:tc>
          <w:tcPr>
            <w:tcW w:w="1133" w:type="dxa"/>
            <w:shd w:val="clear" w:color="auto" w:fill="auto"/>
            <w:vAlign w:val="center"/>
          </w:tcPr>
          <w:p w14:paraId="18ED014A">
            <w:pPr>
              <w:rPr>
                <w:rFonts w:ascii="仿宋" w:hAnsi="仿宋" w:eastAsia="仿宋" w:cs="宋体"/>
                <w:color w:val="000000"/>
                <w:kern w:val="0"/>
                <w:sz w:val="24"/>
                <w:szCs w:val="24"/>
              </w:rPr>
            </w:pPr>
            <w:r>
              <w:rPr>
                <w:rFonts w:ascii="仿宋" w:hAnsi="仿宋" w:eastAsia="仿宋" w:cs="宋体"/>
                <w:color w:val="000000"/>
                <w:kern w:val="0"/>
                <w:sz w:val="24"/>
              </w:rPr>
              <w:t>LO62</w:t>
            </w:r>
          </w:p>
        </w:tc>
        <w:tc>
          <w:tcPr>
            <w:tcW w:w="2551" w:type="dxa"/>
            <w:shd w:val="clear" w:color="auto" w:fill="auto"/>
            <w:vAlign w:val="center"/>
          </w:tcPr>
          <w:p w14:paraId="08185099">
            <w:pPr>
              <w:rPr>
                <w:rFonts w:ascii="宋体" w:hAnsi="宋体" w:cs="宋体"/>
                <w:color w:val="000000"/>
                <w:kern w:val="0"/>
                <w:sz w:val="20"/>
                <w:szCs w:val="20"/>
              </w:rPr>
            </w:pPr>
            <w:r>
              <w:rPr>
                <w:rFonts w:hint="eastAsia" w:ascii="宋体" w:hAnsi="宋体" w:cs="宋体"/>
                <w:bCs/>
                <w:kern w:val="0"/>
                <w:sz w:val="20"/>
                <w:szCs w:val="20"/>
              </w:rPr>
              <w:t>对不同文学阶段的文学理念，对不同的流派，对不同的作家以及同一作家不同时期的文学作品等能进行逻辑的分析与批判，培养质疑精神。</w:t>
            </w:r>
          </w:p>
        </w:tc>
        <w:tc>
          <w:tcPr>
            <w:tcW w:w="2160" w:type="dxa"/>
            <w:shd w:val="clear" w:color="auto" w:fill="auto"/>
            <w:vAlign w:val="center"/>
          </w:tcPr>
          <w:p w14:paraId="25D09C24">
            <w:pPr>
              <w:rPr>
                <w:rFonts w:ascii="宋体" w:hAnsi="宋体" w:cs="宋体"/>
                <w:color w:val="000000"/>
                <w:kern w:val="0"/>
                <w:sz w:val="20"/>
                <w:szCs w:val="20"/>
              </w:rPr>
            </w:pPr>
            <w:r>
              <w:rPr>
                <w:rFonts w:hint="eastAsia" w:ascii="宋体" w:hAnsi="宋体"/>
                <w:sz w:val="20"/>
                <w:szCs w:val="20"/>
              </w:rPr>
              <w:t>课堂中穿插团队小组讨论、互练，发表。</w:t>
            </w:r>
          </w:p>
        </w:tc>
        <w:tc>
          <w:tcPr>
            <w:tcW w:w="1276" w:type="dxa"/>
            <w:shd w:val="clear" w:color="auto" w:fill="auto"/>
            <w:vAlign w:val="center"/>
          </w:tcPr>
          <w:p w14:paraId="19E70EF0">
            <w:pPr>
              <w:spacing w:line="360" w:lineRule="auto"/>
              <w:jc w:val="center"/>
              <w:rPr>
                <w:sz w:val="20"/>
                <w:szCs w:val="20"/>
              </w:rPr>
            </w:pPr>
            <w:r>
              <w:rPr>
                <w:rFonts w:hint="eastAsia"/>
                <w:sz w:val="20"/>
                <w:szCs w:val="20"/>
              </w:rPr>
              <w:t>课堂提问</w:t>
            </w:r>
          </w:p>
          <w:p w14:paraId="199468F3">
            <w:pPr>
              <w:snapToGrid w:val="0"/>
              <w:spacing w:line="288" w:lineRule="auto"/>
              <w:jc w:val="center"/>
              <w:rPr>
                <w:rFonts w:ascii="宋体" w:hAnsi="宋体"/>
                <w:sz w:val="20"/>
                <w:szCs w:val="20"/>
              </w:rPr>
            </w:pPr>
            <w:r>
              <w:rPr>
                <w:rFonts w:hint="eastAsia"/>
                <w:sz w:val="20"/>
                <w:szCs w:val="20"/>
              </w:rPr>
              <w:t>课堂练习</w:t>
            </w:r>
          </w:p>
        </w:tc>
      </w:tr>
      <w:tr w14:paraId="5A87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35" w:type="dxa"/>
            <w:shd w:val="clear" w:color="auto" w:fill="auto"/>
            <w:vAlign w:val="center"/>
          </w:tcPr>
          <w:p w14:paraId="3A135BD0">
            <w:pP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133" w:type="dxa"/>
            <w:shd w:val="clear" w:color="auto" w:fill="auto"/>
            <w:vAlign w:val="center"/>
          </w:tcPr>
          <w:p w14:paraId="7A8BE7AD">
            <w:pPr>
              <w:rPr>
                <w:rFonts w:ascii="仿宋" w:hAnsi="仿宋" w:eastAsia="仿宋"/>
                <w:kern w:val="0"/>
                <w:sz w:val="24"/>
                <w:szCs w:val="24"/>
              </w:rPr>
            </w:pPr>
            <w:r>
              <w:rPr>
                <w:rFonts w:ascii="仿宋" w:hAnsi="仿宋" w:eastAsia="仿宋"/>
                <w:kern w:val="0"/>
                <w:sz w:val="24"/>
                <w:szCs w:val="24"/>
              </w:rPr>
              <w:t>LO82</w:t>
            </w:r>
          </w:p>
        </w:tc>
        <w:tc>
          <w:tcPr>
            <w:tcW w:w="2551" w:type="dxa"/>
            <w:shd w:val="clear" w:color="auto" w:fill="auto"/>
            <w:vAlign w:val="center"/>
          </w:tcPr>
          <w:p w14:paraId="015B8531">
            <w:pPr>
              <w:rPr>
                <w:kern w:val="0"/>
                <w:sz w:val="20"/>
                <w:szCs w:val="20"/>
              </w:rPr>
            </w:pPr>
            <w:r>
              <w:rPr>
                <w:rFonts w:hint="eastAsia"/>
                <w:kern w:val="0"/>
                <w:sz w:val="20"/>
                <w:szCs w:val="20"/>
              </w:rPr>
              <w:t>理解日本社会历史文化，培养跨文化交流的能力。</w:t>
            </w:r>
          </w:p>
        </w:tc>
        <w:tc>
          <w:tcPr>
            <w:tcW w:w="2160" w:type="dxa"/>
            <w:shd w:val="clear" w:color="auto" w:fill="auto"/>
            <w:vAlign w:val="center"/>
          </w:tcPr>
          <w:p w14:paraId="08689E94">
            <w:pPr>
              <w:snapToGrid w:val="0"/>
              <w:spacing w:line="288" w:lineRule="auto"/>
              <w:rPr>
                <w:rFonts w:ascii="宋体" w:hAnsi="宋体"/>
                <w:sz w:val="20"/>
                <w:szCs w:val="20"/>
              </w:rPr>
            </w:pPr>
            <w:r>
              <w:rPr>
                <w:rFonts w:hint="eastAsia" w:ascii="宋体" w:hAnsi="宋体"/>
                <w:sz w:val="20"/>
                <w:szCs w:val="20"/>
              </w:rPr>
              <w:t>要求学生了解日本文学史的基础知识、发展脉络及其内在规律，进而加深对日本、日本人和日本文化的了解及认识</w:t>
            </w:r>
          </w:p>
        </w:tc>
        <w:tc>
          <w:tcPr>
            <w:tcW w:w="1276" w:type="dxa"/>
            <w:shd w:val="clear" w:color="auto" w:fill="auto"/>
            <w:vAlign w:val="center"/>
          </w:tcPr>
          <w:p w14:paraId="75B6A42A">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课堂提问</w:t>
            </w:r>
          </w:p>
          <w:p w14:paraId="7B893E84">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课堂发表</w:t>
            </w:r>
          </w:p>
          <w:p w14:paraId="16929ABA">
            <w:pPr>
              <w:snapToGrid w:val="0"/>
              <w:spacing w:line="288" w:lineRule="auto"/>
              <w:jc w:val="center"/>
              <w:rPr>
                <w:rFonts w:ascii="仿宋" w:hAnsi="仿宋" w:eastAsia="仿宋" w:cs="宋体"/>
                <w:color w:val="000000"/>
                <w:kern w:val="0"/>
                <w:sz w:val="24"/>
              </w:rPr>
            </w:pPr>
            <w:r>
              <w:rPr>
                <w:rFonts w:hint="eastAsia" w:ascii="宋体" w:hAnsi="宋体" w:cs="宋体"/>
                <w:color w:val="000000"/>
                <w:kern w:val="0"/>
                <w:sz w:val="20"/>
                <w:szCs w:val="20"/>
              </w:rPr>
              <w:t>课后作业</w:t>
            </w:r>
          </w:p>
        </w:tc>
      </w:tr>
    </w:tbl>
    <w:p w14:paraId="30F93A14">
      <w:pPr>
        <w:snapToGrid w:val="0"/>
        <w:spacing w:line="288" w:lineRule="auto"/>
        <w:ind w:left="420" w:leftChars="200"/>
        <w:rPr>
          <w:rFonts w:ascii="黑体" w:hAnsi="宋体" w:eastAsia="黑体"/>
          <w:sz w:val="24"/>
        </w:rPr>
      </w:pPr>
    </w:p>
    <w:p w14:paraId="5BB233C3">
      <w:pPr>
        <w:snapToGrid w:val="0"/>
        <w:spacing w:line="288" w:lineRule="auto"/>
        <w:rPr>
          <w:rFonts w:ascii="黑体" w:hAnsi="宋体" w:eastAsia="黑体"/>
          <w:sz w:val="24"/>
        </w:rPr>
      </w:pPr>
    </w:p>
    <w:p w14:paraId="624BA415">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14:paraId="76ED78A4">
      <w:pPr>
        <w:snapToGrid w:val="0"/>
        <w:spacing w:line="288" w:lineRule="auto"/>
        <w:ind w:firstLine="400" w:firstLineChars="200"/>
        <w:rPr>
          <w:rFonts w:ascii="宋体" w:cs="Calibri"/>
          <w:sz w:val="20"/>
          <w:szCs w:val="20"/>
        </w:rPr>
      </w:pPr>
      <w:r>
        <w:rPr>
          <w:rFonts w:hint="eastAsia" w:ascii="宋体" w:hAnsi="宋体" w:cs="宋体"/>
          <w:sz w:val="20"/>
          <w:szCs w:val="20"/>
        </w:rPr>
        <w:t>本学期内容共分为六大章：第一章</w:t>
      </w:r>
      <w:r>
        <w:rPr>
          <w:rFonts w:hint="eastAsia" w:ascii="MS Mincho" w:hAnsi="MS Mincho" w:eastAsia="MS Mincho" w:cs="MS Mincho"/>
          <w:sz w:val="20"/>
          <w:szCs w:val="20"/>
        </w:rPr>
        <w:t>（</w:t>
      </w:r>
      <w:r>
        <w:rPr>
          <w:rFonts w:hint="eastAsia" w:ascii="宋体" w:hAnsi="宋体" w:cs="宋体"/>
          <w:sz w:val="20"/>
          <w:szCs w:val="20"/>
        </w:rPr>
        <w:t>上代文学</w:t>
      </w:r>
      <w:r>
        <w:rPr>
          <w:rFonts w:hint="eastAsia" w:ascii="MS Mincho" w:hAnsi="MS Mincho" w:eastAsia="MS Mincho" w:cs="MS Mincho"/>
          <w:sz w:val="20"/>
          <w:szCs w:val="20"/>
        </w:rPr>
        <w:t>）</w:t>
      </w:r>
      <w:r>
        <w:rPr>
          <w:rFonts w:hint="eastAsia" w:ascii="宋体" w:hAnsi="宋体" w:cs="宋体"/>
          <w:sz w:val="20"/>
          <w:szCs w:val="20"/>
        </w:rPr>
        <w:t>、第二章</w:t>
      </w:r>
      <w:r>
        <w:rPr>
          <w:rFonts w:hint="eastAsia" w:ascii="MS Mincho" w:hAnsi="MS Mincho" w:eastAsia="MS Mincho" w:cs="MS Mincho"/>
          <w:sz w:val="20"/>
          <w:szCs w:val="20"/>
        </w:rPr>
        <w:t>（</w:t>
      </w:r>
      <w:r>
        <w:rPr>
          <w:rFonts w:hint="eastAsia" w:ascii="宋体" w:hAnsi="宋体" w:cs="宋体"/>
          <w:sz w:val="20"/>
          <w:szCs w:val="20"/>
        </w:rPr>
        <w:t>中古文学）、第三章</w:t>
      </w:r>
      <w:r>
        <w:rPr>
          <w:rFonts w:hint="eastAsia" w:ascii="MS Mincho" w:hAnsi="MS Mincho" w:eastAsia="MS Mincho" w:cs="MS Mincho"/>
          <w:sz w:val="20"/>
          <w:szCs w:val="20"/>
        </w:rPr>
        <w:t>（</w:t>
      </w:r>
      <w:r>
        <w:rPr>
          <w:rFonts w:hint="eastAsia" w:ascii="宋体" w:hAnsi="宋体" w:cs="宋体"/>
          <w:sz w:val="20"/>
          <w:szCs w:val="20"/>
        </w:rPr>
        <w:t>中世文学</w:t>
      </w:r>
      <w:r>
        <w:rPr>
          <w:rFonts w:hint="eastAsia" w:ascii="MS Mincho" w:hAnsi="MS Mincho" w:eastAsia="MS Mincho" w:cs="MS Mincho"/>
          <w:sz w:val="20"/>
          <w:szCs w:val="20"/>
        </w:rPr>
        <w:t>）</w:t>
      </w:r>
      <w:r>
        <w:rPr>
          <w:rFonts w:hint="eastAsia" w:ascii="宋体" w:hAnsi="宋体" w:cs="宋体"/>
          <w:sz w:val="20"/>
          <w:szCs w:val="20"/>
        </w:rPr>
        <w:t>、第四章</w:t>
      </w:r>
      <w:r>
        <w:rPr>
          <w:rFonts w:hint="eastAsia" w:ascii="MS Mincho" w:hAnsi="MS Mincho" w:eastAsia="MS Mincho" w:cs="MS Mincho"/>
          <w:sz w:val="20"/>
          <w:szCs w:val="20"/>
        </w:rPr>
        <w:t>（</w:t>
      </w:r>
      <w:r>
        <w:rPr>
          <w:rFonts w:hint="eastAsia" w:ascii="宋体" w:hAnsi="宋体" w:cs="宋体"/>
          <w:sz w:val="20"/>
          <w:szCs w:val="20"/>
        </w:rPr>
        <w:t>近世文学）、第五章（近代前期文学）、第六章（近代后期文学）。总共</w:t>
      </w:r>
      <w:r>
        <w:rPr>
          <w:rFonts w:hint="eastAsia" w:cs="Calibri"/>
          <w:sz w:val="20"/>
          <w:szCs w:val="20"/>
        </w:rPr>
        <w:t>16</w:t>
      </w:r>
      <w:r>
        <w:rPr>
          <w:rFonts w:hint="eastAsia" w:ascii="宋体" w:hAnsi="宋体" w:cs="宋体"/>
          <w:sz w:val="20"/>
          <w:szCs w:val="20"/>
        </w:rPr>
        <w:t>学时。根据教材的内容重点篇幅多少，采用灵活课时调整展开授课。即考虑到教材每个章节的不平衡，根据内容篇幅分配课时。</w:t>
      </w:r>
    </w:p>
    <w:p w14:paraId="1C43FED0">
      <w:pPr>
        <w:snapToGrid w:val="0"/>
        <w:spacing w:line="288" w:lineRule="auto"/>
        <w:ind w:firstLine="400" w:firstLineChars="200"/>
        <w:rPr>
          <w:rFonts w:ascii="宋体" w:cs="Calibri"/>
          <w:sz w:val="20"/>
          <w:szCs w:val="20"/>
        </w:rPr>
      </w:pPr>
    </w:p>
    <w:tbl>
      <w:tblPr>
        <w:tblStyle w:val="7"/>
        <w:tblW w:w="8500" w:type="dxa"/>
        <w:jc w:val="center"/>
        <w:tblLayout w:type="fixed"/>
        <w:tblCellMar>
          <w:top w:w="0" w:type="dxa"/>
          <w:left w:w="108" w:type="dxa"/>
          <w:bottom w:w="0" w:type="dxa"/>
          <w:right w:w="108" w:type="dxa"/>
        </w:tblCellMar>
      </w:tblPr>
      <w:tblGrid>
        <w:gridCol w:w="277"/>
        <w:gridCol w:w="325"/>
        <w:gridCol w:w="384"/>
        <w:gridCol w:w="2655"/>
        <w:gridCol w:w="2835"/>
        <w:gridCol w:w="2024"/>
      </w:tblGrid>
      <w:tr w14:paraId="6A92B8F3">
        <w:tblPrEx>
          <w:tblCellMar>
            <w:top w:w="0" w:type="dxa"/>
            <w:left w:w="108" w:type="dxa"/>
            <w:bottom w:w="0" w:type="dxa"/>
            <w:right w:w="108" w:type="dxa"/>
          </w:tblCellMar>
        </w:tblPrEx>
        <w:trPr>
          <w:trHeight w:val="233" w:hRule="atLeast"/>
          <w:jc w:val="center"/>
        </w:trPr>
        <w:tc>
          <w:tcPr>
            <w:tcW w:w="277"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14:paraId="175F12F3">
            <w:pPr>
              <w:jc w:val="center"/>
              <w:rPr>
                <w:rFonts w:ascii="黑体" w:hAnsi="黑体" w:eastAsia="黑体" w:cs="Calibri"/>
                <w:b/>
                <w:bCs/>
                <w:kern w:val="0"/>
                <w:sz w:val="20"/>
                <w:szCs w:val="20"/>
              </w:rPr>
            </w:pPr>
            <w:r>
              <w:rPr>
                <w:rFonts w:hint="eastAsia" w:ascii="黑体" w:hAnsi="黑体" w:eastAsia="黑体" w:cs="黑体"/>
                <w:b/>
                <w:bCs/>
                <w:kern w:val="0"/>
                <w:sz w:val="20"/>
                <w:szCs w:val="20"/>
              </w:rPr>
              <w:t>序号</w:t>
            </w:r>
          </w:p>
        </w:tc>
        <w:tc>
          <w:tcPr>
            <w:tcW w:w="709"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A00B056">
            <w:pPr>
              <w:jc w:val="center"/>
              <w:rPr>
                <w:rFonts w:ascii="黑体" w:hAnsi="黑体" w:eastAsia="黑体" w:cs="Calibri"/>
                <w:b/>
                <w:bCs/>
                <w:kern w:val="0"/>
                <w:sz w:val="20"/>
                <w:szCs w:val="20"/>
              </w:rPr>
            </w:pPr>
            <w:r>
              <w:rPr>
                <w:rFonts w:hint="eastAsia" w:ascii="黑体" w:hAnsi="黑体" w:eastAsia="黑体" w:cs="黑体"/>
                <w:b/>
                <w:bCs/>
                <w:kern w:val="0"/>
                <w:sz w:val="20"/>
                <w:szCs w:val="20"/>
              </w:rPr>
              <w:t>课时</w:t>
            </w:r>
          </w:p>
        </w:tc>
        <w:tc>
          <w:tcPr>
            <w:tcW w:w="2655"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14:paraId="7418F894">
            <w:pPr>
              <w:jc w:val="center"/>
              <w:rPr>
                <w:rFonts w:ascii="黑体" w:hAnsi="黑体" w:eastAsia="黑体" w:cs="Calibri"/>
                <w:b/>
                <w:bCs/>
                <w:kern w:val="0"/>
                <w:sz w:val="20"/>
                <w:szCs w:val="20"/>
              </w:rPr>
            </w:pPr>
            <w:r>
              <w:rPr>
                <w:rFonts w:hint="eastAsia" w:ascii="黑体" w:hAnsi="黑体" w:eastAsia="黑体" w:cs="黑体"/>
                <w:b/>
                <w:bCs/>
                <w:kern w:val="0"/>
                <w:sz w:val="20"/>
                <w:szCs w:val="20"/>
              </w:rPr>
              <w:t>内容构成</w:t>
            </w:r>
          </w:p>
        </w:tc>
        <w:tc>
          <w:tcPr>
            <w:tcW w:w="2835"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14:paraId="404EEF2E">
            <w:pPr>
              <w:jc w:val="center"/>
              <w:rPr>
                <w:rFonts w:ascii="黑体" w:hAnsi="黑体" w:eastAsia="黑体" w:cs="Calibri"/>
                <w:b/>
                <w:bCs/>
                <w:kern w:val="0"/>
                <w:sz w:val="20"/>
                <w:szCs w:val="20"/>
              </w:rPr>
            </w:pPr>
            <w:r>
              <w:rPr>
                <w:rFonts w:hint="eastAsia" w:ascii="黑体" w:hAnsi="黑体" w:eastAsia="黑体" w:cs="黑体"/>
                <w:b/>
                <w:bCs/>
                <w:kern w:val="0"/>
                <w:sz w:val="20"/>
                <w:szCs w:val="20"/>
              </w:rPr>
              <w:t>知识能力要求</w:t>
            </w:r>
          </w:p>
        </w:tc>
        <w:tc>
          <w:tcPr>
            <w:tcW w:w="2024"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14:paraId="32ED5A62">
            <w:pPr>
              <w:jc w:val="center"/>
              <w:rPr>
                <w:rFonts w:ascii="黑体" w:hAnsi="黑体" w:eastAsia="黑体" w:cs="Calibri"/>
                <w:b/>
                <w:bCs/>
                <w:kern w:val="0"/>
                <w:sz w:val="20"/>
                <w:szCs w:val="20"/>
              </w:rPr>
            </w:pPr>
            <w:r>
              <w:rPr>
                <w:rFonts w:hint="eastAsia" w:ascii="黑体" w:hAnsi="黑体" w:eastAsia="黑体" w:cs="黑体"/>
                <w:b/>
                <w:bCs/>
                <w:kern w:val="0"/>
                <w:sz w:val="20"/>
                <w:szCs w:val="20"/>
              </w:rPr>
              <w:t>教学重点与难点</w:t>
            </w:r>
          </w:p>
        </w:tc>
      </w:tr>
      <w:tr w14:paraId="6AA4BFDE">
        <w:tblPrEx>
          <w:tblCellMar>
            <w:top w:w="0" w:type="dxa"/>
            <w:left w:w="108" w:type="dxa"/>
            <w:bottom w:w="0" w:type="dxa"/>
            <w:right w:w="108" w:type="dxa"/>
          </w:tblCellMar>
        </w:tblPrEx>
        <w:trPr>
          <w:trHeight w:val="284" w:hRule="atLeast"/>
          <w:jc w:val="center"/>
        </w:trPr>
        <w:tc>
          <w:tcPr>
            <w:tcW w:w="277" w:type="dxa"/>
            <w:vMerge w:val="continue"/>
            <w:tcBorders>
              <w:left w:val="single" w:color="000000" w:sz="4" w:space="0"/>
              <w:bottom w:val="single" w:color="000000" w:sz="4" w:space="0"/>
              <w:right w:val="single" w:color="000000" w:sz="4" w:space="0"/>
            </w:tcBorders>
            <w:tcMar>
              <w:top w:w="0" w:type="dxa"/>
              <w:left w:w="0" w:type="dxa"/>
              <w:bottom w:w="0" w:type="dxa"/>
              <w:right w:w="0" w:type="dxa"/>
            </w:tcMar>
          </w:tcPr>
          <w:p w14:paraId="7E5E4CAA">
            <w:pPr>
              <w:jc w:val="center"/>
              <w:rPr>
                <w:rFonts w:ascii="黑体" w:hAnsi="黑体" w:eastAsia="黑体" w:cs="Calibri"/>
                <w:b/>
                <w:bCs/>
                <w:kern w:val="0"/>
                <w:sz w:val="20"/>
                <w:szCs w:val="20"/>
              </w:rPr>
            </w:pP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D0C07E6">
            <w:pPr>
              <w:spacing w:line="240" w:lineRule="exact"/>
              <w:jc w:val="center"/>
              <w:rPr>
                <w:rFonts w:ascii="黑体" w:hAnsi="黑体" w:eastAsia="黑体" w:cs="Calibri"/>
                <w:b/>
                <w:bCs/>
                <w:kern w:val="0"/>
                <w:sz w:val="20"/>
                <w:szCs w:val="20"/>
              </w:rPr>
            </w:pPr>
            <w:r>
              <w:rPr>
                <w:rFonts w:hint="eastAsia" w:ascii="黑体" w:hAnsi="黑体" w:eastAsia="黑体" w:cs="黑体"/>
                <w:b/>
                <w:bCs/>
                <w:kern w:val="0"/>
                <w:sz w:val="20"/>
                <w:szCs w:val="20"/>
              </w:rPr>
              <w:t>理论</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DE55C59">
            <w:pPr>
              <w:spacing w:line="240" w:lineRule="exact"/>
              <w:jc w:val="center"/>
              <w:rPr>
                <w:rFonts w:ascii="黑体" w:hAnsi="黑体" w:eastAsia="黑体" w:cs="Calibri"/>
                <w:b/>
                <w:bCs/>
                <w:kern w:val="0"/>
                <w:sz w:val="20"/>
                <w:szCs w:val="20"/>
              </w:rPr>
            </w:pPr>
            <w:r>
              <w:rPr>
                <w:rFonts w:hint="eastAsia" w:ascii="黑体" w:hAnsi="黑体" w:eastAsia="黑体" w:cs="黑体"/>
                <w:b/>
                <w:bCs/>
                <w:kern w:val="0"/>
                <w:sz w:val="20"/>
                <w:szCs w:val="20"/>
              </w:rPr>
              <w:t>实践</w:t>
            </w:r>
          </w:p>
        </w:tc>
        <w:tc>
          <w:tcPr>
            <w:tcW w:w="2655"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14:paraId="727285E5">
            <w:pPr>
              <w:jc w:val="center"/>
              <w:rPr>
                <w:rFonts w:ascii="黑体" w:hAnsi="黑体" w:eastAsia="黑体" w:cs="Calibri"/>
                <w:b/>
                <w:bCs/>
                <w:kern w:val="0"/>
                <w:sz w:val="20"/>
                <w:szCs w:val="20"/>
              </w:rPr>
            </w:pPr>
          </w:p>
        </w:tc>
        <w:tc>
          <w:tcPr>
            <w:tcW w:w="2835"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14:paraId="0F0E62EB">
            <w:pPr>
              <w:jc w:val="center"/>
              <w:rPr>
                <w:rFonts w:ascii="黑体" w:hAnsi="黑体" w:eastAsia="黑体" w:cs="Calibri"/>
                <w:b/>
                <w:bCs/>
                <w:kern w:val="0"/>
                <w:sz w:val="20"/>
                <w:szCs w:val="20"/>
              </w:rPr>
            </w:pPr>
          </w:p>
        </w:tc>
        <w:tc>
          <w:tcPr>
            <w:tcW w:w="2024"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14:paraId="3569ADA8">
            <w:pPr>
              <w:jc w:val="center"/>
              <w:rPr>
                <w:rFonts w:ascii="黑体" w:hAnsi="黑体" w:eastAsia="黑体" w:cs="Calibri"/>
                <w:b/>
                <w:bCs/>
                <w:kern w:val="0"/>
                <w:sz w:val="20"/>
                <w:szCs w:val="20"/>
              </w:rPr>
            </w:pPr>
          </w:p>
        </w:tc>
      </w:tr>
      <w:tr w14:paraId="692CE5C9">
        <w:tblPrEx>
          <w:tblCellMar>
            <w:top w:w="0" w:type="dxa"/>
            <w:left w:w="108" w:type="dxa"/>
            <w:bottom w:w="0" w:type="dxa"/>
            <w:right w:w="108" w:type="dxa"/>
          </w:tblCellMar>
        </w:tblPrEx>
        <w:trPr>
          <w:trHeight w:val="2865"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14:paraId="3AE28203">
            <w:pPr>
              <w:snapToGrid w:val="0"/>
              <w:spacing w:line="288" w:lineRule="auto"/>
              <w:jc w:val="center"/>
              <w:rPr>
                <w:rFonts w:ascii="宋体" w:cs="Calibri"/>
                <w:szCs w:val="21"/>
              </w:rPr>
            </w:pPr>
            <w:r>
              <w:rPr>
                <w:rFonts w:ascii="宋体" w:hAnsi="宋体" w:cs="宋体"/>
                <w:szCs w:val="21"/>
              </w:rPr>
              <w:t>1</w:t>
            </w: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A479874">
            <w:pPr>
              <w:snapToGrid w:val="0"/>
              <w:spacing w:line="288" w:lineRule="auto"/>
              <w:jc w:val="center"/>
              <w:rPr>
                <w:rFonts w:ascii="宋体" w:cs="Calibri"/>
                <w:szCs w:val="21"/>
              </w:rPr>
            </w:pPr>
            <w:r>
              <w:rPr>
                <w:rFonts w:hint="eastAsia" w:ascii="宋体" w:hAnsi="宋体" w:cs="宋体"/>
                <w:szCs w:val="21"/>
              </w:rPr>
              <w:t>2</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74EAE3B">
            <w:pPr>
              <w:snapToGrid w:val="0"/>
              <w:spacing w:line="288" w:lineRule="auto"/>
              <w:jc w:val="center"/>
              <w:rPr>
                <w:rFonts w:ascii="宋体" w:cs="宋体"/>
                <w:szCs w:val="21"/>
              </w:rPr>
            </w:pPr>
            <w:r>
              <w:rPr>
                <w:rFonts w:ascii="宋体" w:cs="宋体"/>
                <w:szCs w:val="21"/>
              </w:rPr>
              <w:t>0</w:t>
            </w:r>
          </w:p>
        </w:tc>
        <w:tc>
          <w:tcPr>
            <w:tcW w:w="2655" w:type="dxa"/>
            <w:tcBorders>
              <w:left w:val="single" w:color="000000" w:sz="4" w:space="0"/>
              <w:bottom w:val="single" w:color="000000" w:sz="4" w:space="0"/>
              <w:right w:val="single" w:color="000000" w:sz="4" w:space="0"/>
            </w:tcBorders>
            <w:tcMar>
              <w:top w:w="0" w:type="dxa"/>
              <w:left w:w="0" w:type="dxa"/>
              <w:bottom w:w="0" w:type="dxa"/>
              <w:right w:w="0" w:type="dxa"/>
            </w:tcMar>
          </w:tcPr>
          <w:p w14:paraId="3B2D599F">
            <w:pPr>
              <w:snapToGrid w:val="0"/>
              <w:spacing w:line="288" w:lineRule="auto"/>
              <w:rPr>
                <w:rFonts w:ascii="宋体" w:cs="Calibri"/>
                <w:szCs w:val="21"/>
              </w:rPr>
            </w:pPr>
            <w:r>
              <w:rPr>
                <w:rFonts w:ascii="宋体" w:cs="Calibri"/>
                <w:szCs w:val="21"/>
              </w:rPr>
              <w:t>上代文学</w:t>
            </w:r>
          </w:p>
          <w:p w14:paraId="13723B22">
            <w:pPr>
              <w:snapToGrid w:val="0"/>
              <w:spacing w:line="288" w:lineRule="auto"/>
              <w:rPr>
                <w:rFonts w:ascii="宋体" w:cs="Calibri"/>
                <w:szCs w:val="21"/>
              </w:rPr>
            </w:pPr>
            <w:r>
              <w:rPr>
                <w:rFonts w:hint="eastAsia" w:ascii="宋体" w:cs="Calibri"/>
                <w:szCs w:val="21"/>
              </w:rPr>
              <w:t>(1)上代前期文学概论。</w:t>
            </w:r>
          </w:p>
          <w:p w14:paraId="54C2A9A6">
            <w:pPr>
              <w:snapToGrid w:val="0"/>
              <w:spacing w:line="288" w:lineRule="auto"/>
              <w:rPr>
                <w:rFonts w:ascii="宋体" w:cs="Calibri"/>
                <w:szCs w:val="21"/>
              </w:rPr>
            </w:pPr>
            <w:r>
              <w:rPr>
                <w:rFonts w:hint="eastAsia" w:ascii="宋体" w:cs="Calibri"/>
                <w:szCs w:val="21"/>
              </w:rPr>
              <w:t>(2)神话•传说•民间文学的诞生。</w:t>
            </w:r>
          </w:p>
          <w:p w14:paraId="3730E0F0">
            <w:pPr>
              <w:snapToGrid w:val="0"/>
              <w:spacing w:line="288" w:lineRule="auto"/>
              <w:rPr>
                <w:rFonts w:ascii="宋体" w:cs="Calibri"/>
                <w:szCs w:val="21"/>
              </w:rPr>
            </w:pPr>
            <w:r>
              <w:rPr>
                <w:rFonts w:hint="eastAsia" w:ascii="宋体" w:cs="Calibri"/>
                <w:szCs w:val="21"/>
              </w:rPr>
              <w:t>(3)日本历史书籍《古事记》与《日本书纪》。</w:t>
            </w:r>
          </w:p>
          <w:p w14:paraId="7A040A3D">
            <w:pPr>
              <w:snapToGrid w:val="0"/>
              <w:spacing w:line="288" w:lineRule="auto"/>
              <w:rPr>
                <w:rFonts w:ascii="宋体" w:cs="Calibri"/>
                <w:szCs w:val="21"/>
              </w:rPr>
            </w:pPr>
            <w:r>
              <w:rPr>
                <w:rFonts w:hint="eastAsia" w:ascii="宋体" w:cs="Calibri"/>
                <w:szCs w:val="21"/>
              </w:rPr>
              <w:t>(4)日本古代诗歌--《万叶集》的世界。</w:t>
            </w:r>
          </w:p>
        </w:tc>
        <w:tc>
          <w:tcPr>
            <w:tcW w:w="2835" w:type="dxa"/>
            <w:tcBorders>
              <w:left w:val="single" w:color="000000" w:sz="4" w:space="0"/>
              <w:bottom w:val="single" w:color="000000" w:sz="4" w:space="0"/>
              <w:right w:val="single" w:color="000000" w:sz="4" w:space="0"/>
            </w:tcBorders>
            <w:tcMar>
              <w:top w:w="0" w:type="dxa"/>
              <w:left w:w="0" w:type="dxa"/>
              <w:bottom w:w="0" w:type="dxa"/>
              <w:right w:w="0" w:type="dxa"/>
            </w:tcMar>
          </w:tcPr>
          <w:p w14:paraId="1431AB0B">
            <w:pPr>
              <w:snapToGrid w:val="0"/>
              <w:spacing w:line="288" w:lineRule="auto"/>
              <w:jc w:val="left"/>
              <w:rPr>
                <w:rFonts w:ascii="宋体" w:cs="Calibri"/>
                <w:szCs w:val="21"/>
              </w:rPr>
            </w:pPr>
            <w:r>
              <w:rPr>
                <w:rFonts w:hint="eastAsia" w:ascii="宋体" w:hAnsi="宋体" w:cs="宋体"/>
                <w:szCs w:val="21"/>
              </w:rPr>
              <w:t>·了解日本文学的起源过程</w:t>
            </w:r>
          </w:p>
          <w:p w14:paraId="161168B9">
            <w:pPr>
              <w:snapToGrid w:val="0"/>
              <w:spacing w:line="288" w:lineRule="auto"/>
              <w:jc w:val="left"/>
              <w:rPr>
                <w:rFonts w:ascii="宋体" w:cs="Calibri"/>
                <w:szCs w:val="21"/>
              </w:rPr>
            </w:pPr>
            <w:r>
              <w:rPr>
                <w:rFonts w:hint="eastAsia" w:ascii="宋体" w:hAnsi="宋体" w:cs="宋体"/>
                <w:szCs w:val="21"/>
              </w:rPr>
              <w:t>·了解最初的文学形式--神话及主要日本神话人物和事迹</w:t>
            </w:r>
          </w:p>
          <w:p w14:paraId="7F2C5B70">
            <w:pPr>
              <w:snapToGrid w:val="0"/>
              <w:spacing w:line="288" w:lineRule="auto"/>
              <w:jc w:val="left"/>
              <w:rPr>
                <w:rFonts w:ascii="宋体" w:cs="Calibri"/>
                <w:szCs w:val="21"/>
              </w:rPr>
            </w:pPr>
            <w:r>
              <w:rPr>
                <w:rFonts w:hint="eastAsia" w:ascii="宋体" w:hAnsi="宋体" w:cs="宋体"/>
                <w:szCs w:val="21"/>
              </w:rPr>
              <w:t>·了解日本最早的历史书籍《古事记》与《日本书纪》</w:t>
            </w:r>
          </w:p>
          <w:p w14:paraId="4345EB73">
            <w:pPr>
              <w:snapToGrid w:val="0"/>
              <w:spacing w:line="288" w:lineRule="auto"/>
              <w:jc w:val="left"/>
              <w:rPr>
                <w:rFonts w:ascii="宋体" w:cs="Calibri"/>
                <w:szCs w:val="21"/>
              </w:rPr>
            </w:pPr>
            <w:r>
              <w:rPr>
                <w:rFonts w:hint="eastAsia" w:ascii="宋体" w:hAnsi="宋体" w:cs="宋体"/>
                <w:szCs w:val="21"/>
              </w:rPr>
              <w:t>·了解日本最早的诗歌集--《万叶集》的相关知识</w:t>
            </w:r>
          </w:p>
          <w:p w14:paraId="664D1474">
            <w:pPr>
              <w:snapToGrid w:val="0"/>
              <w:spacing w:line="288" w:lineRule="auto"/>
              <w:jc w:val="left"/>
              <w:rPr>
                <w:rFonts w:ascii="宋体" w:cs="Calibri"/>
                <w:szCs w:val="21"/>
              </w:rPr>
            </w:pPr>
          </w:p>
        </w:tc>
        <w:tc>
          <w:tcPr>
            <w:tcW w:w="2024" w:type="dxa"/>
            <w:tcBorders>
              <w:left w:val="single" w:color="000000" w:sz="4" w:space="0"/>
              <w:bottom w:val="single" w:color="000000" w:sz="4" w:space="0"/>
              <w:right w:val="single" w:color="000000" w:sz="4" w:space="0"/>
            </w:tcBorders>
            <w:tcMar>
              <w:top w:w="0" w:type="dxa"/>
              <w:left w:w="0" w:type="dxa"/>
              <w:bottom w:w="0" w:type="dxa"/>
              <w:right w:w="0" w:type="dxa"/>
            </w:tcMar>
          </w:tcPr>
          <w:p w14:paraId="4C6B5D5D">
            <w:pPr>
              <w:snapToGrid w:val="0"/>
              <w:spacing w:line="288" w:lineRule="auto"/>
              <w:jc w:val="left"/>
              <w:rPr>
                <w:rFonts w:ascii="宋体" w:cs="Calibri"/>
                <w:szCs w:val="21"/>
              </w:rPr>
            </w:pPr>
            <w:r>
              <w:rPr>
                <w:rFonts w:hint="eastAsia" w:ascii="宋体" w:hAnsi="宋体" w:cs="宋体"/>
                <w:szCs w:val="21"/>
              </w:rPr>
              <w:t>·</w:t>
            </w:r>
            <w:r>
              <w:rPr>
                <w:rFonts w:hint="eastAsia" w:ascii="宋体" w:cs="Calibri"/>
                <w:szCs w:val="21"/>
              </w:rPr>
              <w:t>掌握《古事记》与《日本书纪》的相关知识，理解其不同的用途。</w:t>
            </w:r>
          </w:p>
          <w:p w14:paraId="06BD7133">
            <w:pPr>
              <w:snapToGrid w:val="0"/>
              <w:spacing w:line="288" w:lineRule="auto"/>
              <w:jc w:val="left"/>
              <w:rPr>
                <w:rFonts w:ascii="宋体" w:cs="Calibri"/>
                <w:szCs w:val="21"/>
              </w:rPr>
            </w:pPr>
            <w:r>
              <w:rPr>
                <w:rFonts w:hint="eastAsia" w:ascii="宋体" w:hAnsi="宋体" w:cs="宋体"/>
                <w:szCs w:val="21"/>
              </w:rPr>
              <w:t>·</w:t>
            </w:r>
            <w:r>
              <w:rPr>
                <w:rFonts w:hint="eastAsia" w:ascii="宋体" w:cs="Calibri"/>
                <w:szCs w:val="21"/>
              </w:rPr>
              <w:t>掌握《万叶集》的相关知识，了解其基本分类及著名诗歌以及诗歌相关知识。</w:t>
            </w:r>
          </w:p>
          <w:p w14:paraId="75466EC1">
            <w:pPr>
              <w:snapToGrid w:val="0"/>
              <w:spacing w:line="288" w:lineRule="auto"/>
              <w:jc w:val="left"/>
              <w:rPr>
                <w:rFonts w:ascii="宋体" w:cs="Calibri"/>
                <w:szCs w:val="21"/>
              </w:rPr>
            </w:pPr>
            <w:r>
              <w:rPr>
                <w:rFonts w:ascii="宋体" w:cs="Calibri"/>
                <w:szCs w:val="21"/>
              </w:rPr>
              <w:t xml:space="preserve"> </w:t>
            </w:r>
          </w:p>
        </w:tc>
      </w:tr>
      <w:tr w14:paraId="174E5F85">
        <w:tblPrEx>
          <w:tblCellMar>
            <w:top w:w="0" w:type="dxa"/>
            <w:left w:w="108" w:type="dxa"/>
            <w:bottom w:w="0" w:type="dxa"/>
            <w:right w:w="108" w:type="dxa"/>
          </w:tblCellMar>
        </w:tblPrEx>
        <w:trPr>
          <w:trHeight w:val="3245"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14:paraId="0CA4B07D">
            <w:pPr>
              <w:snapToGrid w:val="0"/>
              <w:spacing w:line="288" w:lineRule="auto"/>
              <w:jc w:val="center"/>
              <w:rPr>
                <w:rFonts w:ascii="宋体" w:cs="Calibri"/>
                <w:szCs w:val="21"/>
              </w:rPr>
            </w:pPr>
            <w:r>
              <w:rPr>
                <w:rFonts w:ascii="宋体" w:hAnsi="宋体" w:cs="宋体"/>
                <w:szCs w:val="21"/>
              </w:rPr>
              <w:t>2</w:t>
            </w: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0A3559C">
            <w:pPr>
              <w:snapToGrid w:val="0"/>
              <w:spacing w:line="288" w:lineRule="auto"/>
              <w:jc w:val="center"/>
              <w:rPr>
                <w:rFonts w:ascii="宋体" w:cs="Calibri"/>
                <w:szCs w:val="21"/>
              </w:rPr>
            </w:pPr>
            <w:r>
              <w:rPr>
                <w:rFonts w:hint="eastAsia" w:ascii="宋体" w:hAnsi="宋体" w:cs="宋体"/>
                <w:szCs w:val="21"/>
              </w:rPr>
              <w:t>2</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27A0A4A">
            <w:pPr>
              <w:snapToGrid w:val="0"/>
              <w:spacing w:line="288" w:lineRule="auto"/>
              <w:jc w:val="center"/>
              <w:rPr>
                <w:rFonts w:ascii="宋体" w:cs="Calibri"/>
                <w:szCs w:val="21"/>
              </w:rPr>
            </w:pPr>
            <w:r>
              <w:rPr>
                <w:rFonts w:ascii="宋体" w:cs="宋体"/>
                <w:szCs w:val="21"/>
              </w:rPr>
              <w:t>0</w:t>
            </w:r>
          </w:p>
        </w:tc>
        <w:tc>
          <w:tcPr>
            <w:tcW w:w="2655" w:type="dxa"/>
            <w:tcBorders>
              <w:left w:val="single" w:color="000000" w:sz="4" w:space="0"/>
              <w:bottom w:val="single" w:color="000000" w:sz="4" w:space="0"/>
              <w:right w:val="single" w:color="000000" w:sz="4" w:space="0"/>
            </w:tcBorders>
            <w:tcMar>
              <w:top w:w="0" w:type="dxa"/>
              <w:left w:w="0" w:type="dxa"/>
              <w:bottom w:w="0" w:type="dxa"/>
              <w:right w:w="0" w:type="dxa"/>
            </w:tcMar>
          </w:tcPr>
          <w:p w14:paraId="11CD2C39">
            <w:pPr>
              <w:snapToGrid w:val="0"/>
              <w:spacing w:line="288" w:lineRule="auto"/>
              <w:jc w:val="left"/>
              <w:rPr>
                <w:rFonts w:cs="宋体"/>
                <w:sz w:val="20"/>
                <w:szCs w:val="20"/>
              </w:rPr>
            </w:pPr>
            <w:r>
              <w:rPr>
                <w:rFonts w:hint="eastAsia" w:cs="宋体"/>
                <w:sz w:val="20"/>
                <w:szCs w:val="20"/>
              </w:rPr>
              <w:t>中古文学</w:t>
            </w:r>
          </w:p>
          <w:p w14:paraId="4C5004E6">
            <w:pPr>
              <w:snapToGrid w:val="0"/>
              <w:spacing w:line="288" w:lineRule="auto"/>
              <w:jc w:val="left"/>
              <w:rPr>
                <w:rFonts w:ascii="宋体" w:cs="Calibri"/>
                <w:szCs w:val="21"/>
              </w:rPr>
            </w:pPr>
            <w:r>
              <w:rPr>
                <w:rFonts w:ascii="宋体" w:cs="Calibri"/>
                <w:szCs w:val="21"/>
              </w:rPr>
              <w:t>(1)</w:t>
            </w:r>
            <w:r>
              <w:rPr>
                <w:rFonts w:hint="eastAsia" w:ascii="宋体" w:cs="Calibri"/>
                <w:szCs w:val="21"/>
              </w:rPr>
              <w:t>中古文学概论。</w:t>
            </w:r>
            <w:r>
              <w:rPr>
                <w:rFonts w:hint="eastAsia" w:ascii="宋体" w:cs="Calibri"/>
                <w:szCs w:val="21"/>
              </w:rPr>
              <w:tab/>
            </w:r>
            <w:r>
              <w:rPr>
                <w:rFonts w:hint="eastAsia" w:ascii="宋体" w:cs="Calibri"/>
                <w:szCs w:val="21"/>
              </w:rPr>
              <w:t xml:space="preserve"> (2)物语文学的诞生及日本古代文学的最高峰--《源氏物语》。</w:t>
            </w:r>
          </w:p>
          <w:p w14:paraId="7BC4DA9F">
            <w:pPr>
              <w:snapToGrid w:val="0"/>
              <w:spacing w:line="288" w:lineRule="auto"/>
              <w:jc w:val="left"/>
              <w:rPr>
                <w:rFonts w:ascii="宋体" w:cs="Calibri"/>
                <w:szCs w:val="21"/>
              </w:rPr>
            </w:pPr>
            <w:r>
              <w:rPr>
                <w:rFonts w:hint="eastAsia" w:ascii="宋体" w:cs="Calibri"/>
                <w:szCs w:val="21"/>
              </w:rPr>
              <w:t>(3)日记文学及随笔文学的出现。</w:t>
            </w:r>
          </w:p>
          <w:p w14:paraId="3EE34F76">
            <w:pPr>
              <w:snapToGrid w:val="0"/>
              <w:spacing w:line="288" w:lineRule="auto"/>
              <w:jc w:val="left"/>
              <w:rPr>
                <w:rFonts w:ascii="宋体" w:cs="Calibri"/>
                <w:szCs w:val="21"/>
              </w:rPr>
            </w:pPr>
            <w:r>
              <w:rPr>
                <w:rFonts w:hint="eastAsia" w:ascii="宋体" w:cs="Calibri"/>
                <w:szCs w:val="21"/>
              </w:rPr>
              <w:t>(4)民间故事的最高峰--《今昔物语集》</w:t>
            </w:r>
          </w:p>
        </w:tc>
        <w:tc>
          <w:tcPr>
            <w:tcW w:w="2835" w:type="dxa"/>
            <w:tcBorders>
              <w:left w:val="single" w:color="000000" w:sz="4" w:space="0"/>
              <w:bottom w:val="single" w:color="000000" w:sz="4" w:space="0"/>
              <w:right w:val="single" w:color="000000" w:sz="4" w:space="0"/>
            </w:tcBorders>
            <w:tcMar>
              <w:top w:w="0" w:type="dxa"/>
              <w:left w:w="0" w:type="dxa"/>
              <w:bottom w:w="0" w:type="dxa"/>
              <w:right w:w="0" w:type="dxa"/>
            </w:tcMar>
          </w:tcPr>
          <w:p w14:paraId="03FBE777">
            <w:pPr>
              <w:snapToGrid w:val="0"/>
              <w:spacing w:line="288" w:lineRule="auto"/>
              <w:jc w:val="left"/>
              <w:rPr>
                <w:rFonts w:ascii="宋体" w:hAnsi="宋体" w:cs="宋体"/>
                <w:szCs w:val="21"/>
              </w:rPr>
            </w:pPr>
            <w:r>
              <w:rPr>
                <w:rFonts w:hint="eastAsia" w:ascii="宋体" w:hAnsi="宋体" w:cs="宋体"/>
                <w:szCs w:val="21"/>
              </w:rPr>
              <w:t>·了解日本中古文学的发展过程及主要作家作品。</w:t>
            </w:r>
          </w:p>
          <w:p w14:paraId="4AC86EED">
            <w:pPr>
              <w:snapToGrid w:val="0"/>
              <w:spacing w:line="288" w:lineRule="auto"/>
              <w:jc w:val="left"/>
              <w:rPr>
                <w:rFonts w:ascii="宋体" w:cs="Calibri"/>
                <w:szCs w:val="21"/>
              </w:rPr>
            </w:pPr>
            <w:r>
              <w:rPr>
                <w:rFonts w:hint="eastAsia" w:ascii="宋体" w:hAnsi="宋体" w:cs="宋体"/>
                <w:szCs w:val="21"/>
              </w:rPr>
              <w:t>·结合时代背景，了解《源氏物语》的主要内容及思想</w:t>
            </w:r>
          </w:p>
          <w:p w14:paraId="6132D96E">
            <w:pPr>
              <w:snapToGrid w:val="0"/>
              <w:spacing w:line="288" w:lineRule="auto"/>
              <w:jc w:val="left"/>
              <w:rPr>
                <w:rFonts w:ascii="宋体" w:cs="Calibri"/>
                <w:szCs w:val="21"/>
              </w:rPr>
            </w:pPr>
            <w:r>
              <w:rPr>
                <w:rFonts w:hint="eastAsia" w:ascii="宋体" w:hAnsi="宋体" w:cs="宋体"/>
                <w:szCs w:val="21"/>
              </w:rPr>
              <w:t>·了解《土佐日记》、《蜻蛉日记》、《枕草子》的基本内容，阅读鉴赏较为简单的古典文章</w:t>
            </w:r>
          </w:p>
          <w:p w14:paraId="52D5B52A">
            <w:pPr>
              <w:snapToGrid w:val="0"/>
              <w:spacing w:line="288" w:lineRule="auto"/>
              <w:jc w:val="left"/>
              <w:rPr>
                <w:rFonts w:ascii="宋体" w:cs="Calibri"/>
                <w:szCs w:val="21"/>
              </w:rPr>
            </w:pPr>
          </w:p>
        </w:tc>
        <w:tc>
          <w:tcPr>
            <w:tcW w:w="2024" w:type="dxa"/>
            <w:tcBorders>
              <w:left w:val="single" w:color="000000" w:sz="4" w:space="0"/>
              <w:bottom w:val="single" w:color="000000" w:sz="4" w:space="0"/>
              <w:right w:val="single" w:color="000000" w:sz="4" w:space="0"/>
            </w:tcBorders>
            <w:tcMar>
              <w:top w:w="0" w:type="dxa"/>
              <w:left w:w="0" w:type="dxa"/>
              <w:bottom w:w="0" w:type="dxa"/>
              <w:right w:w="0" w:type="dxa"/>
            </w:tcMar>
          </w:tcPr>
          <w:p w14:paraId="05FBA919">
            <w:pPr>
              <w:snapToGrid w:val="0"/>
              <w:spacing w:line="288" w:lineRule="auto"/>
              <w:jc w:val="left"/>
              <w:rPr>
                <w:rFonts w:ascii="宋体" w:cs="Calibri"/>
                <w:szCs w:val="21"/>
              </w:rPr>
            </w:pPr>
            <w:r>
              <w:rPr>
                <w:rFonts w:hint="eastAsia" w:ascii="宋体" w:hAnsi="宋体" w:cs="宋体"/>
                <w:szCs w:val="21"/>
              </w:rPr>
              <w:t>·</w:t>
            </w:r>
            <w:r>
              <w:rPr>
                <w:rFonts w:hint="eastAsia" w:ascii="宋体" w:cs="Calibri"/>
                <w:szCs w:val="21"/>
              </w:rPr>
              <w:t>理解《源氏物语》的内核，认识其思想上的批判性。</w:t>
            </w:r>
          </w:p>
          <w:p w14:paraId="79E1FCE6">
            <w:pPr>
              <w:snapToGrid w:val="0"/>
              <w:spacing w:line="288" w:lineRule="auto"/>
              <w:jc w:val="left"/>
              <w:rPr>
                <w:rFonts w:ascii="宋体" w:cs="Calibri"/>
                <w:szCs w:val="21"/>
              </w:rPr>
            </w:pPr>
            <w:r>
              <w:rPr>
                <w:rFonts w:hint="eastAsia" w:ascii="宋体" w:hAnsi="宋体" w:cs="宋体"/>
                <w:szCs w:val="21"/>
              </w:rPr>
              <w:t>·</w:t>
            </w:r>
            <w:r>
              <w:rPr>
                <w:rFonts w:hint="eastAsia" w:ascii="宋体" w:cs="Calibri"/>
                <w:szCs w:val="21"/>
              </w:rPr>
              <w:t>了解时代背景，理解这一时期女性文学形成创作高峰的原因。</w:t>
            </w:r>
          </w:p>
          <w:p w14:paraId="4853CB8F">
            <w:pPr>
              <w:snapToGrid w:val="0"/>
              <w:spacing w:line="288" w:lineRule="auto"/>
              <w:jc w:val="left"/>
              <w:rPr>
                <w:rFonts w:ascii="宋体" w:cs="Calibri"/>
                <w:szCs w:val="21"/>
              </w:rPr>
            </w:pPr>
            <w:r>
              <w:rPr>
                <w:rFonts w:hint="eastAsia" w:ascii="宋体" w:hAnsi="宋体" w:cs="宋体"/>
                <w:szCs w:val="21"/>
              </w:rPr>
              <w:t>·</w:t>
            </w:r>
            <w:r>
              <w:rPr>
                <w:rFonts w:hint="eastAsia" w:ascii="宋体" w:cs="Calibri"/>
                <w:szCs w:val="21"/>
              </w:rPr>
              <w:t>对日本古代文学理念“物哀”及“清趣”的理解。</w:t>
            </w:r>
          </w:p>
          <w:p w14:paraId="15E143A1">
            <w:pPr>
              <w:snapToGrid w:val="0"/>
              <w:spacing w:line="288" w:lineRule="auto"/>
              <w:jc w:val="left"/>
              <w:rPr>
                <w:rFonts w:ascii="宋体" w:cs="Calibri"/>
                <w:szCs w:val="21"/>
              </w:rPr>
            </w:pPr>
          </w:p>
        </w:tc>
      </w:tr>
      <w:tr w14:paraId="4B379B75">
        <w:tblPrEx>
          <w:tblCellMar>
            <w:top w:w="0" w:type="dxa"/>
            <w:left w:w="108" w:type="dxa"/>
            <w:bottom w:w="0" w:type="dxa"/>
            <w:right w:w="108" w:type="dxa"/>
          </w:tblCellMar>
        </w:tblPrEx>
        <w:trPr>
          <w:trHeight w:val="3070"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14:paraId="42D656B1">
            <w:pPr>
              <w:snapToGrid w:val="0"/>
              <w:spacing w:line="288" w:lineRule="auto"/>
              <w:jc w:val="center"/>
              <w:rPr>
                <w:rFonts w:ascii="宋体" w:cs="Calibri"/>
                <w:szCs w:val="21"/>
              </w:rPr>
            </w:pPr>
            <w:r>
              <w:rPr>
                <w:rFonts w:ascii="宋体" w:hAnsi="宋体" w:cs="宋体"/>
                <w:szCs w:val="21"/>
              </w:rPr>
              <w:t>3</w:t>
            </w: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33FC929">
            <w:pPr>
              <w:snapToGrid w:val="0"/>
              <w:spacing w:line="288" w:lineRule="auto"/>
              <w:jc w:val="center"/>
              <w:rPr>
                <w:rFonts w:ascii="宋体" w:cs="Calibri"/>
                <w:szCs w:val="21"/>
              </w:rPr>
            </w:pPr>
            <w:r>
              <w:rPr>
                <w:rFonts w:hint="eastAsia" w:ascii="宋体" w:hAnsi="宋体" w:cs="宋体"/>
                <w:szCs w:val="21"/>
              </w:rPr>
              <w:t>3</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C8E470A">
            <w:pPr>
              <w:snapToGrid w:val="0"/>
              <w:spacing w:line="288" w:lineRule="auto"/>
              <w:jc w:val="center"/>
              <w:rPr>
                <w:rFonts w:ascii="宋体" w:cs="Calibri"/>
                <w:szCs w:val="21"/>
              </w:rPr>
            </w:pPr>
            <w:r>
              <w:rPr>
                <w:rFonts w:ascii="宋体" w:cs="宋体"/>
                <w:szCs w:val="21"/>
              </w:rPr>
              <w:t>0</w:t>
            </w:r>
          </w:p>
        </w:tc>
        <w:tc>
          <w:tcPr>
            <w:tcW w:w="2655" w:type="dxa"/>
            <w:tcBorders>
              <w:left w:val="single" w:color="000000" w:sz="4" w:space="0"/>
              <w:bottom w:val="single" w:color="000000" w:sz="4" w:space="0"/>
              <w:right w:val="single" w:color="000000" w:sz="4" w:space="0"/>
            </w:tcBorders>
            <w:tcMar>
              <w:top w:w="0" w:type="dxa"/>
              <w:left w:w="0" w:type="dxa"/>
              <w:bottom w:w="0" w:type="dxa"/>
              <w:right w:w="0" w:type="dxa"/>
            </w:tcMar>
          </w:tcPr>
          <w:p w14:paraId="536B207C">
            <w:pPr>
              <w:snapToGrid w:val="0"/>
              <w:spacing w:line="288" w:lineRule="auto"/>
              <w:rPr>
                <w:rFonts w:cs="宋体"/>
                <w:sz w:val="20"/>
                <w:szCs w:val="20"/>
              </w:rPr>
            </w:pPr>
            <w:r>
              <w:rPr>
                <w:rFonts w:hint="eastAsia" w:cs="宋体"/>
                <w:sz w:val="20"/>
                <w:szCs w:val="20"/>
              </w:rPr>
              <w:t>中世文学</w:t>
            </w:r>
          </w:p>
          <w:p w14:paraId="3966689F">
            <w:pPr>
              <w:snapToGrid w:val="0"/>
              <w:spacing w:line="288" w:lineRule="auto"/>
              <w:rPr>
                <w:rFonts w:ascii="宋体" w:cs="Calibri"/>
                <w:szCs w:val="21"/>
              </w:rPr>
            </w:pPr>
            <w:r>
              <w:rPr>
                <w:rFonts w:hint="eastAsia" w:ascii="宋体" w:cs="Calibri"/>
                <w:szCs w:val="21"/>
              </w:rPr>
              <w:t>(1)中世文学概论。</w:t>
            </w:r>
          </w:p>
          <w:p w14:paraId="44DC8DC5">
            <w:pPr>
              <w:snapToGrid w:val="0"/>
              <w:spacing w:line="288" w:lineRule="auto"/>
              <w:rPr>
                <w:rFonts w:ascii="宋体" w:cs="Calibri"/>
                <w:szCs w:val="21"/>
              </w:rPr>
            </w:pPr>
            <w:r>
              <w:rPr>
                <w:rFonts w:hint="eastAsia" w:ascii="宋体" w:cs="Calibri"/>
                <w:szCs w:val="21"/>
              </w:rPr>
              <w:t>(2)诗歌·连歌·歌谣的发展</w:t>
            </w:r>
          </w:p>
          <w:p w14:paraId="79E5FABB">
            <w:pPr>
              <w:snapToGrid w:val="0"/>
              <w:spacing w:line="288" w:lineRule="auto"/>
              <w:rPr>
                <w:rFonts w:ascii="宋体" w:cs="Calibri"/>
                <w:szCs w:val="21"/>
              </w:rPr>
            </w:pPr>
            <w:r>
              <w:rPr>
                <w:rFonts w:hint="eastAsia" w:ascii="宋体" w:cs="Calibri"/>
                <w:szCs w:val="21"/>
              </w:rPr>
              <w:t>(3)物语文学的发展--军记物语及历史物语。</w:t>
            </w:r>
          </w:p>
          <w:p w14:paraId="633B55DD">
            <w:pPr>
              <w:snapToGrid w:val="0"/>
              <w:spacing w:line="288" w:lineRule="auto"/>
              <w:rPr>
                <w:rFonts w:ascii="宋体" w:cs="Calibri"/>
                <w:szCs w:val="21"/>
              </w:rPr>
            </w:pPr>
            <w:r>
              <w:rPr>
                <w:rFonts w:hint="eastAsia" w:ascii="宋体" w:cs="Calibri"/>
                <w:szCs w:val="21"/>
              </w:rPr>
              <w:t>(4)随笔文学的新发展--《方丈记》、《徒然草》</w:t>
            </w:r>
          </w:p>
          <w:p w14:paraId="6B64BFF8">
            <w:pPr>
              <w:snapToGrid w:val="0"/>
              <w:spacing w:line="288" w:lineRule="auto"/>
              <w:rPr>
                <w:rFonts w:ascii="宋体" w:cs="Calibri"/>
                <w:color w:val="FF0000"/>
                <w:szCs w:val="21"/>
              </w:rPr>
            </w:pPr>
            <w:r>
              <w:rPr>
                <w:rFonts w:hint="eastAsia" w:ascii="宋体" w:cs="Calibri"/>
                <w:szCs w:val="21"/>
              </w:rPr>
              <w:t>(5)戏剧的兴起--能乐与狂言</w:t>
            </w:r>
          </w:p>
        </w:tc>
        <w:tc>
          <w:tcPr>
            <w:tcW w:w="2835" w:type="dxa"/>
            <w:tcBorders>
              <w:left w:val="single" w:color="000000" w:sz="4" w:space="0"/>
              <w:bottom w:val="single" w:color="000000" w:sz="4" w:space="0"/>
              <w:right w:val="single" w:color="000000" w:sz="4" w:space="0"/>
            </w:tcBorders>
            <w:tcMar>
              <w:top w:w="0" w:type="dxa"/>
              <w:left w:w="0" w:type="dxa"/>
              <w:bottom w:w="0" w:type="dxa"/>
              <w:right w:w="0" w:type="dxa"/>
            </w:tcMar>
          </w:tcPr>
          <w:p w14:paraId="747F9264">
            <w:pPr>
              <w:snapToGrid w:val="0"/>
              <w:spacing w:line="288" w:lineRule="auto"/>
              <w:jc w:val="left"/>
              <w:rPr>
                <w:rFonts w:ascii="宋体" w:cs="Calibri"/>
                <w:szCs w:val="21"/>
              </w:rPr>
            </w:pPr>
            <w:r>
              <w:rPr>
                <w:rFonts w:hint="eastAsia" w:ascii="宋体" w:hAnsi="宋体" w:cs="宋体"/>
                <w:szCs w:val="21"/>
              </w:rPr>
              <w:t>·</w:t>
            </w:r>
            <w:r>
              <w:rPr>
                <w:rFonts w:hint="eastAsia" w:ascii="宋体" w:cs="Calibri"/>
                <w:szCs w:val="21"/>
              </w:rPr>
              <w:t>了解日本中世文学的发展过程及主要作家作品。</w:t>
            </w:r>
          </w:p>
          <w:p w14:paraId="7848A035">
            <w:pPr>
              <w:snapToGrid w:val="0"/>
              <w:spacing w:line="288" w:lineRule="auto"/>
              <w:jc w:val="left"/>
              <w:rPr>
                <w:rFonts w:ascii="宋体" w:cs="Calibri"/>
                <w:szCs w:val="21"/>
              </w:rPr>
            </w:pPr>
            <w:r>
              <w:rPr>
                <w:rFonts w:hint="eastAsia" w:ascii="宋体" w:hAnsi="宋体" w:cs="宋体"/>
                <w:szCs w:val="21"/>
              </w:rPr>
              <w:t>·</w:t>
            </w:r>
            <w:r>
              <w:rPr>
                <w:rFonts w:hint="eastAsia" w:ascii="宋体" w:cs="Calibri"/>
                <w:szCs w:val="21"/>
              </w:rPr>
              <w:t>结合时代背景，了解军记物语及历史物语的兴起。</w:t>
            </w:r>
          </w:p>
          <w:p w14:paraId="1BD216D2">
            <w:pPr>
              <w:snapToGrid w:val="0"/>
              <w:spacing w:line="288" w:lineRule="auto"/>
              <w:jc w:val="left"/>
              <w:rPr>
                <w:rFonts w:ascii="宋体" w:cs="Calibri"/>
                <w:szCs w:val="21"/>
              </w:rPr>
            </w:pPr>
            <w:r>
              <w:rPr>
                <w:rFonts w:hint="eastAsia" w:ascii="宋体" w:hAnsi="宋体" w:cs="宋体"/>
                <w:szCs w:val="21"/>
              </w:rPr>
              <w:t>·</w:t>
            </w:r>
            <w:r>
              <w:rPr>
                <w:rFonts w:hint="eastAsia" w:ascii="宋体" w:cs="Calibri"/>
                <w:szCs w:val="21"/>
              </w:rPr>
              <w:t>了解《方丈记》《徒然草》的基本内容。</w:t>
            </w:r>
          </w:p>
          <w:p w14:paraId="0069BFFA">
            <w:pPr>
              <w:snapToGrid w:val="0"/>
              <w:spacing w:line="288" w:lineRule="auto"/>
              <w:jc w:val="left"/>
              <w:rPr>
                <w:rFonts w:ascii="宋体" w:cs="Calibri"/>
                <w:szCs w:val="21"/>
              </w:rPr>
            </w:pPr>
            <w:r>
              <w:rPr>
                <w:rFonts w:hint="eastAsia" w:ascii="宋体" w:hAnsi="宋体" w:cs="宋体"/>
                <w:szCs w:val="21"/>
              </w:rPr>
              <w:t>·</w:t>
            </w:r>
            <w:r>
              <w:rPr>
                <w:rFonts w:hint="eastAsia" w:ascii="宋体" w:cs="Calibri"/>
                <w:szCs w:val="21"/>
              </w:rPr>
              <w:t>了解戏剧基本相关知识。</w:t>
            </w:r>
          </w:p>
          <w:p w14:paraId="5878E96B">
            <w:pPr>
              <w:snapToGrid w:val="0"/>
              <w:spacing w:line="288" w:lineRule="auto"/>
              <w:jc w:val="left"/>
              <w:rPr>
                <w:rFonts w:ascii="宋体" w:cs="Calibri"/>
                <w:szCs w:val="21"/>
              </w:rPr>
            </w:pPr>
            <w:r>
              <w:rPr>
                <w:rFonts w:ascii="宋体" w:cs="Calibri"/>
                <w:szCs w:val="21"/>
              </w:rPr>
              <w:t xml:space="preserve"> </w:t>
            </w:r>
          </w:p>
        </w:tc>
        <w:tc>
          <w:tcPr>
            <w:tcW w:w="2024" w:type="dxa"/>
            <w:tcBorders>
              <w:left w:val="single" w:color="000000" w:sz="4" w:space="0"/>
              <w:bottom w:val="single" w:color="000000" w:sz="4" w:space="0"/>
              <w:right w:val="single" w:color="000000" w:sz="4" w:space="0"/>
            </w:tcBorders>
            <w:tcMar>
              <w:top w:w="0" w:type="dxa"/>
              <w:left w:w="0" w:type="dxa"/>
              <w:bottom w:w="0" w:type="dxa"/>
              <w:right w:w="0" w:type="dxa"/>
            </w:tcMar>
          </w:tcPr>
          <w:p w14:paraId="6D3487ED">
            <w:pPr>
              <w:snapToGrid w:val="0"/>
              <w:spacing w:line="288" w:lineRule="auto"/>
              <w:jc w:val="left"/>
              <w:rPr>
                <w:rFonts w:ascii="宋体" w:cs="Calibri"/>
                <w:szCs w:val="21"/>
              </w:rPr>
            </w:pPr>
            <w:r>
              <w:rPr>
                <w:rFonts w:hint="eastAsia" w:ascii="宋体" w:hAnsi="宋体" w:cs="宋体"/>
                <w:szCs w:val="21"/>
              </w:rPr>
              <w:t>·</w:t>
            </w:r>
            <w:r>
              <w:rPr>
                <w:rFonts w:hint="eastAsia" w:ascii="宋体" w:cs="Calibri"/>
                <w:szCs w:val="21"/>
              </w:rPr>
              <w:t>结合历史背景，理解军记物语及历史物语兴起的内在原因及其中的“无常观”，认识其对时代的批判。</w:t>
            </w:r>
          </w:p>
          <w:p w14:paraId="56C2E2B8">
            <w:pPr>
              <w:snapToGrid w:val="0"/>
              <w:spacing w:line="288" w:lineRule="auto"/>
              <w:jc w:val="left"/>
              <w:rPr>
                <w:rFonts w:cs="Calibri"/>
                <w:sz w:val="20"/>
                <w:szCs w:val="20"/>
              </w:rPr>
            </w:pPr>
            <w:r>
              <w:rPr>
                <w:rFonts w:hint="eastAsia" w:ascii="宋体" w:hAnsi="宋体" w:cs="宋体"/>
                <w:szCs w:val="21"/>
              </w:rPr>
              <w:t>·</w:t>
            </w:r>
            <w:r>
              <w:rPr>
                <w:rFonts w:hint="eastAsia" w:ascii="宋体" w:cs="Calibri"/>
                <w:szCs w:val="21"/>
              </w:rPr>
              <w:t>结合时代背景，理解日本古代文学理念“幽玄”。</w:t>
            </w:r>
          </w:p>
          <w:p w14:paraId="49D3E112">
            <w:pPr>
              <w:rPr>
                <w:rFonts w:ascii="宋体" w:cs="Calibri"/>
                <w:szCs w:val="21"/>
              </w:rPr>
            </w:pPr>
            <w:r>
              <w:rPr>
                <w:rFonts w:ascii="宋体" w:cs="Calibri"/>
                <w:szCs w:val="21"/>
              </w:rPr>
              <w:t xml:space="preserve"> </w:t>
            </w:r>
          </w:p>
        </w:tc>
      </w:tr>
      <w:tr w14:paraId="51C92791">
        <w:tblPrEx>
          <w:tblCellMar>
            <w:top w:w="0" w:type="dxa"/>
            <w:left w:w="108" w:type="dxa"/>
            <w:bottom w:w="0" w:type="dxa"/>
            <w:right w:w="108" w:type="dxa"/>
          </w:tblCellMar>
        </w:tblPrEx>
        <w:trPr>
          <w:trHeight w:val="2400"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14:paraId="7F7747D5">
            <w:pPr>
              <w:snapToGrid w:val="0"/>
              <w:spacing w:line="288" w:lineRule="auto"/>
              <w:jc w:val="center"/>
              <w:rPr>
                <w:rFonts w:ascii="宋体" w:cs="Calibri"/>
                <w:szCs w:val="21"/>
              </w:rPr>
            </w:pPr>
            <w:r>
              <w:rPr>
                <w:rFonts w:ascii="宋体" w:hAnsi="宋体" w:cs="宋体"/>
                <w:szCs w:val="21"/>
              </w:rPr>
              <w:t>4</w:t>
            </w: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3A54685">
            <w:pPr>
              <w:snapToGrid w:val="0"/>
              <w:spacing w:line="288" w:lineRule="auto"/>
              <w:jc w:val="center"/>
              <w:rPr>
                <w:rFonts w:ascii="宋体" w:cs="Calibri"/>
                <w:szCs w:val="21"/>
              </w:rPr>
            </w:pPr>
            <w:r>
              <w:rPr>
                <w:rFonts w:hint="eastAsia" w:ascii="宋体" w:hAnsi="宋体" w:cs="宋体"/>
                <w:szCs w:val="21"/>
              </w:rPr>
              <w:t>3</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70FD506">
            <w:pPr>
              <w:snapToGrid w:val="0"/>
              <w:spacing w:line="288" w:lineRule="auto"/>
              <w:jc w:val="center"/>
              <w:rPr>
                <w:rFonts w:ascii="宋体" w:cs="Calibri"/>
                <w:szCs w:val="21"/>
              </w:rPr>
            </w:pPr>
            <w:r>
              <w:rPr>
                <w:rFonts w:ascii="宋体" w:cs="宋体"/>
                <w:szCs w:val="21"/>
              </w:rPr>
              <w:t>0</w:t>
            </w:r>
          </w:p>
        </w:tc>
        <w:tc>
          <w:tcPr>
            <w:tcW w:w="2655" w:type="dxa"/>
            <w:tcBorders>
              <w:left w:val="single" w:color="000000" w:sz="4" w:space="0"/>
              <w:bottom w:val="single" w:color="000000" w:sz="4" w:space="0"/>
              <w:right w:val="single" w:color="000000" w:sz="4" w:space="0"/>
            </w:tcBorders>
            <w:tcMar>
              <w:top w:w="0" w:type="dxa"/>
              <w:left w:w="0" w:type="dxa"/>
              <w:bottom w:w="0" w:type="dxa"/>
              <w:right w:w="0" w:type="dxa"/>
            </w:tcMar>
          </w:tcPr>
          <w:p w14:paraId="4F494E16">
            <w:pPr>
              <w:snapToGrid w:val="0"/>
              <w:spacing w:line="288" w:lineRule="auto"/>
              <w:jc w:val="left"/>
              <w:rPr>
                <w:rFonts w:ascii="宋体" w:cs="Calibri"/>
                <w:szCs w:val="21"/>
              </w:rPr>
            </w:pPr>
            <w:r>
              <w:rPr>
                <w:rFonts w:ascii="宋体" w:cs="Calibri"/>
                <w:szCs w:val="21"/>
              </w:rPr>
              <w:t>近世文学</w:t>
            </w:r>
          </w:p>
          <w:p w14:paraId="56E8F2E1">
            <w:pPr>
              <w:snapToGrid w:val="0"/>
              <w:spacing w:line="288" w:lineRule="auto"/>
              <w:jc w:val="left"/>
              <w:rPr>
                <w:rFonts w:ascii="宋体" w:cs="Calibri"/>
                <w:szCs w:val="21"/>
              </w:rPr>
            </w:pPr>
            <w:r>
              <w:rPr>
                <w:rFonts w:hint="eastAsia" w:ascii="宋体" w:cs="Calibri"/>
                <w:szCs w:val="21"/>
              </w:rPr>
              <w:t>(1)近世文学概论。</w:t>
            </w:r>
          </w:p>
          <w:p w14:paraId="616C99F3">
            <w:pPr>
              <w:snapToGrid w:val="0"/>
              <w:spacing w:line="288" w:lineRule="auto"/>
              <w:jc w:val="left"/>
              <w:rPr>
                <w:rFonts w:ascii="宋体" w:cs="Calibri"/>
                <w:szCs w:val="21"/>
              </w:rPr>
            </w:pPr>
            <w:r>
              <w:rPr>
                <w:rFonts w:hint="eastAsia" w:ascii="宋体" w:cs="Calibri"/>
                <w:szCs w:val="21"/>
              </w:rPr>
              <w:t>(2)俳谐的兴起及发展--贞门·芭蕉。</w:t>
            </w:r>
          </w:p>
          <w:p w14:paraId="3CA5BCF1">
            <w:pPr>
              <w:snapToGrid w:val="0"/>
              <w:spacing w:line="288" w:lineRule="auto"/>
              <w:jc w:val="left"/>
              <w:rPr>
                <w:rFonts w:ascii="宋体" w:cs="Calibri"/>
                <w:szCs w:val="21"/>
              </w:rPr>
            </w:pPr>
            <w:r>
              <w:rPr>
                <w:rFonts w:hint="eastAsia" w:ascii="宋体" w:cs="Calibri"/>
                <w:szCs w:val="21"/>
              </w:rPr>
              <w:t>(3)庶民文学的兴起。</w:t>
            </w:r>
          </w:p>
          <w:p w14:paraId="702AD7AE">
            <w:pPr>
              <w:snapToGrid w:val="0"/>
              <w:spacing w:line="288" w:lineRule="auto"/>
              <w:jc w:val="left"/>
              <w:rPr>
                <w:rFonts w:ascii="宋体" w:cs="Calibri"/>
                <w:szCs w:val="21"/>
              </w:rPr>
            </w:pPr>
            <w:r>
              <w:rPr>
                <w:rFonts w:hint="eastAsia" w:ascii="宋体" w:cs="Calibri"/>
                <w:szCs w:val="21"/>
              </w:rPr>
              <w:t>(4)戏剧文学的发展--歌舞伎·净琉璃。</w:t>
            </w:r>
          </w:p>
        </w:tc>
        <w:tc>
          <w:tcPr>
            <w:tcW w:w="2835" w:type="dxa"/>
            <w:tcBorders>
              <w:left w:val="single" w:color="000000" w:sz="4" w:space="0"/>
              <w:bottom w:val="single" w:color="000000" w:sz="4" w:space="0"/>
              <w:right w:val="single" w:color="000000" w:sz="4" w:space="0"/>
            </w:tcBorders>
            <w:tcMar>
              <w:top w:w="0" w:type="dxa"/>
              <w:left w:w="0" w:type="dxa"/>
              <w:bottom w:w="0" w:type="dxa"/>
              <w:right w:w="0" w:type="dxa"/>
            </w:tcMar>
          </w:tcPr>
          <w:p w14:paraId="4311E2DB">
            <w:pPr>
              <w:snapToGrid w:val="0"/>
              <w:spacing w:line="288" w:lineRule="auto"/>
              <w:jc w:val="left"/>
              <w:rPr>
                <w:rFonts w:ascii="宋体" w:cs="Calibri"/>
                <w:szCs w:val="21"/>
              </w:rPr>
            </w:pPr>
            <w:r>
              <w:rPr>
                <w:rFonts w:hint="eastAsia" w:ascii="宋体" w:hAnsi="宋体" w:cs="宋体"/>
                <w:szCs w:val="21"/>
              </w:rPr>
              <w:t>·</w:t>
            </w:r>
            <w:r>
              <w:rPr>
                <w:rFonts w:hint="eastAsia" w:ascii="宋体" w:cs="Calibri"/>
                <w:szCs w:val="21"/>
              </w:rPr>
              <w:t>了解日本近世文学的发展过程及代表作家作品。</w:t>
            </w:r>
          </w:p>
          <w:p w14:paraId="3B6FF5A4">
            <w:pPr>
              <w:snapToGrid w:val="0"/>
              <w:spacing w:line="288" w:lineRule="auto"/>
              <w:jc w:val="left"/>
              <w:rPr>
                <w:rFonts w:ascii="宋体" w:cs="Calibri"/>
                <w:szCs w:val="21"/>
              </w:rPr>
            </w:pPr>
            <w:r>
              <w:rPr>
                <w:rFonts w:hint="eastAsia" w:ascii="宋体" w:hAnsi="宋体" w:cs="宋体"/>
                <w:szCs w:val="21"/>
              </w:rPr>
              <w:t>·</w:t>
            </w:r>
            <w:r>
              <w:rPr>
                <w:rFonts w:hint="eastAsia" w:ascii="宋体" w:cs="Calibri"/>
                <w:szCs w:val="21"/>
              </w:rPr>
              <w:t>了解俳谐的相关知识及发展过程。</w:t>
            </w:r>
          </w:p>
          <w:p w14:paraId="0CA52A6D">
            <w:pPr>
              <w:rPr>
                <w:rFonts w:ascii="宋体" w:cs="Calibri"/>
                <w:szCs w:val="21"/>
              </w:rPr>
            </w:pPr>
            <w:r>
              <w:rPr>
                <w:rFonts w:hint="eastAsia" w:ascii="宋体" w:hAnsi="宋体" w:cs="宋体"/>
                <w:szCs w:val="21"/>
              </w:rPr>
              <w:t>·</w:t>
            </w:r>
            <w:r>
              <w:rPr>
                <w:rFonts w:hint="eastAsia" w:ascii="宋体" w:cs="Calibri"/>
                <w:szCs w:val="21"/>
              </w:rPr>
              <w:t>了解庶民文学的兴起及发展以及代表作家作品。</w:t>
            </w:r>
          </w:p>
          <w:p w14:paraId="26B7776E">
            <w:pPr>
              <w:rPr>
                <w:rFonts w:ascii="宋体" w:cs="Calibri"/>
                <w:szCs w:val="21"/>
              </w:rPr>
            </w:pPr>
            <w:r>
              <w:rPr>
                <w:rFonts w:ascii="宋体" w:cs="Calibri"/>
                <w:szCs w:val="21"/>
              </w:rPr>
              <w:t xml:space="preserve"> </w:t>
            </w:r>
          </w:p>
        </w:tc>
        <w:tc>
          <w:tcPr>
            <w:tcW w:w="2024" w:type="dxa"/>
            <w:tcBorders>
              <w:left w:val="single" w:color="000000" w:sz="4" w:space="0"/>
              <w:bottom w:val="single" w:color="000000" w:sz="4" w:space="0"/>
              <w:right w:val="single" w:color="000000" w:sz="4" w:space="0"/>
            </w:tcBorders>
            <w:tcMar>
              <w:top w:w="0" w:type="dxa"/>
              <w:left w:w="0" w:type="dxa"/>
              <w:bottom w:w="0" w:type="dxa"/>
              <w:right w:w="0" w:type="dxa"/>
            </w:tcMar>
          </w:tcPr>
          <w:p w14:paraId="52F95C9E">
            <w:pPr>
              <w:jc w:val="left"/>
              <w:rPr>
                <w:rFonts w:cs="Calibri"/>
                <w:sz w:val="20"/>
                <w:szCs w:val="20"/>
              </w:rPr>
            </w:pPr>
            <w:r>
              <w:rPr>
                <w:rFonts w:hint="eastAsia" w:ascii="宋体" w:hAnsi="宋体" w:cs="宋体"/>
                <w:szCs w:val="21"/>
              </w:rPr>
              <w:t>·</w:t>
            </w:r>
            <w:r>
              <w:rPr>
                <w:rFonts w:hint="eastAsia" w:ascii="宋体" w:cs="Calibri"/>
                <w:szCs w:val="21"/>
              </w:rPr>
              <w:t>理解松尾芭蕉及其作品的思想性。</w:t>
            </w:r>
          </w:p>
          <w:p w14:paraId="557A26E0">
            <w:pPr>
              <w:jc w:val="left"/>
              <w:rPr>
                <w:rFonts w:cs="Calibri"/>
                <w:sz w:val="20"/>
                <w:szCs w:val="20"/>
              </w:rPr>
            </w:pPr>
            <w:r>
              <w:rPr>
                <w:rFonts w:hint="eastAsia" w:ascii="宋体" w:hAnsi="宋体" w:cs="宋体"/>
                <w:szCs w:val="21"/>
              </w:rPr>
              <w:t>·</w:t>
            </w:r>
            <w:r>
              <w:rPr>
                <w:rFonts w:hint="eastAsia" w:ascii="宋体" w:cs="Calibri"/>
                <w:szCs w:val="21"/>
              </w:rPr>
              <w:t>结合时代背景，了解庶民文学及庶民文化兴起的原因及特征。</w:t>
            </w:r>
          </w:p>
          <w:p w14:paraId="48D1908B">
            <w:pPr>
              <w:jc w:val="left"/>
              <w:rPr>
                <w:rFonts w:ascii="宋体" w:cs="Calibri"/>
                <w:szCs w:val="21"/>
              </w:rPr>
            </w:pPr>
            <w:r>
              <w:rPr>
                <w:rFonts w:ascii="宋体" w:cs="Calibri"/>
                <w:szCs w:val="21"/>
              </w:rPr>
              <w:t xml:space="preserve"> </w:t>
            </w:r>
          </w:p>
        </w:tc>
      </w:tr>
      <w:tr w14:paraId="352E4BC5">
        <w:tblPrEx>
          <w:tblCellMar>
            <w:top w:w="0" w:type="dxa"/>
            <w:left w:w="108" w:type="dxa"/>
            <w:bottom w:w="0" w:type="dxa"/>
            <w:right w:w="108" w:type="dxa"/>
          </w:tblCellMar>
        </w:tblPrEx>
        <w:trPr>
          <w:trHeight w:val="3676" w:hRule="atLeast"/>
          <w:jc w:val="center"/>
        </w:trPr>
        <w:tc>
          <w:tcPr>
            <w:tcW w:w="277" w:type="dxa"/>
            <w:tcBorders>
              <w:left w:val="single" w:color="000000" w:sz="4" w:space="0"/>
              <w:bottom w:val="single" w:color="auto" w:sz="4" w:space="0"/>
              <w:right w:val="single" w:color="000000" w:sz="4" w:space="0"/>
            </w:tcBorders>
            <w:tcMar>
              <w:top w:w="0" w:type="dxa"/>
              <w:left w:w="0" w:type="dxa"/>
              <w:bottom w:w="0" w:type="dxa"/>
              <w:right w:w="0" w:type="dxa"/>
            </w:tcMar>
          </w:tcPr>
          <w:p w14:paraId="69EB69A8">
            <w:pPr>
              <w:snapToGrid w:val="0"/>
              <w:spacing w:line="288" w:lineRule="auto"/>
              <w:jc w:val="center"/>
              <w:rPr>
                <w:rFonts w:ascii="宋体" w:cs="Calibri"/>
                <w:szCs w:val="21"/>
              </w:rPr>
            </w:pPr>
            <w:r>
              <w:rPr>
                <w:rFonts w:ascii="宋体" w:hAnsi="宋体" w:cs="宋体"/>
                <w:szCs w:val="21"/>
              </w:rPr>
              <w:t>4</w:t>
            </w:r>
          </w:p>
        </w:tc>
        <w:tc>
          <w:tcPr>
            <w:tcW w:w="325"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tcPr>
          <w:p w14:paraId="1DBC6CA1">
            <w:pPr>
              <w:snapToGrid w:val="0"/>
              <w:spacing w:line="288" w:lineRule="auto"/>
              <w:jc w:val="center"/>
              <w:rPr>
                <w:rFonts w:ascii="宋体" w:cs="Calibri"/>
                <w:szCs w:val="21"/>
              </w:rPr>
            </w:pPr>
            <w:r>
              <w:rPr>
                <w:rFonts w:hint="eastAsia" w:ascii="宋体" w:hAnsi="宋体" w:cs="宋体"/>
                <w:szCs w:val="21"/>
              </w:rPr>
              <w:t>3</w:t>
            </w:r>
          </w:p>
        </w:tc>
        <w:tc>
          <w:tcPr>
            <w:tcW w:w="384"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tcPr>
          <w:p w14:paraId="7DBF8302">
            <w:pPr>
              <w:snapToGrid w:val="0"/>
              <w:spacing w:line="288" w:lineRule="auto"/>
              <w:jc w:val="center"/>
              <w:rPr>
                <w:rFonts w:ascii="宋体" w:cs="Calibri"/>
                <w:szCs w:val="21"/>
              </w:rPr>
            </w:pPr>
            <w:r>
              <w:rPr>
                <w:rFonts w:ascii="宋体" w:cs="宋体"/>
                <w:szCs w:val="21"/>
              </w:rPr>
              <w:t>0</w:t>
            </w:r>
          </w:p>
        </w:tc>
        <w:tc>
          <w:tcPr>
            <w:tcW w:w="2655" w:type="dxa"/>
            <w:tcBorders>
              <w:left w:val="single" w:color="000000" w:sz="4" w:space="0"/>
              <w:bottom w:val="single" w:color="auto" w:sz="4" w:space="0"/>
              <w:right w:val="single" w:color="000000" w:sz="4" w:space="0"/>
            </w:tcBorders>
            <w:tcMar>
              <w:top w:w="0" w:type="dxa"/>
              <w:left w:w="0" w:type="dxa"/>
              <w:bottom w:w="0" w:type="dxa"/>
              <w:right w:w="0" w:type="dxa"/>
            </w:tcMar>
          </w:tcPr>
          <w:p w14:paraId="4AC33D7F">
            <w:pPr>
              <w:snapToGrid w:val="0"/>
              <w:spacing w:line="288" w:lineRule="auto"/>
              <w:ind w:firstLine="105" w:firstLineChars="50"/>
              <w:rPr>
                <w:rFonts w:ascii="MS Mincho" w:hAnsi="MS Mincho" w:cs="宋体"/>
                <w:szCs w:val="21"/>
              </w:rPr>
            </w:pPr>
            <w:r>
              <w:rPr>
                <w:rFonts w:hint="eastAsia" w:ascii="MS Mincho" w:hAnsi="MS Mincho" w:cs="宋体"/>
                <w:szCs w:val="21"/>
              </w:rPr>
              <w:t>近代前期文学</w:t>
            </w:r>
          </w:p>
          <w:p w14:paraId="3A4E0493">
            <w:pPr>
              <w:snapToGrid w:val="0"/>
              <w:spacing w:line="288" w:lineRule="auto"/>
              <w:ind w:firstLine="105" w:firstLineChars="50"/>
              <w:rPr>
                <w:rFonts w:ascii="宋体" w:cs="Calibri"/>
                <w:szCs w:val="21"/>
              </w:rPr>
            </w:pPr>
            <w:r>
              <w:rPr>
                <w:rFonts w:hint="eastAsia" w:ascii="宋体" w:cs="Calibri"/>
                <w:szCs w:val="21"/>
              </w:rPr>
              <w:t>(1)近代前期文学概论</w:t>
            </w:r>
          </w:p>
          <w:p w14:paraId="0F701070">
            <w:pPr>
              <w:snapToGrid w:val="0"/>
              <w:spacing w:line="288" w:lineRule="auto"/>
              <w:ind w:firstLine="105" w:firstLineChars="50"/>
              <w:rPr>
                <w:rFonts w:ascii="宋体" w:cs="Calibri"/>
                <w:szCs w:val="21"/>
              </w:rPr>
            </w:pPr>
            <w:r>
              <w:rPr>
                <w:rFonts w:hint="eastAsia" w:ascii="宋体" w:cs="Calibri"/>
                <w:szCs w:val="21"/>
              </w:rPr>
              <w:t>(2)近代文学启蒙期及写实主义。</w:t>
            </w:r>
          </w:p>
          <w:p w14:paraId="2AB459DA">
            <w:pPr>
              <w:snapToGrid w:val="0"/>
              <w:spacing w:line="288" w:lineRule="auto"/>
              <w:ind w:firstLine="105" w:firstLineChars="50"/>
              <w:rPr>
                <w:rFonts w:ascii="宋体" w:cs="Calibri"/>
                <w:szCs w:val="21"/>
              </w:rPr>
            </w:pPr>
            <w:r>
              <w:rPr>
                <w:rFonts w:hint="eastAsia" w:ascii="宋体" w:cs="Calibri"/>
                <w:szCs w:val="21"/>
              </w:rPr>
              <w:t>(3)拟古典主义与浪漫主义。</w:t>
            </w:r>
          </w:p>
          <w:p w14:paraId="1ADFC374">
            <w:pPr>
              <w:snapToGrid w:val="0"/>
              <w:spacing w:line="288" w:lineRule="auto"/>
              <w:ind w:firstLine="105" w:firstLineChars="50"/>
              <w:rPr>
                <w:rFonts w:ascii="宋体" w:cs="Calibri"/>
                <w:szCs w:val="21"/>
              </w:rPr>
            </w:pPr>
            <w:r>
              <w:rPr>
                <w:rFonts w:hint="eastAsia" w:ascii="宋体" w:cs="Calibri"/>
                <w:szCs w:val="21"/>
              </w:rPr>
              <w:t>(4)自然主义与反自然主义倾向。</w:t>
            </w:r>
          </w:p>
          <w:p w14:paraId="3EAE0924">
            <w:pPr>
              <w:snapToGrid w:val="0"/>
              <w:spacing w:line="288" w:lineRule="auto"/>
              <w:ind w:firstLine="105" w:firstLineChars="50"/>
              <w:rPr>
                <w:rFonts w:ascii="宋体" w:cs="Calibri"/>
                <w:szCs w:val="21"/>
              </w:rPr>
            </w:pPr>
            <w:r>
              <w:rPr>
                <w:rFonts w:hint="eastAsia" w:ascii="宋体" w:cs="Calibri"/>
                <w:szCs w:val="21"/>
              </w:rPr>
              <w:t>(5)无产阶级文学</w:t>
            </w:r>
          </w:p>
        </w:tc>
        <w:tc>
          <w:tcPr>
            <w:tcW w:w="2835" w:type="dxa"/>
            <w:tcBorders>
              <w:left w:val="single" w:color="000000" w:sz="4" w:space="0"/>
              <w:bottom w:val="single" w:color="auto" w:sz="4" w:space="0"/>
              <w:right w:val="single" w:color="000000" w:sz="4" w:space="0"/>
            </w:tcBorders>
            <w:tcMar>
              <w:top w:w="0" w:type="dxa"/>
              <w:left w:w="0" w:type="dxa"/>
              <w:bottom w:w="0" w:type="dxa"/>
              <w:right w:w="0" w:type="dxa"/>
            </w:tcMar>
          </w:tcPr>
          <w:p w14:paraId="18AC3076">
            <w:pPr>
              <w:snapToGrid w:val="0"/>
              <w:spacing w:line="288" w:lineRule="auto"/>
              <w:jc w:val="left"/>
              <w:rPr>
                <w:rFonts w:ascii="宋体" w:cs="Calibri"/>
                <w:szCs w:val="21"/>
              </w:rPr>
            </w:pPr>
            <w:r>
              <w:rPr>
                <w:rFonts w:hint="eastAsia" w:ascii="宋体" w:hAnsi="宋体" w:cs="宋体"/>
                <w:szCs w:val="21"/>
              </w:rPr>
              <w:t>·了解近代前期文学的发展过程及主要作家作品。</w:t>
            </w:r>
          </w:p>
          <w:p w14:paraId="6C7BB9B3">
            <w:pPr>
              <w:snapToGrid w:val="0"/>
              <w:spacing w:line="288" w:lineRule="auto"/>
              <w:jc w:val="left"/>
              <w:rPr>
                <w:rFonts w:ascii="宋体" w:cs="Calibri"/>
                <w:szCs w:val="21"/>
              </w:rPr>
            </w:pPr>
            <w:r>
              <w:rPr>
                <w:rFonts w:hint="eastAsia" w:ascii="宋体" w:hAnsi="宋体" w:cs="宋体"/>
                <w:szCs w:val="21"/>
              </w:rPr>
              <w:t>·结合时代背景，了解各个文学流派的主要内容及代表作家作品</w:t>
            </w:r>
          </w:p>
          <w:p w14:paraId="00146A8E">
            <w:pPr>
              <w:rPr>
                <w:rFonts w:ascii="宋体" w:cs="Calibri"/>
                <w:szCs w:val="21"/>
              </w:rPr>
            </w:pPr>
            <w:r>
              <w:rPr>
                <w:rFonts w:hint="eastAsia" w:ascii="宋体" w:hAnsi="宋体" w:cs="宋体"/>
                <w:szCs w:val="21"/>
              </w:rPr>
              <w:t>·结合时代背景，了解无产阶级文学的发展过程及特征。</w:t>
            </w:r>
          </w:p>
          <w:p w14:paraId="6C3DBDB3">
            <w:pPr>
              <w:snapToGrid w:val="0"/>
              <w:spacing w:line="288" w:lineRule="auto"/>
              <w:jc w:val="left"/>
              <w:rPr>
                <w:rFonts w:ascii="宋体" w:cs="Calibri"/>
                <w:szCs w:val="21"/>
              </w:rPr>
            </w:pPr>
          </w:p>
        </w:tc>
        <w:tc>
          <w:tcPr>
            <w:tcW w:w="2024" w:type="dxa"/>
            <w:tcBorders>
              <w:left w:val="single" w:color="000000" w:sz="4" w:space="0"/>
              <w:bottom w:val="single" w:color="auto" w:sz="4" w:space="0"/>
              <w:right w:val="single" w:color="000000" w:sz="4" w:space="0"/>
            </w:tcBorders>
            <w:tcMar>
              <w:top w:w="0" w:type="dxa"/>
              <w:left w:w="0" w:type="dxa"/>
              <w:bottom w:w="0" w:type="dxa"/>
              <w:right w:w="0" w:type="dxa"/>
            </w:tcMar>
          </w:tcPr>
          <w:p w14:paraId="457E430C">
            <w:pPr>
              <w:snapToGrid w:val="0"/>
              <w:spacing w:line="288" w:lineRule="auto"/>
              <w:rPr>
                <w:rFonts w:ascii="MingLiU" w:cs="Calibri"/>
                <w:sz w:val="20"/>
                <w:szCs w:val="20"/>
              </w:rPr>
            </w:pPr>
            <w:r>
              <w:rPr>
                <w:rFonts w:hint="eastAsia" w:ascii="宋体" w:hAnsi="宋体" w:cs="宋体"/>
                <w:szCs w:val="21"/>
              </w:rPr>
              <w:t>·结合时代背景，理解近代前期文学的发展过程及各个流派兴起的原因及特征。</w:t>
            </w:r>
          </w:p>
          <w:p w14:paraId="4182C066">
            <w:pPr>
              <w:snapToGrid w:val="0"/>
              <w:spacing w:line="288" w:lineRule="auto"/>
              <w:rPr>
                <w:rFonts w:ascii="MingLiU" w:cs="Calibri"/>
                <w:sz w:val="20"/>
                <w:szCs w:val="20"/>
              </w:rPr>
            </w:pPr>
            <w:r>
              <w:rPr>
                <w:rFonts w:hint="eastAsia" w:ascii="宋体" w:hAnsi="宋体" w:cs="宋体"/>
                <w:szCs w:val="21"/>
              </w:rPr>
              <w:t>·赏鉴田山花袋、夏目漱石、森鸥外、有岛武郎、谷崎润一郎、志贺直哉、芥川龙之介等作家的作品，了解其写作手法、写作风格及创作理念。</w:t>
            </w:r>
            <w:r>
              <w:rPr>
                <w:rFonts w:ascii="宋体" w:cs="Calibri"/>
                <w:szCs w:val="21"/>
              </w:rPr>
              <w:t xml:space="preserve"> </w:t>
            </w:r>
          </w:p>
        </w:tc>
      </w:tr>
      <w:tr w14:paraId="180AB19C">
        <w:tblPrEx>
          <w:tblCellMar>
            <w:top w:w="0" w:type="dxa"/>
            <w:left w:w="108" w:type="dxa"/>
            <w:bottom w:w="0" w:type="dxa"/>
            <w:right w:w="108" w:type="dxa"/>
          </w:tblCellMar>
        </w:tblPrEx>
        <w:trPr>
          <w:trHeight w:val="3117" w:hRule="atLeast"/>
          <w:jc w:val="center"/>
        </w:trPr>
        <w:tc>
          <w:tcPr>
            <w:tcW w:w="2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14:paraId="4D7EAB9D">
            <w:pPr>
              <w:snapToGrid w:val="0"/>
              <w:spacing w:line="288" w:lineRule="auto"/>
              <w:jc w:val="center"/>
              <w:rPr>
                <w:rFonts w:ascii="宋体" w:hAnsi="宋体" w:cs="宋体"/>
                <w:szCs w:val="21"/>
              </w:rPr>
            </w:pPr>
            <w:r>
              <w:rPr>
                <w:rFonts w:hint="eastAsia" w:ascii="宋体" w:hAnsi="宋体" w:cs="宋体"/>
                <w:szCs w:val="21"/>
              </w:rPr>
              <w:t>5</w:t>
            </w:r>
          </w:p>
        </w:tc>
        <w:tc>
          <w:tcPr>
            <w:tcW w:w="32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14:paraId="14CEB1C3">
            <w:pPr>
              <w:snapToGrid w:val="0"/>
              <w:spacing w:line="288" w:lineRule="auto"/>
              <w:jc w:val="center"/>
              <w:rPr>
                <w:rFonts w:ascii="宋体" w:hAnsi="宋体" w:cs="宋体"/>
                <w:szCs w:val="21"/>
              </w:rPr>
            </w:pPr>
            <w:r>
              <w:rPr>
                <w:rFonts w:hint="eastAsia" w:ascii="宋体" w:hAnsi="宋体" w:cs="宋体"/>
                <w:szCs w:val="21"/>
              </w:rPr>
              <w:t>3</w:t>
            </w:r>
          </w:p>
        </w:tc>
        <w:tc>
          <w:tcPr>
            <w:tcW w:w="38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14:paraId="5B5D41A7">
            <w:pPr>
              <w:snapToGrid w:val="0"/>
              <w:spacing w:line="288" w:lineRule="auto"/>
              <w:jc w:val="center"/>
              <w:rPr>
                <w:rFonts w:ascii="宋体" w:cs="宋体"/>
                <w:szCs w:val="21"/>
              </w:rPr>
            </w:pPr>
            <w:r>
              <w:rPr>
                <w:rFonts w:hint="eastAsia" w:ascii="宋体" w:cs="宋体"/>
                <w:szCs w:val="21"/>
              </w:rPr>
              <w:t>0</w:t>
            </w:r>
          </w:p>
        </w:tc>
        <w:tc>
          <w:tcPr>
            <w:tcW w:w="265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14:paraId="35219952">
            <w:pPr>
              <w:snapToGrid w:val="0"/>
              <w:spacing w:line="288" w:lineRule="auto"/>
              <w:ind w:firstLine="105" w:firstLineChars="50"/>
              <w:rPr>
                <w:rFonts w:ascii="MS Mincho" w:hAnsi="MS Mincho" w:cs="宋体"/>
                <w:szCs w:val="21"/>
              </w:rPr>
            </w:pPr>
            <w:r>
              <w:rPr>
                <w:rFonts w:hint="eastAsia" w:ascii="MS Mincho" w:hAnsi="MS Mincho" w:cs="宋体"/>
                <w:szCs w:val="21"/>
              </w:rPr>
              <w:t>近代后期文学</w:t>
            </w:r>
          </w:p>
          <w:p w14:paraId="0914D382">
            <w:pPr>
              <w:snapToGrid w:val="0"/>
              <w:spacing w:line="288" w:lineRule="auto"/>
              <w:ind w:firstLine="105" w:firstLineChars="50"/>
              <w:rPr>
                <w:rFonts w:ascii="MS Mincho" w:hAnsi="MS Mincho" w:cs="宋体"/>
                <w:szCs w:val="21"/>
              </w:rPr>
            </w:pPr>
            <w:r>
              <w:rPr>
                <w:rFonts w:hint="eastAsia" w:ascii="MS Mincho" w:hAnsi="MS Mincho" w:cs="宋体"/>
                <w:szCs w:val="21"/>
              </w:rPr>
              <w:t>(1)近代后期文学概论。</w:t>
            </w:r>
          </w:p>
          <w:p w14:paraId="0082BA86">
            <w:pPr>
              <w:snapToGrid w:val="0"/>
              <w:spacing w:line="288" w:lineRule="auto"/>
              <w:ind w:firstLine="105" w:firstLineChars="50"/>
              <w:rPr>
                <w:rFonts w:ascii="MS Mincho" w:hAnsi="MS Mincho" w:cs="宋体"/>
                <w:szCs w:val="21"/>
              </w:rPr>
            </w:pPr>
            <w:r>
              <w:rPr>
                <w:rFonts w:hint="eastAsia" w:ascii="MS Mincho" w:hAnsi="MS Mincho" w:cs="宋体"/>
                <w:szCs w:val="21"/>
              </w:rPr>
              <w:t>(2)无产阶级文学的高峰。</w:t>
            </w:r>
          </w:p>
          <w:p w14:paraId="14533609">
            <w:pPr>
              <w:snapToGrid w:val="0"/>
              <w:spacing w:line="288" w:lineRule="auto"/>
              <w:ind w:firstLine="105" w:firstLineChars="50"/>
              <w:rPr>
                <w:rFonts w:ascii="MS Mincho" w:hAnsi="MS Mincho" w:cs="宋体"/>
                <w:szCs w:val="21"/>
              </w:rPr>
            </w:pPr>
            <w:r>
              <w:rPr>
                <w:rFonts w:hint="eastAsia" w:ascii="MS Mincho" w:hAnsi="MS Mincho" w:cs="宋体"/>
                <w:szCs w:val="21"/>
              </w:rPr>
              <w:t>(3)新感觉派·新兴艺术派·新心理主义。</w:t>
            </w:r>
          </w:p>
          <w:p w14:paraId="5C8845A9">
            <w:pPr>
              <w:snapToGrid w:val="0"/>
              <w:spacing w:line="288" w:lineRule="auto"/>
              <w:ind w:firstLine="105" w:firstLineChars="50"/>
              <w:rPr>
                <w:rFonts w:ascii="MS Mincho" w:hAnsi="MS Mincho" w:cs="宋体"/>
                <w:szCs w:val="21"/>
              </w:rPr>
            </w:pPr>
            <w:r>
              <w:rPr>
                <w:rFonts w:hint="eastAsia" w:ascii="MS Mincho" w:hAnsi="MS Mincho" w:cs="宋体"/>
                <w:szCs w:val="21"/>
              </w:rPr>
              <w:t>(4)战后派文学</w:t>
            </w:r>
          </w:p>
        </w:tc>
        <w:tc>
          <w:tcPr>
            <w:tcW w:w="283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14:paraId="2DE65A81">
            <w:pPr>
              <w:snapToGrid w:val="0"/>
              <w:spacing w:line="288" w:lineRule="auto"/>
              <w:jc w:val="left"/>
              <w:rPr>
                <w:rFonts w:ascii="宋体" w:hAnsi="宋体" w:cs="宋体"/>
                <w:szCs w:val="21"/>
              </w:rPr>
            </w:pPr>
            <w:r>
              <w:rPr>
                <w:rFonts w:hint="eastAsia" w:ascii="宋体" w:hAnsi="宋体" w:cs="宋体"/>
                <w:szCs w:val="21"/>
              </w:rPr>
              <w:t>·了解日本近代后期文学的发展过程及主要作家作品。</w:t>
            </w:r>
          </w:p>
          <w:p w14:paraId="7446C863">
            <w:pPr>
              <w:snapToGrid w:val="0"/>
              <w:spacing w:line="288" w:lineRule="auto"/>
              <w:jc w:val="left"/>
              <w:rPr>
                <w:rFonts w:ascii="宋体" w:hAnsi="宋体" w:cs="宋体"/>
                <w:szCs w:val="21"/>
              </w:rPr>
            </w:pPr>
            <w:r>
              <w:rPr>
                <w:rFonts w:hint="eastAsia" w:ascii="宋体" w:hAnsi="宋体" w:cs="宋体"/>
                <w:szCs w:val="21"/>
              </w:rPr>
              <w:t>·结合时代背景，了解日本无产阶级文学的思想及其特点。</w:t>
            </w:r>
          </w:p>
          <w:p w14:paraId="07CD4561">
            <w:pPr>
              <w:snapToGrid w:val="0"/>
              <w:spacing w:line="288" w:lineRule="auto"/>
              <w:jc w:val="left"/>
              <w:rPr>
                <w:rFonts w:ascii="宋体" w:hAnsi="宋体" w:cs="宋体"/>
                <w:szCs w:val="21"/>
              </w:rPr>
            </w:pPr>
            <w:r>
              <w:rPr>
                <w:rFonts w:hint="eastAsia" w:ascii="宋体" w:hAnsi="宋体" w:cs="宋体"/>
                <w:szCs w:val="21"/>
              </w:rPr>
              <w:t>·了解新感觉派及战后各个文学流派的基本内容。</w:t>
            </w:r>
          </w:p>
        </w:tc>
        <w:tc>
          <w:tcPr>
            <w:tcW w:w="202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14:paraId="5178B8C4">
            <w:pPr>
              <w:snapToGrid w:val="0"/>
              <w:spacing w:line="288" w:lineRule="auto"/>
              <w:rPr>
                <w:rFonts w:ascii="宋体" w:hAnsi="宋体" w:cs="宋体"/>
                <w:szCs w:val="21"/>
              </w:rPr>
            </w:pPr>
            <w:r>
              <w:rPr>
                <w:rFonts w:hint="eastAsia" w:ascii="宋体" w:hAnsi="宋体" w:cs="宋体"/>
                <w:szCs w:val="21"/>
              </w:rPr>
              <w:t>·结合时代背景，理解近代前期文学的发展过程及各个流派兴起的原因及特征。</w:t>
            </w:r>
          </w:p>
          <w:p w14:paraId="4794CE59">
            <w:pPr>
              <w:snapToGrid w:val="0"/>
              <w:spacing w:line="288" w:lineRule="auto"/>
              <w:rPr>
                <w:rFonts w:ascii="宋体" w:hAnsi="宋体" w:cs="宋体"/>
                <w:szCs w:val="21"/>
              </w:rPr>
            </w:pPr>
            <w:r>
              <w:rPr>
                <w:rFonts w:hint="eastAsia" w:ascii="宋体" w:hAnsi="宋体" w:cs="宋体"/>
                <w:szCs w:val="21"/>
              </w:rPr>
              <w:t>·赏鉴小林多喜二、川端康成、太宰治、大江健三郎等作家的作品，了解其写作手法、写作风格及创作理念。</w:t>
            </w:r>
          </w:p>
        </w:tc>
      </w:tr>
    </w:tbl>
    <w:p w14:paraId="1F7C54C8">
      <w:pPr>
        <w:snapToGrid w:val="0"/>
        <w:spacing w:line="288" w:lineRule="auto"/>
        <w:ind w:firstLine="400" w:firstLineChars="200"/>
        <w:rPr>
          <w:rFonts w:ascii="宋体" w:cs="Calibri"/>
          <w:sz w:val="20"/>
          <w:szCs w:val="20"/>
        </w:rPr>
      </w:pPr>
    </w:p>
    <w:p w14:paraId="7B139493">
      <w:pPr>
        <w:snapToGrid w:val="0"/>
        <w:spacing w:line="288" w:lineRule="auto"/>
        <w:ind w:right="26"/>
        <w:rPr>
          <w:sz w:val="20"/>
          <w:szCs w:val="20"/>
        </w:rPr>
      </w:pPr>
    </w:p>
    <w:p w14:paraId="5869791A">
      <w:pPr>
        <w:snapToGrid w:val="0"/>
        <w:spacing w:line="288" w:lineRule="auto"/>
        <w:ind w:right="2520"/>
        <w:rPr>
          <w:sz w:val="20"/>
          <w:szCs w:val="20"/>
        </w:rPr>
      </w:pPr>
      <w:r>
        <w:rPr>
          <w:rFonts w:hint="eastAsia" w:ascii="黑体" w:hAnsi="宋体" w:eastAsia="黑体"/>
          <w:sz w:val="24"/>
        </w:rPr>
        <w:t>七、评价方式与成绩</w:t>
      </w:r>
    </w:p>
    <w:tbl>
      <w:tblPr>
        <w:tblStyle w:val="7"/>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14:paraId="4AE2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56996F15">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14:paraId="5027935E">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14:paraId="3DA57DD0">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14:paraId="7100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433DCC23">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14:paraId="79F77691">
            <w:pPr>
              <w:snapToGrid w:val="0"/>
              <w:spacing w:before="156" w:beforeLines="50" w:after="156" w:afterLines="50"/>
              <w:jc w:val="center"/>
              <w:rPr>
                <w:rFonts w:ascii="宋体" w:hAnsi="宋体"/>
                <w:bCs/>
                <w:color w:val="000000"/>
                <w:szCs w:val="20"/>
              </w:rPr>
            </w:pPr>
            <w:r>
              <w:rPr>
                <w:rFonts w:ascii="宋体" w:hAnsi="宋体"/>
                <w:bCs/>
                <w:color w:val="000000"/>
                <w:szCs w:val="20"/>
              </w:rPr>
              <w:t>期终</w:t>
            </w:r>
            <w:r>
              <w:rPr>
                <w:rFonts w:hint="eastAsia" w:ascii="宋体" w:hAnsi="宋体"/>
                <w:bCs/>
                <w:szCs w:val="20"/>
              </w:rPr>
              <w:t>考查</w:t>
            </w:r>
          </w:p>
        </w:tc>
        <w:tc>
          <w:tcPr>
            <w:tcW w:w="1843" w:type="dxa"/>
            <w:shd w:val="clear" w:color="auto" w:fill="auto"/>
          </w:tcPr>
          <w:p w14:paraId="70EB1A8B">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60%</w:t>
            </w:r>
          </w:p>
        </w:tc>
      </w:tr>
      <w:tr w14:paraId="2B30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39658255">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14:paraId="4783BB8D">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平时成绩（小测试，课堂表现，课后作业，课堂发表，出勤等）</w:t>
            </w:r>
          </w:p>
        </w:tc>
        <w:tc>
          <w:tcPr>
            <w:tcW w:w="1843" w:type="dxa"/>
            <w:shd w:val="clear" w:color="auto" w:fill="auto"/>
          </w:tcPr>
          <w:p w14:paraId="795B0D6B">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14:paraId="6A5B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0C108BC5">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14:paraId="052FEF78">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平时成绩（小测试，课堂表现，课后作业，课堂发表，出勤等）</w:t>
            </w:r>
          </w:p>
        </w:tc>
        <w:tc>
          <w:tcPr>
            <w:tcW w:w="1843" w:type="dxa"/>
            <w:shd w:val="clear" w:color="auto" w:fill="auto"/>
          </w:tcPr>
          <w:p w14:paraId="445B1AB9">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bl>
    <w:p w14:paraId="0992F3D7">
      <w:pPr>
        <w:widowControl/>
        <w:spacing w:before="156" w:beforeLines="50" w:after="156" w:afterLines="50" w:line="288" w:lineRule="auto"/>
        <w:jc w:val="left"/>
        <w:rPr>
          <w:rFonts w:ascii="黑体" w:hAnsi="宋体" w:eastAsia="黑体"/>
          <w:sz w:val="24"/>
        </w:rPr>
      </w:pPr>
    </w:p>
    <w:p w14:paraId="2DE4246F">
      <w:pPr>
        <w:snapToGrid w:val="0"/>
        <w:spacing w:line="288" w:lineRule="auto"/>
        <w:rPr>
          <w:sz w:val="28"/>
          <w:szCs w:val="28"/>
        </w:rPr>
      </w:pPr>
    </w:p>
    <w:p w14:paraId="19D5752D">
      <w:pPr>
        <w:snapToGrid w:val="0"/>
        <w:spacing w:line="288" w:lineRule="auto"/>
        <w:rPr>
          <w:sz w:val="28"/>
          <w:szCs w:val="28"/>
        </w:rPr>
      </w:pPr>
      <w:r>
        <w:rPr>
          <w:rFonts w:hint="eastAsia"/>
          <w:sz w:val="28"/>
          <w:szCs w:val="28"/>
        </w:rPr>
        <w:t>撰写人：</w:t>
      </w:r>
      <w:r>
        <w:rPr>
          <w:rFonts w:hint="eastAsia"/>
          <w:sz w:val="28"/>
          <w:szCs w:val="28"/>
          <w:lang w:val="en-US" w:eastAsia="zh-CN"/>
        </w:rPr>
        <w:t>余灏</w:t>
      </w:r>
      <w:bookmarkStart w:id="1" w:name="_GoBack"/>
      <w:bookmarkEnd w:id="1"/>
      <w:r>
        <w:rPr>
          <w:rFonts w:hint="eastAsia"/>
          <w:sz w:val="28"/>
          <w:szCs w:val="28"/>
        </w:rPr>
        <w:t xml:space="preserve"> </w:t>
      </w:r>
      <w:r>
        <w:rPr>
          <w:rFonts w:hint="eastAsia"/>
          <w:sz w:val="28"/>
          <w:szCs w:val="28"/>
          <w:lang w:val="en-US" w:eastAsia="zh-CN"/>
        </w:rPr>
        <w:t xml:space="preserve">     </w:t>
      </w:r>
      <w:r>
        <w:rPr>
          <w:rFonts w:hint="eastAsia"/>
          <w:sz w:val="28"/>
          <w:szCs w:val="28"/>
        </w:rPr>
        <w:t xml:space="preserve">系主任审核签名： </w:t>
      </w:r>
      <w:r>
        <w:rPr>
          <w:sz w:val="28"/>
          <w:szCs w:val="28"/>
        </w:rPr>
        <w:t xml:space="preserve"> </w:t>
      </w:r>
      <w:r>
        <w:rPr>
          <w:sz w:val="28"/>
          <w:szCs w:val="28"/>
        </w:rPr>
        <w:drawing>
          <wp:inline distT="0" distB="0" distL="0" distR="0">
            <wp:extent cx="637540" cy="416560"/>
            <wp:effectExtent l="0" t="0" r="1016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40478" cy="418142"/>
                    </a:xfrm>
                    <a:prstGeom prst="rect">
                      <a:avLst/>
                    </a:prstGeom>
                    <a:noFill/>
                  </pic:spPr>
                </pic:pic>
              </a:graphicData>
            </a:graphic>
          </wp:inline>
        </w:drawing>
      </w:r>
      <w:r>
        <w:rPr>
          <w:sz w:val="28"/>
          <w:szCs w:val="28"/>
        </w:rPr>
        <w:t xml:space="preserve">  </w:t>
      </w:r>
      <w:r>
        <w:rPr>
          <w:rFonts w:hint="eastAsia"/>
          <w:sz w:val="28"/>
          <w:szCs w:val="28"/>
        </w:rPr>
        <w:t>审核时间： 202</w:t>
      </w:r>
      <w:r>
        <w:rPr>
          <w:rFonts w:hint="eastAsia"/>
          <w:sz w:val="28"/>
          <w:szCs w:val="28"/>
          <w:lang w:val="en-US" w:eastAsia="zh-CN"/>
        </w:rPr>
        <w:t>3</w:t>
      </w:r>
      <w:r>
        <w:rPr>
          <w:rFonts w:hint="eastAsia"/>
          <w:sz w:val="28"/>
          <w:szCs w:val="28"/>
        </w:rPr>
        <w:t xml:space="preserve">.9                     </w:t>
      </w:r>
    </w:p>
    <w:p w14:paraId="71E773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MingLiU">
    <w:altName w:val="PMingLiU-ExtB"/>
    <w:panose1 w:val="02020509000000000000"/>
    <w:charset w:val="88"/>
    <w:family w:val="modern"/>
    <w:pitch w:val="default"/>
    <w:sig w:usb0="00000000" w:usb1="00000000" w:usb2="00000016" w:usb3="00000000" w:csb0="00100001" w:csb1="00000000"/>
  </w:font>
  <w:font w:name="方正舒体">
    <w:panose1 w:val="02010601030101010101"/>
    <w:charset w:val="86"/>
    <w:family w:val="auto"/>
    <w:pitch w:val="default"/>
    <w:sig w:usb0="00000003"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ZDUyMGJmZjRlZDIyMDRkNzU0MTBmOTBhZjJkOGUifQ=="/>
  </w:docVars>
  <w:rsids>
    <w:rsidRoot w:val="00B7651F"/>
    <w:rsid w:val="00076167"/>
    <w:rsid w:val="00085CA4"/>
    <w:rsid w:val="000A27EC"/>
    <w:rsid w:val="001072BC"/>
    <w:rsid w:val="00134B7C"/>
    <w:rsid w:val="001C7B1E"/>
    <w:rsid w:val="0025102F"/>
    <w:rsid w:val="00256B39"/>
    <w:rsid w:val="0026033C"/>
    <w:rsid w:val="002B7EEB"/>
    <w:rsid w:val="002E3721"/>
    <w:rsid w:val="00313BBA"/>
    <w:rsid w:val="0032602E"/>
    <w:rsid w:val="003367AE"/>
    <w:rsid w:val="0035674A"/>
    <w:rsid w:val="003651BB"/>
    <w:rsid w:val="003B1258"/>
    <w:rsid w:val="003E4218"/>
    <w:rsid w:val="004100B0"/>
    <w:rsid w:val="00436C6E"/>
    <w:rsid w:val="004A0E91"/>
    <w:rsid w:val="004C50C7"/>
    <w:rsid w:val="004D6F6F"/>
    <w:rsid w:val="005467DC"/>
    <w:rsid w:val="00553D03"/>
    <w:rsid w:val="00586D4D"/>
    <w:rsid w:val="005B22BD"/>
    <w:rsid w:val="005B2B6D"/>
    <w:rsid w:val="005B4B4E"/>
    <w:rsid w:val="005D0A59"/>
    <w:rsid w:val="005D1A32"/>
    <w:rsid w:val="00624FE1"/>
    <w:rsid w:val="00627475"/>
    <w:rsid w:val="00662095"/>
    <w:rsid w:val="006E38CA"/>
    <w:rsid w:val="007208D6"/>
    <w:rsid w:val="008858D3"/>
    <w:rsid w:val="008B18E0"/>
    <w:rsid w:val="008B397C"/>
    <w:rsid w:val="008B47F4"/>
    <w:rsid w:val="008D06B1"/>
    <w:rsid w:val="00900019"/>
    <w:rsid w:val="0095517D"/>
    <w:rsid w:val="0099063E"/>
    <w:rsid w:val="00A135BE"/>
    <w:rsid w:val="00A17447"/>
    <w:rsid w:val="00A5198F"/>
    <w:rsid w:val="00A7118C"/>
    <w:rsid w:val="00A769B1"/>
    <w:rsid w:val="00A81CB6"/>
    <w:rsid w:val="00A837D5"/>
    <w:rsid w:val="00A85FF1"/>
    <w:rsid w:val="00AA3232"/>
    <w:rsid w:val="00AC4C45"/>
    <w:rsid w:val="00B46F21"/>
    <w:rsid w:val="00B511A5"/>
    <w:rsid w:val="00B72EDD"/>
    <w:rsid w:val="00B736A7"/>
    <w:rsid w:val="00B7651F"/>
    <w:rsid w:val="00BF3E2A"/>
    <w:rsid w:val="00BF7B83"/>
    <w:rsid w:val="00C05979"/>
    <w:rsid w:val="00C44E47"/>
    <w:rsid w:val="00C56E09"/>
    <w:rsid w:val="00CF096B"/>
    <w:rsid w:val="00D97188"/>
    <w:rsid w:val="00DF4C8F"/>
    <w:rsid w:val="00E006AE"/>
    <w:rsid w:val="00E16D30"/>
    <w:rsid w:val="00E23399"/>
    <w:rsid w:val="00E33169"/>
    <w:rsid w:val="00E36CEB"/>
    <w:rsid w:val="00E70904"/>
    <w:rsid w:val="00EA38F3"/>
    <w:rsid w:val="00EB3581"/>
    <w:rsid w:val="00EF0937"/>
    <w:rsid w:val="00EF44B1"/>
    <w:rsid w:val="00F04FBD"/>
    <w:rsid w:val="00F252FD"/>
    <w:rsid w:val="00F3106F"/>
    <w:rsid w:val="00F35AA0"/>
    <w:rsid w:val="00FA5C20"/>
    <w:rsid w:val="00FD2B6B"/>
    <w:rsid w:val="016E63C2"/>
    <w:rsid w:val="024B0C39"/>
    <w:rsid w:val="0A8128A6"/>
    <w:rsid w:val="0BF32A1B"/>
    <w:rsid w:val="10BD2C22"/>
    <w:rsid w:val="13402DAE"/>
    <w:rsid w:val="22987C80"/>
    <w:rsid w:val="24192CCC"/>
    <w:rsid w:val="2E047202"/>
    <w:rsid w:val="342568D0"/>
    <w:rsid w:val="39A66CD4"/>
    <w:rsid w:val="3CD52CE1"/>
    <w:rsid w:val="410F2E6A"/>
    <w:rsid w:val="4430136C"/>
    <w:rsid w:val="4AB0382B"/>
    <w:rsid w:val="569868B5"/>
    <w:rsid w:val="5F7D6E33"/>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character" w:customStyle="1" w:styleId="13">
    <w:name w:val="批注框文本 Char"/>
    <w:basedOn w:val="9"/>
    <w:link w:val="3"/>
    <w:semiHidden/>
    <w:qFormat/>
    <w:uiPriority w:val="99"/>
    <w:rPr>
      <w:rFonts w:ascii="Calibri" w:hAnsi="Calibri" w:eastAsia="宋体" w:cs="Times New Roman"/>
      <w:kern w:val="2"/>
      <w:sz w:val="18"/>
      <w:szCs w:val="18"/>
    </w:rPr>
  </w:style>
  <w:style w:type="character" w:customStyle="1" w:styleId="14">
    <w:name w:val="批注文字 Char"/>
    <w:basedOn w:val="9"/>
    <w:link w:val="2"/>
    <w:semiHidden/>
    <w:qFormat/>
    <w:uiPriority w:val="99"/>
    <w:rPr>
      <w:rFonts w:ascii="Calibri" w:hAnsi="Calibri" w:eastAsia="宋体" w:cs="Times New Roman"/>
      <w:kern w:val="2"/>
      <w:sz w:val="21"/>
      <w:szCs w:val="22"/>
    </w:rPr>
  </w:style>
  <w:style w:type="character" w:customStyle="1" w:styleId="15">
    <w:name w:val="批注主题 Char"/>
    <w:basedOn w:val="14"/>
    <w:link w:val="6"/>
    <w:semiHidden/>
    <w:qFormat/>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7A2BC-B622-45C1-BD24-027D7745183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3733</Words>
  <Characters>4006</Characters>
  <Lines>31</Lines>
  <Paragraphs>8</Paragraphs>
  <TotalTime>21</TotalTime>
  <ScaleCrop>false</ScaleCrop>
  <LinksUpToDate>false</LinksUpToDate>
  <CharactersWithSpaces>4071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2023-06-12T04:47:00Z</dcterms:created>
  <dc:creator>juvg</dc:creator>
  <cp:lastModifiedBy>奶茶</cp:lastModifiedBy>
  <cp:lastPrinted>2024-09-27T06:54:34Z</cp:lastPrinted>
  <dcterms:modified xsi:type="dcterms:W3CDTF">2024-09-27T06:56:54Z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12AF4936C3914D00A9FFA899A88296E1</vt:lpwstr>
  </property>
</Properties>
</file>