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5"/>
        <w:gridCol w:w="1369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highlight w:val="yellow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2020571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雅思阅读与写作4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IELTS Reading &amp;Writing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李艳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Style w:val="8"/>
                <w:rFonts w:hint="eastAsia" w:eastAsia="宋体"/>
                <w:sz w:val="20"/>
                <w:szCs w:val="20"/>
                <w:lang w:eastAsia="zh-CN"/>
              </w:rPr>
              <w:t>21123</w:t>
            </w:r>
            <w:r>
              <w:rPr>
                <w:rStyle w:val="8"/>
                <w:rFonts w:eastAsia="宋体"/>
                <w:sz w:val="20"/>
                <w:szCs w:val="20"/>
                <w:lang w:eastAsia="zh-CN"/>
              </w:rPr>
              <w:t>@</w:t>
            </w:r>
            <w:r>
              <w:rPr>
                <w:rStyle w:val="8"/>
                <w:rFonts w:hint="eastAsia" w:eastAsia="宋体"/>
                <w:sz w:val="20"/>
                <w:szCs w:val="20"/>
                <w:lang w:eastAsia="zh-CN"/>
              </w:rPr>
              <w:t>gench.com</w:t>
            </w:r>
            <w:r>
              <w:rPr>
                <w:rStyle w:val="8"/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left="800" w:hanging="800" w:hangingChars="400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机制中美B2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工商管理B2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-3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B21-4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新闻学B2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1-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三</w:t>
            </w:r>
            <w:r>
              <w:rPr>
                <w:rFonts w:eastAsia="宋体"/>
                <w:sz w:val="20"/>
                <w:szCs w:val="20"/>
                <w:lang w:eastAsia="zh-CN"/>
              </w:rPr>
              <w:t>教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110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三</w:t>
            </w:r>
            <w:r>
              <w:rPr>
                <w:rFonts w:eastAsia="宋体"/>
                <w:sz w:val="20"/>
                <w:szCs w:val="20"/>
                <w:lang w:eastAsia="zh-CN"/>
              </w:rPr>
              <w:t>教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112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三</w:t>
            </w:r>
            <w:r>
              <w:rPr>
                <w:rFonts w:eastAsia="宋体"/>
                <w:sz w:val="20"/>
                <w:szCs w:val="20"/>
                <w:lang w:eastAsia="zh-CN"/>
              </w:rPr>
              <w:t>教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414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四</w:t>
            </w:r>
            <w:r>
              <w:rPr>
                <w:rFonts w:eastAsia="宋体"/>
                <w:sz w:val="20"/>
                <w:szCs w:val="20"/>
                <w:lang w:eastAsia="zh-CN"/>
              </w:rPr>
              <w:t>教3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周三 12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:45-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:30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， 周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四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 12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:45-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:30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  5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:45-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6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剑桥雅思真题集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13-14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15 </w:t>
            </w:r>
            <w:r>
              <w:rPr>
                <w:rFonts w:eastAsia="宋体"/>
                <w:color w:val="000000"/>
                <w:sz w:val="20"/>
                <w:szCs w:val="20"/>
              </w:rPr>
              <w:t xml:space="preserve"> IELTS Academic with Answers（作者：剑桥雅思考试委员会 / 剑桥大学出版社）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pStyle w:val="11"/>
              <w:snapToGrid w:val="0"/>
              <w:spacing w:line="288" w:lineRule="auto"/>
              <w:ind w:firstLine="0" w:firstLineChars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雅思考试英国文化协会官方指南IELTS British Council Official Guide（作者：英国文化协会 / 北京语言大学出版社）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eastAsia="仿宋"/>
          <w:b/>
          <w:color w:val="000000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pPr w:leftFromText="180" w:rightFromText="180" w:vertAnchor="text" w:horzAnchor="page" w:tblpX="1210" w:tblpY="110"/>
        <w:tblOverlap w:val="never"/>
        <w:tblW w:w="99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6000"/>
        <w:gridCol w:w="1339"/>
        <w:gridCol w:w="17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周次</w:t>
            </w:r>
          </w:p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教学内容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教学方式</w:t>
            </w:r>
          </w:p>
          <w:p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作业</w:t>
            </w:r>
          </w:p>
          <w:p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雅思阅读分类话题训练：科学技术类IELTS reading subject: Science and Technology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雅思阅读：阅读核心技能  (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略</w:t>
            </w:r>
            <w:r>
              <w:rPr>
                <w:rFonts w:eastAsia="宋体"/>
                <w:kern w:val="0"/>
                <w:sz w:val="20"/>
                <w:szCs w:val="20"/>
              </w:rPr>
              <w:t>读、寻读)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Core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reading strategies 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in IELTS </w:t>
            </w:r>
            <w:r>
              <w:rPr>
                <w:rFonts w:eastAsia="宋体"/>
                <w:kern w:val="0"/>
                <w:sz w:val="20"/>
                <w:szCs w:val="20"/>
              </w:rPr>
              <w:t>(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skimming and </w:t>
            </w:r>
            <w:r>
              <w:rPr>
                <w:rFonts w:eastAsia="宋体"/>
                <w:kern w:val="0"/>
                <w:sz w:val="20"/>
                <w:szCs w:val="20"/>
              </w:rPr>
              <w:t>scanning)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长难句分析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Understanding long and complex sentences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雅思阅读：</w:t>
            </w:r>
            <w:r>
              <w:rPr>
                <w:rFonts w:eastAsia="宋体"/>
                <w:kern w:val="0"/>
                <w:sz w:val="20"/>
                <w:szCs w:val="20"/>
              </w:rPr>
              <w:t>标题配对题</w:t>
            </w:r>
          </w:p>
          <w:p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Reading: 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matching headings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points, practice at class</w:t>
            </w:r>
          </w:p>
          <w:p>
            <w:pPr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阅读词汇复习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雅思真题集练习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Test 13-14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雅思写作大作文分类话题：教育类IELTS writing Task 2 Topic 1: Education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文章结构及论证方式回顾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A review of Task 2 essay structure and practice in topic development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教育类话题分类讲解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General topic information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主题词汇输入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Topic vocabulary input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主体段落输出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Develop an appropriate body paragraph on the relevant topic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模拟测试1（年级统一）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Mock exam 1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points, practice at class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  <w:p>
            <w:pPr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模拟测试1 Mock exam 1 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主题词汇句式运用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Making use of the topic vocabulary in written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雅思真题集练习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IELTS 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8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雅思阅读分类话题训练：社会话题类IELTS reading subject: Society and Social Issues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雅思阅读：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识别信息和作者观点解读；是非无判断题（T/F/NG）</w:t>
            </w:r>
          </w:p>
          <w:p>
            <w:pPr>
              <w:widowControl/>
              <w:rPr>
                <w:rFonts w:eastAsia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Reading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 Strategies</w:t>
            </w:r>
            <w:r>
              <w:rPr>
                <w:rFonts w:eastAsia="宋体"/>
                <w:kern w:val="0"/>
                <w:sz w:val="20"/>
                <w:szCs w:val="20"/>
              </w:rPr>
              <w:t>: Identifying information &amp;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 identifying Writer’s Views</w:t>
            </w:r>
            <w:r>
              <w:rPr>
                <w:rFonts w:eastAsia="宋体"/>
                <w:kern w:val="0"/>
                <w:sz w:val="20"/>
                <w:szCs w:val="20"/>
              </w:rPr>
              <w:t>(T/F/NG)</w:t>
            </w:r>
          </w:p>
          <w:p>
            <w:pPr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标题配对题List of heading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上下文判断词义Guessing the meaning of words from context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模拟测试2（年级统一）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Mock exam 2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points, practice at class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模拟测试2（年级统一）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Mock exam 2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阅读词汇复习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雅思真题集练习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雅思写作大作文分类话题：社会类IELTS writing Task 2 Topic 2: Society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社会类话题分类讲解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General topic information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主题词汇输入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Topic vocabulary input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段落论证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Develop a proper body paragraph on the relevant topic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points, practice at class</w:t>
            </w:r>
          </w:p>
          <w:p>
            <w:pPr>
              <w:widowControl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主题词汇句式运用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Making use of the topic vocabulary in written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雅思真题集练习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IELTS 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雅思阅读分类话题训练 商务及工作类 IELTS reading subject: business and work </w:t>
            </w:r>
          </w:p>
          <w:p>
            <w:pPr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雅思阅读：归纳摘要题 Summary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长难句分析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Understanding long and complex sentences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points; practice at class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阅读词汇复习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雅思真题集练习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雅思写作大作文分类话题：政府、环境、法律及全球化话题IELTS writing Task 2 Topic 3: Government, Environment, Law and Globalization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政府、环境、法律和全球化主题信息及关联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General topic information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主题词汇输入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Topic vocabulary input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段落论证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Develop a proper body paragraph on the relevant topic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points, practice at class</w:t>
            </w:r>
          </w:p>
          <w:p>
            <w:pPr>
              <w:widowControl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主题词汇句式运用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Making use of the topic vocabulary in written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雅思真题集练习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IELTS 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雅思阅读分类话题训练: 健康类话题 IELTS reading subject: Health and Fitness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雅思阅读：特征及信息匹配题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Reading: Matching features and other information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长难句分析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Understanding long and complex sentences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points; practice at class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阅读词汇复习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雅思真题练习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雅思写作大作文分类话题：媒体、科技及艺术话题IELTS writing Task 2 Topic 4: Media, Science and Technology, Arts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主题信息分类讲解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General topic information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主题词汇输入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Topic vocabulary input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段落论证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Develop a proper body paragraph on the relevant topic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points, practice at class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  <w:p>
            <w:pPr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主题词汇句式运用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Making use of the topic vocabulary in written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雅思真题集练习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IELTS 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雅思阅读分类话题训练: 艺术与文化、语言与交际IELTS reading subject: Art and Culture, Language and communication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阅读：句子结尾匹配题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Reading: Matching sentence endings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文章结构分析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Understanding the structure of a passage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points; practice at class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阅读词汇复习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雅思真题练习</w:t>
            </w:r>
          </w:p>
          <w:p>
            <w:pPr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雅思写作小作文：组合图形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IELTS Reading Task 1: Combined diagrams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分析图形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Analyzing diagrams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总结信息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Summarizing the main information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信息比较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Making comparisons of the relevant information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points, practice at class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雅思真题集练习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IELTS 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雅思阅读分类话题训练: 环境类 IELTS reading subject: Environment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阅读：选择题和</w:t>
            </w:r>
            <w:r>
              <w:rPr>
                <w:rFonts w:eastAsia="宋体"/>
                <w:kern w:val="0"/>
                <w:sz w:val="20"/>
                <w:szCs w:val="20"/>
              </w:rPr>
              <w:t>简答题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Reading: Multiple choices and </w:t>
            </w:r>
            <w:r>
              <w:rPr>
                <w:rFonts w:eastAsia="宋体"/>
                <w:kern w:val="0"/>
                <w:sz w:val="20"/>
                <w:szCs w:val="20"/>
              </w:rPr>
              <w:t>Short-answer questions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长难句分析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Understanding long and complex sentences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points; practice at class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阅读词汇复习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雅思真题练习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Test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1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雅思写作小作文：地图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IELTS Reading Task 1: Maps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分析图形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Analyzing diagrams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文章结构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Structuring the essay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描述变化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Describing changes made in the maps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总结信息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Summarizing the main information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points, practice at class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雅思真题集练习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IELTS 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雅思阅读分类话题训练: 旅游交通、娱乐休闲及其他话题IELTS reading subject: Tourism and Transport , leisure and entertainment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阅读：分类题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Reading: Classification Exercises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文章结构分析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Understanding the structure of a passage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points; practice at class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阅读词汇复习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雅思真题练习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雅思写作小作文：流程图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IELTS Reading Task 1: Flow charts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分析图形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Analyzing diagrams and a profound understanding of the processes in the charts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文章结构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Structuring the essay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描述过程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Describing the processes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总结信息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Summarizing the main information 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points, practice at class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雅思真题集练习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IELTS 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综合练习 1</w:t>
            </w:r>
          </w:p>
          <w:p>
            <w:pPr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Practice 1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points; practice at class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阅读词汇复习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雅思真题练习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in Cambridge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Test 13-14-15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6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综合练习 2</w:t>
            </w:r>
          </w:p>
          <w:p>
            <w:pPr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Practice 2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讲练结合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Demonstration of key points; practice at class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阅读词汇复习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雅思真题练习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Exercises in Cambridge Test 13-14-15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 xml:space="preserve">例 </w:t>
      </w:r>
    </w:p>
    <w:tbl>
      <w:tblPr>
        <w:tblStyle w:val="5"/>
        <w:tblpPr w:leftFromText="180" w:rightFromText="180" w:vertAnchor="text" w:horzAnchor="page" w:tblpX="1777" w:tblpY="6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48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总评构成（1+X）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评价方式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47" w:type="dxa"/>
            <w:vAlign w:val="center"/>
          </w:tcPr>
          <w:p>
            <w:pPr>
              <w:spacing w:line="288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期末考试</w:t>
            </w:r>
          </w:p>
          <w:p>
            <w:pPr>
              <w:spacing w:line="288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Final Examination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X1 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阅读测试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Reading Examination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X2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写作测试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Writing Examination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X3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课堂表现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s2051" o:spid="_x0000_s2051" o:spt="75" alt="610be3eb947e6c7a679288cb116abba" type="#_x0000_t75" style="position:absolute;left:0pt;margin-left:167.85pt;margin-top:11.35pt;height:59.55pt;width:140.7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</v:shape>
              </w:pic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Class Performance 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： </w:t>
      </w:r>
      <w:r>
        <w:pict>
          <v:shape id="_x0000_s2050" o:spid="_x0000_s2050" o:spt="75" alt="" type="#_x0000_t75" style="position:absolute;left:0pt;margin-left:77pt;margin-top:239.2pt;height:32.25pt;width:37.5pt;z-index:251660288;mso-width-relative:page;mso-height-relative:page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</v:shape>
        </w:pic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bookmarkStart w:id="0" w:name="_GoBack"/>
      <w:bookmarkEnd w:id="0"/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2023.9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                                                     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135" w:left="1588" w:header="567" w:footer="488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pict>
        <v:shape id="_x0000_i1025" o:spt="75" type="#_x0000_t75" style="height:19.2pt;width:521.4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rect id="文本框 1" o:spid="_x0000_s1025" o:spt="1" style="position:absolute;left:0pt;margin-left:42.55pt;margin-top:28.3pt;height:22.1pt;width:207.5pt;mso-position-horizontal-relative:page;mso-position-vertical-relative:page;z-index:251659264;mso-width-relative:page;mso-height-relative:page;" o:preferrelative="t" stroked="f" coordsize="21600,21600">
          <v:path/>
          <v:fill focussize="0,0"/>
          <v:stroke on="f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pict>
        <v:shape id="Picture 10" o:spid="_x0000_s1026" o:spt="75" type="#_x0000_t75" style="position:absolute;left:0pt;margin-left:-2.2pt;margin-top:-2.65pt;height:28.8pt;width:525.05pt;mso-wrap-distance-left:9pt;mso-wrap-distance-right:9pt;z-index:-251654144;mso-width-relative:page;mso-height-relative:page;" filled="f" o:preferrelative="t" stroked="f" coordsize="21600,21600" wrapcoords="0 0 0 20250 21536 20250 21536 0 0 0">
          <v:path/>
          <v:fill on="f" focussize="0,0"/>
          <v:stroke on="f" joinstyle="miter"/>
          <v:imagedata r:id="rId1" cropbottom="52158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80"/>
  <w:drawingGridHorizontalSpacing w:val="120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mYTJjZTAxZWYzN2RlODRkZTdjOTgxYmEwZmVhMjQifQ=="/>
  </w:docVars>
  <w:rsids>
    <w:rsidRoot w:val="00071F2A"/>
    <w:rsid w:val="00071F2A"/>
    <w:rsid w:val="000D229B"/>
    <w:rsid w:val="0021761D"/>
    <w:rsid w:val="002603BF"/>
    <w:rsid w:val="002868A6"/>
    <w:rsid w:val="00295031"/>
    <w:rsid w:val="002A0401"/>
    <w:rsid w:val="002B3F9E"/>
    <w:rsid w:val="002B63E0"/>
    <w:rsid w:val="002C3C1D"/>
    <w:rsid w:val="002C65EA"/>
    <w:rsid w:val="002E38BA"/>
    <w:rsid w:val="002F0084"/>
    <w:rsid w:val="00301707"/>
    <w:rsid w:val="003242BE"/>
    <w:rsid w:val="003B0D26"/>
    <w:rsid w:val="00495187"/>
    <w:rsid w:val="004A2540"/>
    <w:rsid w:val="004B6C05"/>
    <w:rsid w:val="0052173B"/>
    <w:rsid w:val="0053366F"/>
    <w:rsid w:val="0056799F"/>
    <w:rsid w:val="005A4245"/>
    <w:rsid w:val="005D165C"/>
    <w:rsid w:val="005F6066"/>
    <w:rsid w:val="006115C0"/>
    <w:rsid w:val="006914FA"/>
    <w:rsid w:val="00695688"/>
    <w:rsid w:val="006C2880"/>
    <w:rsid w:val="006E1F09"/>
    <w:rsid w:val="007317C0"/>
    <w:rsid w:val="00782A07"/>
    <w:rsid w:val="008154BC"/>
    <w:rsid w:val="0084214E"/>
    <w:rsid w:val="0088321E"/>
    <w:rsid w:val="008B76F6"/>
    <w:rsid w:val="008E2CF5"/>
    <w:rsid w:val="00972197"/>
    <w:rsid w:val="009A0629"/>
    <w:rsid w:val="009B677E"/>
    <w:rsid w:val="009C05E6"/>
    <w:rsid w:val="009E2D87"/>
    <w:rsid w:val="00A46308"/>
    <w:rsid w:val="00A67E63"/>
    <w:rsid w:val="00A86E1C"/>
    <w:rsid w:val="00B73635"/>
    <w:rsid w:val="00BA74AD"/>
    <w:rsid w:val="00C46C28"/>
    <w:rsid w:val="00C91008"/>
    <w:rsid w:val="00CA465B"/>
    <w:rsid w:val="00CB7E8F"/>
    <w:rsid w:val="00CD1A9A"/>
    <w:rsid w:val="00D8175F"/>
    <w:rsid w:val="00DC56E7"/>
    <w:rsid w:val="00DE71D3"/>
    <w:rsid w:val="00E110A7"/>
    <w:rsid w:val="00F45CB3"/>
    <w:rsid w:val="00FE2980"/>
    <w:rsid w:val="0C6F3091"/>
    <w:rsid w:val="2C075F57"/>
    <w:rsid w:val="41C67754"/>
    <w:rsid w:val="44E23A09"/>
    <w:rsid w:val="49F91C60"/>
    <w:rsid w:val="510C7DC1"/>
    <w:rsid w:val="78202797"/>
    <w:rsid w:val="7AD7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annotation reference"/>
    <w:semiHidden/>
    <w:unhideWhenUsed/>
    <w:qFormat/>
    <w:uiPriority w:val="0"/>
    <w:rPr>
      <w:sz w:val="21"/>
      <w:szCs w:val="21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1745</Words>
  <Characters>4910</Characters>
  <Lines>43</Lines>
  <Paragraphs>12</Paragraphs>
  <TotalTime>2</TotalTime>
  <ScaleCrop>false</ScaleCrop>
  <LinksUpToDate>false</LinksUpToDate>
  <CharactersWithSpaces>5570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2021-02-27T11:52:00Z</dcterms:created>
  <dc:creator>*****</dc:creator>
  <cp:lastModifiedBy>Administrator</cp:lastModifiedBy>
  <cp:lastPrinted>2015-03-18T03:45:00Z</cp:lastPrinted>
  <dcterms:modified xsi:type="dcterms:W3CDTF">2023-03-07T05:25:47Z</dcterms:modified>
  <dc:title>上海建桥学院教学进度计划表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RubyTemplateID">
    <vt:lpwstr>6</vt:lpwstr>
  </property>
  <property fmtid="{D5CDD505-2E9C-101B-9397-08002B2CF9AE}" pid="4" name="ICV">
    <vt:lpwstr>47A1D6D602BD4BF494FEF6EC58EAF97A</vt:lpwstr>
  </property>
</Properties>
</file>