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2B16E">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英语阅读（1）</w:t>
      </w:r>
      <w:r>
        <w:rPr>
          <w:rFonts w:ascii="黑体" w:hAnsi="黑体" w:eastAsia="黑体"/>
          <w:bCs/>
          <w:sz w:val="32"/>
          <w:szCs w:val="32"/>
        </w:rPr>
        <w:t xml:space="preserve"> </w:t>
      </w:r>
      <w:r>
        <w:rPr>
          <w:rFonts w:hint="eastAsia" w:ascii="黑体" w:hAnsi="黑体" w:eastAsia="黑体"/>
          <w:bCs/>
          <w:sz w:val="32"/>
          <w:szCs w:val="32"/>
        </w:rPr>
        <w:t>》本科课程教学大纲</w:t>
      </w:r>
    </w:p>
    <w:p w14:paraId="60DB341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598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FC626B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ACDAA8B">
            <w:pPr>
              <w:widowControl w:val="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英语阅读（1）</w:t>
            </w:r>
          </w:p>
        </w:tc>
      </w:tr>
      <w:tr w14:paraId="3C99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E04E69F">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A98F49C">
            <w:pPr>
              <w:widowControl w:val="0"/>
              <w:jc w:val="both"/>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English Reading (1)</w:t>
            </w:r>
          </w:p>
        </w:tc>
      </w:tr>
      <w:tr w14:paraId="4A1F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3F189C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6DE567C">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2020166</w:t>
            </w:r>
          </w:p>
        </w:tc>
        <w:tc>
          <w:tcPr>
            <w:tcW w:w="2126" w:type="dxa"/>
            <w:gridSpan w:val="2"/>
            <w:vAlign w:val="center"/>
          </w:tcPr>
          <w:p w14:paraId="535CC925">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8ED89EC">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72DC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C17A8C">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328EABE">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5A56FCE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D655FA4">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37C164B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86F8D70">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7499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3E542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AE00086">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65E11F9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43DE2D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英语专业本科一年级</w:t>
            </w:r>
          </w:p>
        </w:tc>
      </w:tr>
      <w:tr w14:paraId="735A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69BDB9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435A8AF">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38DF63D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3509A0A">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6837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3E63D9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DE5668F">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&lt;&lt;英语泛读教程1&gt;&gt;刘乃银、978704</w:t>
            </w:r>
            <w:r>
              <w:rPr>
                <w:rFonts w:hint="eastAsia"/>
                <w:color w:val="000000" w:themeColor="text1"/>
                <w:sz w:val="21"/>
                <w:szCs w:val="21"/>
                <w:lang w:val="en-US" w:eastAsia="zh-CN"/>
                <w14:textFill>
                  <w14:solidFill>
                    <w14:schemeClr w14:val="tx1"/>
                  </w14:solidFill>
                </w14:textFill>
              </w:rPr>
              <w:t>0623079</w:t>
            </w:r>
            <w:r>
              <w:rPr>
                <w:rFonts w:hint="eastAsia"/>
                <w:color w:val="000000" w:themeColor="text1"/>
                <w:sz w:val="21"/>
                <w:szCs w:val="21"/>
                <w14:textFill>
                  <w14:solidFill>
                    <w14:schemeClr w14:val="tx1"/>
                  </w14:solidFill>
                </w14:textFill>
              </w:rPr>
              <w:t>、高等教育出版社、第</w:t>
            </w:r>
            <w:r>
              <w:rPr>
                <w:rFonts w:hint="eastAsia"/>
                <w:color w:val="000000" w:themeColor="text1"/>
                <w:sz w:val="21"/>
                <w:szCs w:val="21"/>
                <w:lang w:val="en-US" w:eastAsia="zh-CN"/>
                <w14:textFill>
                  <w14:solidFill>
                    <w14:schemeClr w14:val="tx1"/>
                  </w14:solidFill>
                </w14:textFill>
              </w:rPr>
              <w:t>四</w:t>
            </w:r>
            <w:r>
              <w:rPr>
                <w:rFonts w:hint="eastAsia"/>
                <w:color w:val="000000" w:themeColor="text1"/>
                <w:sz w:val="21"/>
                <w:szCs w:val="21"/>
                <w14:textFill>
                  <w14:solidFill>
                    <w14:schemeClr w14:val="tx1"/>
                  </w14:solidFill>
                </w14:textFill>
              </w:rPr>
              <w:t>版</w:t>
            </w:r>
          </w:p>
        </w:tc>
        <w:tc>
          <w:tcPr>
            <w:tcW w:w="1413" w:type="dxa"/>
            <w:gridSpan w:val="2"/>
            <w:vAlign w:val="center"/>
          </w:tcPr>
          <w:p w14:paraId="369F0FA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AD00CA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404EED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86F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1B33885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71233F9">
            <w:pPr>
              <w:pStyle w:val="14"/>
              <w:widowControl w:val="0"/>
              <w:jc w:val="both"/>
            </w:pPr>
            <w:r>
              <w:rPr>
                <w:rFonts w:hint="eastAsia"/>
              </w:rPr>
              <w:t>高中英语</w:t>
            </w:r>
          </w:p>
        </w:tc>
      </w:tr>
      <w:tr w14:paraId="1449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2D6762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8E0293D">
            <w:pPr>
              <w:pStyle w:val="14"/>
              <w:widowControl w:val="0"/>
              <w:jc w:val="both"/>
            </w:pPr>
            <w:r>
              <w:rPr>
                <w:rFonts w:hint="eastAsia"/>
              </w:rPr>
              <w:t>一、目的</w:t>
            </w:r>
          </w:p>
          <w:p w14:paraId="1C5DBA08">
            <w:pPr>
              <w:pStyle w:val="14"/>
              <w:widowControl w:val="0"/>
              <w:jc w:val="both"/>
            </w:pPr>
            <w:r>
              <w:rPr>
                <w:rFonts w:hint="eastAsia"/>
              </w:rPr>
              <w:t>英语阅读是提高英语语言能力的有效途径。在阅读中，学生能够积累词汇，学习语法，熟悉语言结构，提高语感和综合素养，培养国际视野和跨文化交流能力。因此，英语阅读课在专业课程设置中至关重要。</w:t>
            </w:r>
          </w:p>
          <w:p w14:paraId="2088CF71">
            <w:pPr>
              <w:pStyle w:val="14"/>
              <w:widowControl w:val="0"/>
              <w:jc w:val="both"/>
            </w:pPr>
            <w:r>
              <w:rPr>
                <w:rFonts w:hint="eastAsia"/>
              </w:rPr>
              <w:t xml:space="preserve">二、内容     </w:t>
            </w:r>
          </w:p>
          <w:p w14:paraId="3D9B7152">
            <w:pPr>
              <w:pStyle w:val="14"/>
              <w:widowControl w:val="0"/>
              <w:jc w:val="both"/>
            </w:pPr>
            <w:r>
              <w:rPr>
                <w:rFonts w:hint="eastAsia"/>
              </w:rPr>
              <w:t>本课程重点研究英语阅读的基本原理、阅读技巧和实践方法。课堂教学贯穿以学生为主体、教师为主导的教学模式，采用启发式、讨论式和研究式的教学方法，同时辅以大量的阅读实践。课程内容涉及英语国家的经济、文化、历史、文学、风土人情等各个领域，涵盖略读、细读和寻读等阅读技能。课程以隐性教育的方式深挖教材中的思政元素、育人元素，通过拓展阅读、小组讨论、小组演示、同伴互助等多种课堂教学方法，将社会主义核心价值观和优秀中华文化传统融入专业知识。</w:t>
            </w:r>
          </w:p>
          <w:p w14:paraId="119D6F43">
            <w:pPr>
              <w:pStyle w:val="14"/>
              <w:widowControl w:val="0"/>
              <w:jc w:val="both"/>
            </w:pPr>
            <w:r>
              <w:rPr>
                <w:rFonts w:hint="eastAsia"/>
              </w:rPr>
              <w:t>三、预期成果</w:t>
            </w:r>
          </w:p>
          <w:p w14:paraId="53204940">
            <w:pPr>
              <w:pStyle w:val="14"/>
              <w:widowControl w:val="0"/>
              <w:jc w:val="both"/>
            </w:pPr>
            <w:r>
              <w:rPr>
                <w:rFonts w:hint="eastAsia"/>
              </w:rPr>
              <w:t>通过本课程学习，学生能培养多种思维能力以及发现问题、解决难题等创新能力。学生还能获得更多的国际化的信息和资讯，增加就业机会。</w:t>
            </w:r>
          </w:p>
        </w:tc>
      </w:tr>
      <w:tr w14:paraId="6787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6E80F9F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9D72C16">
            <w:pPr>
              <w:pStyle w:val="14"/>
              <w:widowControl w:val="0"/>
              <w:jc w:val="both"/>
            </w:pPr>
            <w:r>
              <w:rPr>
                <w:rFonts w:hint="eastAsia"/>
              </w:rPr>
              <w:t>本课程适合英语专业一年级学生第1学期学习，学习基础为修完高中英语。要求学生具有一定的语法、词汇和阅读积累。</w:t>
            </w:r>
          </w:p>
        </w:tc>
      </w:tr>
      <w:tr w14:paraId="6828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1" w:hRule="atLeast"/>
        </w:trPr>
        <w:tc>
          <w:tcPr>
            <w:tcW w:w="1691" w:type="dxa"/>
            <w:tcBorders>
              <w:top w:val="double" w:color="auto" w:sz="4" w:space="0"/>
              <w:left w:val="single" w:color="auto" w:sz="12" w:space="0"/>
            </w:tcBorders>
            <w:shd w:val="clear" w:color="auto" w:fill="auto"/>
            <w:vAlign w:val="center"/>
          </w:tcPr>
          <w:p w14:paraId="6B4685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181E0FD">
            <w:pPr>
              <w:widowControl w:val="0"/>
              <w:jc w:val="left"/>
              <w:rPr>
                <w:rFonts w:ascii="黑体" w:hAnsi="黑体" w:eastAsia="黑体"/>
                <w:color w:val="000000" w:themeColor="text1"/>
                <w:sz w:val="21"/>
                <w:szCs w:val="21"/>
                <w14:textFill>
                  <w14:solidFill>
                    <w14:schemeClr w14:val="tx1"/>
                  </w14:solidFill>
                </w14:textFill>
              </w:rPr>
            </w:pPr>
            <w:r>
              <w:rPr>
                <w:rFonts w:ascii="仿宋" w:hAnsi="仿宋" w:eastAsia="仿宋" w:cs="仿宋"/>
                <w:bCs/>
                <w:color w:val="000000"/>
                <w:sz w:val="24"/>
              </w:rPr>
              <w:drawing>
                <wp:anchor distT="0" distB="0" distL="114300" distR="114300" simplePos="0" relativeHeight="251660288" behindDoc="0" locked="0" layoutInCell="1" allowOverlap="1">
                  <wp:simplePos x="0" y="0"/>
                  <wp:positionH relativeFrom="column">
                    <wp:posOffset>67310</wp:posOffset>
                  </wp:positionH>
                  <wp:positionV relativeFrom="paragraph">
                    <wp:posOffset>93980</wp:posOffset>
                  </wp:positionV>
                  <wp:extent cx="655955" cy="274320"/>
                  <wp:effectExtent l="0" t="0" r="10795" b="1143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55955" cy="274320"/>
                          </a:xfrm>
                          <a:prstGeom prst="rect">
                            <a:avLst/>
                          </a:prstGeom>
                        </pic:spPr>
                      </pic:pic>
                    </a:graphicData>
                  </a:graphic>
                </wp:anchor>
              </w:drawing>
            </w:r>
            <w:r>
              <w:rPr>
                <w:rFonts w:hint="eastAsia"/>
                <w:sz w:val="21"/>
                <w:szCs w:val="21"/>
              </w:rPr>
              <w:t xml:space="preserve">     </w:t>
            </w:r>
          </w:p>
        </w:tc>
        <w:tc>
          <w:tcPr>
            <w:tcW w:w="1425" w:type="dxa"/>
            <w:gridSpan w:val="2"/>
            <w:tcBorders>
              <w:top w:val="double" w:color="auto" w:sz="4" w:space="0"/>
            </w:tcBorders>
            <w:vAlign w:val="center"/>
          </w:tcPr>
          <w:p w14:paraId="500069A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5354761">
            <w:pPr>
              <w:widowControl w:val="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202</w:t>
            </w:r>
            <w:r>
              <w:rPr>
                <w:rFonts w:hint="eastAsia" w:ascii="Times New Roman" w:hAnsi="Times New Roman"/>
                <w:color w:val="000000" w:themeColor="text1"/>
                <w:sz w:val="21"/>
                <w:szCs w:val="21"/>
                <w:lang w:val="en-US" w:eastAsia="zh-CN"/>
                <w14:textFill>
                  <w14:solidFill>
                    <w14:schemeClr w14:val="tx1"/>
                  </w14:solidFill>
                </w14:textFill>
              </w:rPr>
              <w:t>5</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9</w:t>
            </w:r>
          </w:p>
        </w:tc>
      </w:tr>
      <w:tr w14:paraId="263F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4" w:hRule="atLeast"/>
        </w:trPr>
        <w:tc>
          <w:tcPr>
            <w:tcW w:w="1691" w:type="dxa"/>
            <w:tcBorders>
              <w:left w:val="single" w:color="auto" w:sz="12" w:space="0"/>
            </w:tcBorders>
            <w:shd w:val="clear" w:color="auto" w:fill="auto"/>
            <w:vAlign w:val="center"/>
          </w:tcPr>
          <w:p w14:paraId="79DA500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2E9BA14">
            <w:pPr>
              <w:widowControl w:val="0"/>
              <w:jc w:val="both"/>
              <w:rPr>
                <w:rFonts w:ascii="黑体" w:hAnsi="黑体" w:eastAsia="黑体"/>
                <w:color w:val="000000" w:themeColor="text1"/>
                <w:sz w:val="21"/>
                <w:szCs w:val="21"/>
                <w14:textFill>
                  <w14:solidFill>
                    <w14:schemeClr w14:val="tx1"/>
                  </w14:solidFill>
                </w14:textFill>
              </w:rPr>
            </w:pPr>
            <w:r>
              <w:rPr>
                <w:rFonts w:ascii="Times New Roman" w:hAnsi="Times New Roman" w:eastAsia="宋体" w:cs="Times New Roman"/>
                <w:sz w:val="24"/>
                <w:szCs w:val="24"/>
              </w:rPr>
              <w:drawing>
                <wp:anchor distT="0" distB="0" distL="114300" distR="114300" simplePos="0" relativeHeight="251661312" behindDoc="1" locked="0" layoutInCell="1" allowOverlap="1">
                  <wp:simplePos x="0" y="0"/>
                  <wp:positionH relativeFrom="column">
                    <wp:posOffset>60325</wp:posOffset>
                  </wp:positionH>
                  <wp:positionV relativeFrom="paragraph">
                    <wp:posOffset>97155</wp:posOffset>
                  </wp:positionV>
                  <wp:extent cx="1053465" cy="447040"/>
                  <wp:effectExtent l="0" t="0" r="13335" b="10160"/>
                  <wp:wrapTight wrapText="bothSides">
                    <wp:wrapPolygon>
                      <wp:start x="0" y="0"/>
                      <wp:lineTo x="0" y="20618"/>
                      <wp:lineTo x="21248" y="20618"/>
                      <wp:lineTo x="21248"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biLevel thresh="50000"/>
                            <a:grayscl/>
                          </a:blip>
                          <a:stretch>
                            <a:fillRect/>
                          </a:stretch>
                        </pic:blipFill>
                        <pic:spPr>
                          <a:xfrm>
                            <a:off x="0" y="0"/>
                            <a:ext cx="1053465" cy="447040"/>
                          </a:xfrm>
                          <a:prstGeom prst="rect">
                            <a:avLst/>
                          </a:prstGeom>
                          <a:noFill/>
                          <a:ln>
                            <a:noFill/>
                          </a:ln>
                        </pic:spPr>
                      </pic:pic>
                    </a:graphicData>
                  </a:graphic>
                </wp:anchor>
              </w:drawing>
            </w:r>
            <w:r>
              <w:rPr>
                <w:rFonts w:hint="eastAsia"/>
                <w:sz w:val="21"/>
                <w:szCs w:val="21"/>
              </w:rPr>
              <w:t xml:space="preserve">       </w:t>
            </w:r>
          </w:p>
        </w:tc>
        <w:tc>
          <w:tcPr>
            <w:tcW w:w="1425" w:type="dxa"/>
            <w:gridSpan w:val="2"/>
            <w:vAlign w:val="center"/>
          </w:tcPr>
          <w:p w14:paraId="3D01617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E6F4FF1">
            <w:pPr>
              <w:widowControl w:val="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202</w:t>
            </w:r>
            <w:r>
              <w:rPr>
                <w:rFonts w:hint="eastAsia" w:ascii="Times New Roman" w:hAnsi="Times New Roman"/>
                <w:color w:val="000000" w:themeColor="text1"/>
                <w:sz w:val="21"/>
                <w:szCs w:val="21"/>
                <w:lang w:val="en-US" w:eastAsia="zh-CN"/>
                <w14:textFill>
                  <w14:solidFill>
                    <w14:schemeClr w14:val="tx1"/>
                  </w14:solidFill>
                </w14:textFill>
              </w:rPr>
              <w:t>5</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9</w:t>
            </w:r>
          </w:p>
        </w:tc>
      </w:tr>
      <w:tr w14:paraId="7819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8" w:hRule="atLeast"/>
        </w:trPr>
        <w:tc>
          <w:tcPr>
            <w:tcW w:w="1691" w:type="dxa"/>
            <w:tcBorders>
              <w:left w:val="single" w:color="auto" w:sz="12" w:space="0"/>
              <w:bottom w:val="single" w:color="auto" w:sz="12" w:space="0"/>
            </w:tcBorders>
            <w:shd w:val="clear" w:color="auto" w:fill="auto"/>
            <w:vAlign w:val="center"/>
          </w:tcPr>
          <w:p w14:paraId="02D2DB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0D513A3">
            <w:pPr>
              <w:widowControl w:val="0"/>
              <w:ind w:right="840"/>
              <w:jc w:val="center"/>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839470" cy="517525"/>
                  <wp:effectExtent l="0" t="0" r="17780" b="15875"/>
                  <wp:docPr id="1" name="图片 1" descr="王院长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院长签名"/>
                          <pic:cNvPicPr>
                            <a:picLocks noChangeAspect="1"/>
                          </pic:cNvPicPr>
                        </pic:nvPicPr>
                        <pic:blipFill>
                          <a:blip r:embed="rId7"/>
                          <a:stretch>
                            <a:fillRect/>
                          </a:stretch>
                        </pic:blipFill>
                        <pic:spPr>
                          <a:xfrm>
                            <a:off x="0" y="0"/>
                            <a:ext cx="839470" cy="517525"/>
                          </a:xfrm>
                          <a:prstGeom prst="rect">
                            <a:avLst/>
                          </a:prstGeom>
                        </pic:spPr>
                      </pic:pic>
                    </a:graphicData>
                  </a:graphic>
                </wp:inline>
              </w:drawing>
            </w:r>
          </w:p>
        </w:tc>
        <w:tc>
          <w:tcPr>
            <w:tcW w:w="1425" w:type="dxa"/>
            <w:gridSpan w:val="2"/>
            <w:tcBorders>
              <w:bottom w:val="single" w:color="auto" w:sz="12" w:space="0"/>
            </w:tcBorders>
            <w:vAlign w:val="center"/>
          </w:tcPr>
          <w:p w14:paraId="6D72513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132E847">
            <w:pPr>
              <w:widowControl w:val="0"/>
              <w:jc w:val="center"/>
              <w:rPr>
                <w:rFonts w:hint="default" w:ascii="Times New Roman" w:hAnsi="Times New Roman" w:eastAsia="宋体"/>
                <w:color w:val="FF0000"/>
                <w:sz w:val="21"/>
                <w:szCs w:val="21"/>
                <w:lang w:val="en-US" w:eastAsia="zh-CN"/>
              </w:rPr>
            </w:pPr>
            <w:r>
              <w:rPr>
                <w:rFonts w:hint="eastAsia" w:ascii="Times New Roman" w:hAnsi="Times New Roman"/>
                <w:color w:val="000000" w:themeColor="text1"/>
                <w:sz w:val="21"/>
                <w:szCs w:val="21"/>
                <w14:textFill>
                  <w14:solidFill>
                    <w14:schemeClr w14:val="tx1"/>
                  </w14:solidFill>
                </w14:textFill>
              </w:rPr>
              <w:t>202</w:t>
            </w:r>
            <w:r>
              <w:rPr>
                <w:rFonts w:hint="eastAsia" w:ascii="Times New Roman" w:hAnsi="Times New Roman"/>
                <w:color w:val="000000" w:themeColor="text1"/>
                <w:sz w:val="21"/>
                <w:szCs w:val="21"/>
                <w:lang w:val="en-US" w:eastAsia="zh-CN"/>
                <w14:textFill>
                  <w14:solidFill>
                    <w14:schemeClr w14:val="tx1"/>
                  </w14:solidFill>
                </w14:textFill>
              </w:rPr>
              <w:t>5</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9</w:t>
            </w:r>
            <w:bookmarkStart w:id="6" w:name="_GoBack"/>
            <w:bookmarkEnd w:id="6"/>
          </w:p>
        </w:tc>
      </w:tr>
    </w:tbl>
    <w:p w14:paraId="401745B6">
      <w:pPr>
        <w:pStyle w:val="16"/>
        <w:spacing w:before="326" w:beforeLines="100" w:line="360" w:lineRule="auto"/>
        <w:rPr>
          <w:rFonts w:ascii="黑体" w:hAnsi="宋体"/>
        </w:rPr>
      </w:pPr>
      <w:r>
        <w:rPr>
          <w:rFonts w:hint="eastAsia" w:ascii="黑体" w:hAnsi="宋体"/>
        </w:rPr>
        <w:t>二、课程目标与毕业要求</w:t>
      </w:r>
    </w:p>
    <w:p w14:paraId="2B405FD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E7FE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8" w:type="dxa"/>
            <w:vAlign w:val="center"/>
          </w:tcPr>
          <w:p w14:paraId="52375FA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6" w:type="dxa"/>
            <w:shd w:val="clear" w:color="auto" w:fill="auto"/>
            <w:vAlign w:val="center"/>
          </w:tcPr>
          <w:p w14:paraId="3EB83EC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2" w:type="dxa"/>
            <w:vAlign w:val="center"/>
          </w:tcPr>
          <w:p w14:paraId="50B82D0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5C21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Align w:val="center"/>
          </w:tcPr>
          <w:p w14:paraId="2216A359">
            <w:pPr>
              <w:snapToGrid w:val="0"/>
              <w:jc w:val="center"/>
            </w:pPr>
            <w:r>
              <w:rPr>
                <w:rFonts w:hint="eastAsia" w:ascii="黑体" w:hAnsi="黑体" w:eastAsia="黑体"/>
                <w:bCs/>
                <w:color w:val="000000"/>
                <w:sz w:val="21"/>
                <w:szCs w:val="18"/>
              </w:rPr>
              <w:t>知识目标</w:t>
            </w:r>
          </w:p>
        </w:tc>
        <w:tc>
          <w:tcPr>
            <w:tcW w:w="786" w:type="dxa"/>
            <w:shd w:val="clear" w:color="auto" w:fill="auto"/>
            <w:vAlign w:val="center"/>
          </w:tcPr>
          <w:p w14:paraId="0C44059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2" w:type="dxa"/>
            <w:vAlign w:val="center"/>
          </w:tcPr>
          <w:p w14:paraId="5DA04508">
            <w:pPr>
              <w:pStyle w:val="14"/>
              <w:jc w:val="left"/>
              <w:rPr>
                <w:rFonts w:ascii="宋体" w:hAnsi="宋体"/>
                <w:bCs/>
              </w:rPr>
            </w:pPr>
            <w:r>
              <w:rPr>
                <w:rFonts w:hint="eastAsia" w:cs="Times New Roman"/>
                <w:bCs/>
                <w:lang w:val="en-US" w:eastAsia="zh-CN"/>
              </w:rPr>
              <w:t>能</w:t>
            </w:r>
            <w:r>
              <w:rPr>
                <w:rFonts w:hint="eastAsia" w:ascii="宋体" w:hAnsi="宋体"/>
                <w:bCs/>
                <w:lang w:val="en-US" w:eastAsia="zh-CN"/>
              </w:rPr>
              <w:t>掌握</w:t>
            </w:r>
            <w:r>
              <w:rPr>
                <w:rFonts w:hint="eastAsia" w:ascii="宋体" w:hAnsi="宋体"/>
                <w:bCs/>
              </w:rPr>
              <w:t>本册</w:t>
            </w:r>
            <w:r>
              <w:rPr>
                <w:rFonts w:hint="eastAsia" w:ascii="宋体" w:hAnsi="宋体"/>
                <w:bCs/>
                <w:lang w:val="en-US" w:eastAsia="zh-CN"/>
              </w:rPr>
              <w:t>教材所</w:t>
            </w:r>
            <w:r>
              <w:rPr>
                <w:rFonts w:hint="eastAsia" w:ascii="宋体" w:hAnsi="宋体"/>
                <w:bCs/>
              </w:rPr>
              <w:t>覆盖的重点单词、</w:t>
            </w:r>
            <w:r>
              <w:rPr>
                <w:rFonts w:hint="eastAsia" w:ascii="宋体" w:hAnsi="宋体"/>
                <w:bCs/>
                <w:lang w:val="en-US" w:eastAsia="zh-CN"/>
              </w:rPr>
              <w:t>语法知识并理解</w:t>
            </w:r>
            <w:r>
              <w:rPr>
                <w:rFonts w:hint="eastAsia" w:ascii="宋体" w:hAnsi="宋体"/>
                <w:bCs/>
              </w:rPr>
              <w:t>长难句。</w:t>
            </w:r>
          </w:p>
        </w:tc>
      </w:tr>
      <w:tr w14:paraId="75C6A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0881FF06">
            <w:pPr>
              <w:snapToGrid w:val="0"/>
              <w:jc w:val="center"/>
            </w:pPr>
            <w:r>
              <w:rPr>
                <w:rFonts w:hint="eastAsia" w:ascii="黑体" w:hAnsi="黑体" w:eastAsia="黑体"/>
                <w:bCs/>
                <w:color w:val="000000"/>
                <w:sz w:val="21"/>
                <w:szCs w:val="18"/>
              </w:rPr>
              <w:t>技能目标</w:t>
            </w:r>
          </w:p>
        </w:tc>
        <w:tc>
          <w:tcPr>
            <w:tcW w:w="786" w:type="dxa"/>
            <w:shd w:val="clear" w:color="auto" w:fill="auto"/>
            <w:vAlign w:val="center"/>
          </w:tcPr>
          <w:p w14:paraId="626B5E0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2" w:type="dxa"/>
            <w:vAlign w:val="center"/>
          </w:tcPr>
          <w:p w14:paraId="3F13471E">
            <w:pPr>
              <w:pStyle w:val="14"/>
              <w:jc w:val="left"/>
              <w:rPr>
                <w:rFonts w:hint="eastAsia" w:ascii="宋体" w:hAnsi="宋体" w:eastAsia="宋体"/>
                <w:bCs/>
                <w:lang w:val="en-US" w:eastAsia="zh-CN"/>
              </w:rPr>
            </w:pPr>
            <w:r>
              <w:rPr>
                <w:rFonts w:hint="eastAsia" w:cs="Times New Roman"/>
                <w:bCs/>
                <w:lang w:val="en-US" w:eastAsia="zh-CN"/>
              </w:rPr>
              <w:t>能</w:t>
            </w:r>
            <w:r>
              <w:rPr>
                <w:rFonts w:hint="eastAsia" w:ascii="宋体" w:hAnsi="宋体"/>
                <w:bCs/>
                <w:lang w:val="en-US" w:eastAsia="zh-CN"/>
              </w:rPr>
              <w:t>运用</w:t>
            </w:r>
            <w:r>
              <w:rPr>
                <w:rFonts w:hint="eastAsia" w:ascii="宋体" w:hAnsi="宋体"/>
                <w:bCs/>
              </w:rPr>
              <w:t>细读、略读和评读等基本阅读方法知识</w:t>
            </w:r>
            <w:r>
              <w:rPr>
                <w:rFonts w:hint="eastAsia" w:ascii="宋体" w:hAnsi="宋体"/>
                <w:bCs/>
                <w:lang w:eastAsia="zh-CN"/>
              </w:rPr>
              <w:t>。</w:t>
            </w:r>
          </w:p>
        </w:tc>
      </w:tr>
      <w:tr w14:paraId="26064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8" w:type="dxa"/>
            <w:vMerge w:val="continue"/>
            <w:vAlign w:val="center"/>
          </w:tcPr>
          <w:p w14:paraId="53B598AC">
            <w:pPr>
              <w:pStyle w:val="14"/>
              <w:rPr>
                <w:rFonts w:ascii="宋体" w:hAnsi="宋体"/>
              </w:rPr>
            </w:pPr>
          </w:p>
        </w:tc>
        <w:tc>
          <w:tcPr>
            <w:tcW w:w="786" w:type="dxa"/>
            <w:shd w:val="clear" w:color="auto" w:fill="auto"/>
            <w:vAlign w:val="center"/>
          </w:tcPr>
          <w:p w14:paraId="515BD6F0">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2" w:type="dxa"/>
            <w:vAlign w:val="center"/>
          </w:tcPr>
          <w:p w14:paraId="6E557890">
            <w:pPr>
              <w:pStyle w:val="14"/>
              <w:jc w:val="left"/>
              <w:rPr>
                <w:rFonts w:ascii="宋体" w:hAnsi="宋体"/>
                <w:bCs/>
              </w:rPr>
            </w:pPr>
            <w:r>
              <w:rPr>
                <w:rFonts w:hint="eastAsia" w:ascii="宋体" w:hAnsi="宋体"/>
                <w:bCs/>
              </w:rPr>
              <w:t>能</w:t>
            </w:r>
            <w:r>
              <w:rPr>
                <w:rFonts w:hint="eastAsia" w:cs="Times New Roman"/>
              </w:rPr>
              <w:t>用电脑搜索软件搜索相关主题外文文献，并用办公软件阅读、翻译、撰写和编辑外文文章。</w:t>
            </w:r>
          </w:p>
        </w:tc>
      </w:tr>
      <w:tr w14:paraId="5254C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8" w:type="dxa"/>
            <w:vAlign w:val="center"/>
          </w:tcPr>
          <w:p w14:paraId="1DFE98C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5D07B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6" w:type="dxa"/>
            <w:shd w:val="clear" w:color="auto" w:fill="auto"/>
            <w:vAlign w:val="center"/>
          </w:tcPr>
          <w:p w14:paraId="36D3FB43">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2" w:type="dxa"/>
            <w:vAlign w:val="center"/>
          </w:tcPr>
          <w:p w14:paraId="01269A84">
            <w:pPr>
              <w:pStyle w:val="14"/>
              <w:jc w:val="left"/>
              <w:rPr>
                <w:rFonts w:ascii="宋体" w:hAnsi="宋体"/>
                <w:bCs/>
              </w:rPr>
            </w:pPr>
            <w:r>
              <w:rPr>
                <w:rFonts w:hint="eastAsia" w:ascii="宋体" w:hAnsi="宋体"/>
                <w:bCs/>
              </w:rPr>
              <w:t>英语阅读与德育元素自然结合，能用英语“讲好中国故事，传播好中国声音”，提升思想水平、政治觉悟、道德品质和文化素养。</w:t>
            </w:r>
          </w:p>
        </w:tc>
      </w:tr>
    </w:tbl>
    <w:p w14:paraId="0923EC9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348DF2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669D754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2663908">
            <w:pPr>
              <w:pStyle w:val="14"/>
              <w:widowControl w:val="0"/>
              <w:jc w:val="left"/>
              <w:rPr>
                <w:rFonts w:ascii="宋体" w:hAnsi="宋体"/>
                <w:bCs/>
              </w:rPr>
            </w:pPr>
            <w:r>
              <w:rPr>
                <w:rFonts w:ascii="Cambria Math" w:hAnsi="Cambria Math" w:cs="Cambria Math"/>
                <w:szCs w:val="24"/>
              </w:rPr>
              <w:t>①</w:t>
            </w:r>
            <w:r>
              <w:rPr>
                <w:rFonts w:hint="eastAsia" w:ascii="宋体" w:hAnsi="宋体"/>
                <w:bCs/>
              </w:rPr>
              <w:t>爱党爱国，坚决拥护党的领导，热爱祖国的大好河山、悠久历史、灿烂文化，自觉维护民族利益和国家尊严。</w:t>
            </w:r>
          </w:p>
        </w:tc>
      </w:tr>
      <w:tr w14:paraId="4479AC6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F578D4A">
            <w:pPr>
              <w:pStyle w:val="14"/>
              <w:widowControl w:val="0"/>
              <w:jc w:val="left"/>
              <w:rPr>
                <w:rFonts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59C5EAC1">
            <w:pPr>
              <w:pStyle w:val="14"/>
              <w:widowControl w:val="0"/>
              <w:jc w:val="left"/>
              <w:rPr>
                <w:rFonts w:ascii="宋体" w:hAnsi="宋体"/>
                <w:bCs/>
              </w:rPr>
            </w:pPr>
            <w:r>
              <w:rPr>
                <w:rFonts w:ascii="Calibri" w:hAnsi="Calibri" w:cs="Calibri"/>
                <w:bCs/>
              </w:rPr>
              <w:t>②</w:t>
            </w:r>
            <w:r>
              <w:rPr>
                <w:rFonts w:hint="eastAsia" w:ascii="宋体" w:hAnsi="宋体"/>
                <w:bCs/>
              </w:rPr>
              <w:t>掌握英英语语言基本理论与知识，具备扎实的语言基本功和听、说、读、写、译等语言应用能力。</w:t>
            </w:r>
          </w:p>
        </w:tc>
      </w:tr>
      <w:tr w14:paraId="41DB1D4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50BD5B9">
            <w:pPr>
              <w:pStyle w:val="14"/>
              <w:widowControl w:val="0"/>
              <w:jc w:val="left"/>
              <w:rPr>
                <w:rFonts w:ascii="宋体" w:hAnsi="宋体"/>
                <w:sz w:val="20"/>
                <w:szCs w:val="20"/>
              </w:rPr>
            </w:pPr>
            <w:r>
              <w:rPr>
                <w:rFonts w:cs="Times New Roman"/>
                <w:bCs/>
              </w:rPr>
              <w:t>LO</w:t>
            </w:r>
            <w:r>
              <w:rPr>
                <w:rFonts w:hint="eastAsia" w:cs="Times New Roman"/>
                <w:bCs/>
              </w:rPr>
              <w:t>7</w:t>
            </w:r>
            <w:r>
              <w:rPr>
                <w:rFonts w:hint="eastAsia" w:ascii="宋体" w:hAnsi="宋体"/>
                <w:sz w:val="20"/>
                <w:szCs w:val="20"/>
              </w:rPr>
              <w:t>信息应用：具备一定的信息素养，并能在工作中应用信息技术和工具解决问题。</w:t>
            </w:r>
          </w:p>
          <w:p w14:paraId="20F7A456">
            <w:pPr>
              <w:pStyle w:val="14"/>
              <w:widowControl w:val="0"/>
              <w:jc w:val="left"/>
              <w:rPr>
                <w:rFonts w:ascii="宋体" w:hAnsi="宋体"/>
                <w:sz w:val="20"/>
                <w:szCs w:val="20"/>
              </w:rPr>
            </w:pPr>
            <w:r>
              <w:rPr>
                <w:rFonts w:ascii="Cambria Math" w:hAnsi="Cambria Math" w:cs="Cambria Math"/>
                <w:bCs/>
              </w:rPr>
              <w:t>③</w:t>
            </w:r>
            <w:r>
              <w:rPr>
                <w:rFonts w:hint="eastAsia" w:ascii="宋体" w:hAnsi="宋体"/>
              </w:rPr>
              <w:t>熟练使用计算机，掌握常用办公软件。</w:t>
            </w:r>
          </w:p>
        </w:tc>
      </w:tr>
    </w:tbl>
    <w:p w14:paraId="494C89FF">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1FE2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80" w:type="dxa"/>
            <w:tcBorders>
              <w:top w:val="single" w:color="auto" w:sz="12" w:space="0"/>
              <w:left w:val="single" w:color="auto" w:sz="12" w:space="0"/>
              <w:right w:val="single" w:color="auto" w:sz="4" w:space="0"/>
            </w:tcBorders>
            <w:shd w:val="clear" w:color="auto" w:fill="auto"/>
            <w:vAlign w:val="center"/>
          </w:tcPr>
          <w:p w14:paraId="44CB92C7">
            <w:pPr>
              <w:pStyle w:val="13"/>
              <w:rPr>
                <w:szCs w:val="16"/>
              </w:rPr>
            </w:pPr>
            <w:r>
              <w:rPr>
                <w:rFonts w:hint="eastAsia" w:ascii="黑体" w:hAnsi="黑体"/>
                <w:szCs w:val="18"/>
              </w:rPr>
              <w:t>毕业要求</w:t>
            </w:r>
          </w:p>
        </w:tc>
        <w:tc>
          <w:tcPr>
            <w:tcW w:w="797" w:type="dxa"/>
            <w:tcBorders>
              <w:top w:val="single" w:color="auto" w:sz="12" w:space="0"/>
              <w:left w:val="single" w:color="auto" w:sz="4" w:space="0"/>
            </w:tcBorders>
            <w:vAlign w:val="center"/>
          </w:tcPr>
          <w:p w14:paraId="606C32A3">
            <w:pPr>
              <w:pStyle w:val="13"/>
              <w:rPr>
                <w:szCs w:val="16"/>
              </w:rPr>
            </w:pPr>
            <w:r>
              <w:rPr>
                <w:rFonts w:hint="eastAsia"/>
                <w:szCs w:val="16"/>
              </w:rPr>
              <w:t>指标点</w:t>
            </w:r>
          </w:p>
        </w:tc>
        <w:tc>
          <w:tcPr>
            <w:tcW w:w="797" w:type="dxa"/>
            <w:tcBorders>
              <w:top w:val="single" w:color="auto" w:sz="12" w:space="0"/>
              <w:right w:val="double" w:color="auto" w:sz="4" w:space="0"/>
            </w:tcBorders>
            <w:shd w:val="clear" w:color="auto" w:fill="auto"/>
            <w:vAlign w:val="center"/>
          </w:tcPr>
          <w:p w14:paraId="131ACCBD">
            <w:pPr>
              <w:pStyle w:val="13"/>
              <w:rPr>
                <w:szCs w:val="16"/>
              </w:rPr>
            </w:pPr>
            <w:r>
              <w:rPr>
                <w:rFonts w:hint="eastAsia"/>
                <w:szCs w:val="16"/>
              </w:rPr>
              <w:t>支撑度</w:t>
            </w:r>
          </w:p>
        </w:tc>
        <w:tc>
          <w:tcPr>
            <w:tcW w:w="4753" w:type="dxa"/>
            <w:tcBorders>
              <w:top w:val="single" w:color="auto" w:sz="12" w:space="0"/>
            </w:tcBorders>
            <w:vAlign w:val="center"/>
          </w:tcPr>
          <w:p w14:paraId="6805329D">
            <w:pPr>
              <w:pStyle w:val="13"/>
              <w:rPr>
                <w:szCs w:val="16"/>
              </w:rPr>
            </w:pPr>
            <w:r>
              <w:rPr>
                <w:rFonts w:hint="eastAsia"/>
                <w:szCs w:val="16"/>
              </w:rPr>
              <w:t>课程目标</w:t>
            </w:r>
          </w:p>
        </w:tc>
        <w:tc>
          <w:tcPr>
            <w:tcW w:w="1349" w:type="dxa"/>
            <w:tcBorders>
              <w:top w:val="single" w:color="auto" w:sz="12" w:space="0"/>
              <w:right w:val="single" w:color="auto" w:sz="12" w:space="0"/>
            </w:tcBorders>
            <w:vAlign w:val="center"/>
          </w:tcPr>
          <w:p w14:paraId="521AA393">
            <w:pPr>
              <w:pStyle w:val="13"/>
              <w:rPr>
                <w:szCs w:val="16"/>
              </w:rPr>
            </w:pPr>
            <w:r>
              <w:rPr>
                <w:rFonts w:hint="eastAsia"/>
                <w:szCs w:val="16"/>
              </w:rPr>
              <w:t>对指标点的贡献度</w:t>
            </w:r>
          </w:p>
        </w:tc>
      </w:tr>
      <w:tr w14:paraId="126D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right w:val="single" w:color="auto" w:sz="4" w:space="0"/>
            </w:tcBorders>
            <w:shd w:val="clear" w:color="auto" w:fill="auto"/>
            <w:vAlign w:val="center"/>
          </w:tcPr>
          <w:p w14:paraId="43B406C9">
            <w:pPr>
              <w:pStyle w:val="14"/>
            </w:pPr>
            <w:r>
              <w:rPr>
                <w:rFonts w:cs="Times New Roman"/>
                <w:b/>
                <w:bCs/>
              </w:rPr>
              <w:t>LO1</w:t>
            </w:r>
          </w:p>
        </w:tc>
        <w:tc>
          <w:tcPr>
            <w:tcW w:w="797" w:type="dxa"/>
            <w:tcBorders>
              <w:left w:val="single" w:color="auto" w:sz="4" w:space="0"/>
            </w:tcBorders>
            <w:vAlign w:val="center"/>
          </w:tcPr>
          <w:p w14:paraId="26EFA84D">
            <w:pPr>
              <w:pStyle w:val="14"/>
              <w:rPr>
                <w:rFonts w:cs="Times New Roman"/>
                <w:bCs/>
              </w:rPr>
            </w:pPr>
            <w:r>
              <w:rPr>
                <w:rFonts w:ascii="Cambria Math" w:hAnsi="Cambria Math" w:cs="Cambria Math"/>
                <w:szCs w:val="24"/>
              </w:rPr>
              <w:t>①</w:t>
            </w:r>
          </w:p>
        </w:tc>
        <w:tc>
          <w:tcPr>
            <w:tcW w:w="797" w:type="dxa"/>
            <w:tcBorders>
              <w:right w:val="double" w:color="auto" w:sz="4" w:space="0"/>
            </w:tcBorders>
            <w:shd w:val="clear" w:color="auto" w:fill="auto"/>
            <w:vAlign w:val="center"/>
          </w:tcPr>
          <w:p w14:paraId="67A0924F">
            <w:pPr>
              <w:pStyle w:val="14"/>
              <w:rPr>
                <w:rFonts w:ascii="宋体" w:hAnsi="宋体"/>
              </w:rPr>
            </w:pPr>
            <w:r>
              <w:rPr>
                <w:rFonts w:cs="Times New Roman"/>
              </w:rPr>
              <w:t>M</w:t>
            </w:r>
          </w:p>
        </w:tc>
        <w:tc>
          <w:tcPr>
            <w:tcW w:w="4753" w:type="dxa"/>
            <w:vAlign w:val="top"/>
          </w:tcPr>
          <w:p w14:paraId="0A218D5A">
            <w:pPr>
              <w:pStyle w:val="14"/>
              <w:jc w:val="both"/>
              <w:rPr>
                <w:rFonts w:ascii="宋体" w:hAnsi="宋体"/>
                <w:bCs/>
              </w:rPr>
            </w:pPr>
            <w:r>
              <w:rPr>
                <w:rFonts w:hint="eastAsia" w:cs="Times New Roman"/>
                <w:bCs/>
                <w:lang w:val="en-US" w:eastAsia="zh-CN"/>
              </w:rPr>
              <w:t>4</w:t>
            </w:r>
            <w:r>
              <w:rPr>
                <w:rFonts w:hint="eastAsia" w:ascii="宋体" w:hAnsi="宋体"/>
                <w:bCs/>
              </w:rPr>
              <w:t>.英语阅读与德育元素自然结合，能用英语“讲好中国故事，传播好中国声音”，提升思想水平、政治觉悟、道德品质和文化素养。</w:t>
            </w:r>
          </w:p>
        </w:tc>
        <w:tc>
          <w:tcPr>
            <w:tcW w:w="1349" w:type="dxa"/>
            <w:tcBorders>
              <w:right w:val="single" w:color="auto" w:sz="12" w:space="0"/>
            </w:tcBorders>
            <w:vAlign w:val="center"/>
          </w:tcPr>
          <w:p w14:paraId="23F0C5B4">
            <w:pPr>
              <w:pStyle w:val="14"/>
              <w:rPr>
                <w:rFonts w:ascii="宋体" w:hAnsi="宋体"/>
                <w:bCs/>
              </w:rPr>
            </w:pPr>
            <w:r>
              <w:rPr>
                <w:rFonts w:ascii="宋体" w:hAnsi="宋体"/>
                <w:bCs/>
              </w:rPr>
              <w:t>100%</w:t>
            </w:r>
          </w:p>
        </w:tc>
      </w:tr>
      <w:tr w14:paraId="4047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vMerge w:val="restart"/>
            <w:tcBorders>
              <w:left w:val="single" w:color="auto" w:sz="12" w:space="0"/>
              <w:right w:val="single" w:color="auto" w:sz="4" w:space="0"/>
            </w:tcBorders>
            <w:shd w:val="clear" w:color="auto" w:fill="auto"/>
          </w:tcPr>
          <w:p w14:paraId="7BB93951">
            <w:pPr>
              <w:pStyle w:val="14"/>
              <w:rPr>
                <w:rFonts w:cs="Times New Roman"/>
                <w:b/>
                <w:bCs/>
              </w:rPr>
            </w:pPr>
          </w:p>
          <w:p w14:paraId="7B1F3263">
            <w:pPr>
              <w:pStyle w:val="14"/>
              <w:rPr>
                <w:rFonts w:hint="eastAsia" w:eastAsia="宋体" w:cs="Times New Roman"/>
                <w:b/>
                <w:bCs/>
                <w:lang w:eastAsia="zh-CN"/>
              </w:rPr>
            </w:pPr>
            <w:r>
              <w:rPr>
                <w:rFonts w:cs="Times New Roman"/>
                <w:b/>
                <w:bCs/>
              </w:rPr>
              <w:t>LO</w:t>
            </w:r>
            <w:r>
              <w:rPr>
                <w:rFonts w:hint="eastAsia" w:cs="Times New Roman"/>
                <w:b/>
                <w:bCs/>
                <w:lang w:val="en-US" w:eastAsia="zh-CN"/>
              </w:rPr>
              <w:t>2</w:t>
            </w:r>
          </w:p>
        </w:tc>
        <w:tc>
          <w:tcPr>
            <w:tcW w:w="797" w:type="dxa"/>
            <w:vMerge w:val="restart"/>
            <w:tcBorders>
              <w:left w:val="single" w:color="auto" w:sz="4" w:space="0"/>
            </w:tcBorders>
            <w:vAlign w:val="center"/>
          </w:tcPr>
          <w:p w14:paraId="69D043DB">
            <w:pPr>
              <w:pStyle w:val="14"/>
              <w:rPr>
                <w:rFonts w:cs="Times New Roman"/>
                <w:b/>
                <w:bCs/>
              </w:rPr>
            </w:pPr>
            <w:r>
              <w:rPr>
                <w:rFonts w:ascii="Calibri" w:hAnsi="Calibri" w:cs="Calibri"/>
                <w:bCs/>
              </w:rPr>
              <w:t>②</w:t>
            </w:r>
          </w:p>
        </w:tc>
        <w:tc>
          <w:tcPr>
            <w:tcW w:w="797" w:type="dxa"/>
            <w:vMerge w:val="restart"/>
            <w:tcBorders>
              <w:right w:val="double" w:color="auto" w:sz="4" w:space="0"/>
            </w:tcBorders>
            <w:shd w:val="clear" w:color="auto" w:fill="auto"/>
            <w:vAlign w:val="center"/>
          </w:tcPr>
          <w:p w14:paraId="04051E24">
            <w:pPr>
              <w:pStyle w:val="14"/>
              <w:rPr>
                <w:rFonts w:hint="eastAsia" w:ascii="宋体" w:hAnsi="宋体" w:eastAsia="宋体"/>
                <w:lang w:eastAsia="zh-CN"/>
              </w:rPr>
            </w:pPr>
            <w:r>
              <w:rPr>
                <w:rFonts w:hint="eastAsia" w:cs="Times New Roman"/>
                <w:lang w:val="en-US" w:eastAsia="zh-CN"/>
              </w:rPr>
              <w:t>H</w:t>
            </w:r>
          </w:p>
        </w:tc>
        <w:tc>
          <w:tcPr>
            <w:tcW w:w="4753" w:type="dxa"/>
            <w:vAlign w:val="center"/>
          </w:tcPr>
          <w:p w14:paraId="652B797B">
            <w:pPr>
              <w:pStyle w:val="14"/>
              <w:jc w:val="left"/>
              <w:rPr>
                <w:rFonts w:hint="eastAsia" w:ascii="宋体" w:hAnsi="宋体" w:eastAsia="宋体"/>
                <w:bCs/>
                <w:lang w:eastAsia="zh-CN"/>
              </w:rPr>
            </w:pPr>
            <w:r>
              <w:rPr>
                <w:rFonts w:cs="Times New Roman"/>
                <w:bCs/>
              </w:rPr>
              <w:t>2</w:t>
            </w:r>
            <w:r>
              <w:rPr>
                <w:rFonts w:hint="eastAsia" w:cs="Times New Roman"/>
                <w:bCs/>
                <w:lang w:eastAsia="zh-CN"/>
              </w:rPr>
              <w:t>.</w:t>
            </w:r>
            <w:r>
              <w:rPr>
                <w:rFonts w:hint="eastAsia" w:cs="Times New Roman"/>
                <w:bCs/>
                <w:lang w:val="en-US" w:eastAsia="zh-CN"/>
              </w:rPr>
              <w:t>能</w:t>
            </w:r>
            <w:r>
              <w:rPr>
                <w:rFonts w:hint="eastAsia" w:ascii="宋体" w:hAnsi="宋体"/>
                <w:bCs/>
                <w:lang w:val="en-US" w:eastAsia="zh-CN"/>
              </w:rPr>
              <w:t>运用</w:t>
            </w:r>
            <w:r>
              <w:rPr>
                <w:rFonts w:hint="eastAsia" w:ascii="宋体" w:hAnsi="宋体"/>
                <w:bCs/>
              </w:rPr>
              <w:t>细读、略读和评读等基本阅读方法知识</w:t>
            </w:r>
            <w:r>
              <w:rPr>
                <w:rFonts w:hint="eastAsia" w:ascii="宋体" w:hAnsi="宋体"/>
                <w:bCs/>
                <w:lang w:eastAsia="zh-CN"/>
              </w:rPr>
              <w:t>。</w:t>
            </w:r>
          </w:p>
        </w:tc>
        <w:tc>
          <w:tcPr>
            <w:tcW w:w="1349" w:type="dxa"/>
            <w:tcBorders>
              <w:right w:val="single" w:color="auto" w:sz="12" w:space="0"/>
            </w:tcBorders>
            <w:vAlign w:val="center"/>
          </w:tcPr>
          <w:p w14:paraId="07B81AA8">
            <w:pPr>
              <w:pStyle w:val="14"/>
              <w:rPr>
                <w:rFonts w:ascii="宋体" w:hAnsi="宋体"/>
                <w:bCs/>
              </w:rPr>
            </w:pPr>
            <w:r>
              <w:rPr>
                <w:rFonts w:hint="eastAsia" w:ascii="宋体" w:hAnsi="宋体"/>
                <w:bCs/>
              </w:rPr>
              <w:t>50</w:t>
            </w:r>
            <w:r>
              <w:rPr>
                <w:rFonts w:ascii="宋体" w:hAnsi="宋体"/>
                <w:bCs/>
              </w:rPr>
              <w:t>%</w:t>
            </w:r>
          </w:p>
        </w:tc>
      </w:tr>
      <w:tr w14:paraId="5820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vMerge w:val="continue"/>
            <w:tcBorders>
              <w:left w:val="single" w:color="auto" w:sz="12" w:space="0"/>
              <w:right w:val="single" w:color="auto" w:sz="4" w:space="0"/>
            </w:tcBorders>
            <w:shd w:val="clear" w:color="auto" w:fill="auto"/>
          </w:tcPr>
          <w:p w14:paraId="41C1FBB2">
            <w:pPr>
              <w:pStyle w:val="14"/>
              <w:rPr>
                <w:rFonts w:cs="Times New Roman"/>
                <w:b/>
              </w:rPr>
            </w:pPr>
          </w:p>
        </w:tc>
        <w:tc>
          <w:tcPr>
            <w:tcW w:w="797" w:type="dxa"/>
            <w:vMerge w:val="continue"/>
            <w:tcBorders>
              <w:left w:val="single" w:color="auto" w:sz="4" w:space="0"/>
            </w:tcBorders>
            <w:vAlign w:val="center"/>
          </w:tcPr>
          <w:p w14:paraId="69176D7C">
            <w:pPr>
              <w:pStyle w:val="14"/>
              <w:rPr>
                <w:rFonts w:ascii="Cambria Math" w:hAnsi="Cambria Math" w:cs="Cambria Math"/>
                <w:szCs w:val="24"/>
              </w:rPr>
            </w:pPr>
          </w:p>
        </w:tc>
        <w:tc>
          <w:tcPr>
            <w:tcW w:w="797" w:type="dxa"/>
            <w:vMerge w:val="continue"/>
            <w:tcBorders>
              <w:right w:val="double" w:color="auto" w:sz="4" w:space="0"/>
            </w:tcBorders>
            <w:shd w:val="clear" w:color="auto" w:fill="auto"/>
            <w:vAlign w:val="center"/>
          </w:tcPr>
          <w:p w14:paraId="54179D96">
            <w:pPr>
              <w:pStyle w:val="14"/>
              <w:rPr>
                <w:rFonts w:cs="Times New Roman"/>
              </w:rPr>
            </w:pPr>
          </w:p>
        </w:tc>
        <w:tc>
          <w:tcPr>
            <w:tcW w:w="4753" w:type="dxa"/>
            <w:vAlign w:val="center"/>
          </w:tcPr>
          <w:p w14:paraId="1B35AC8C">
            <w:pPr>
              <w:pStyle w:val="14"/>
              <w:jc w:val="left"/>
              <w:rPr>
                <w:rFonts w:ascii="宋体" w:hAnsi="宋体"/>
                <w:bCs/>
              </w:rPr>
            </w:pPr>
            <w:r>
              <w:rPr>
                <w:rFonts w:hint="eastAsia" w:cs="Times New Roman"/>
                <w:bCs/>
                <w:lang w:val="en-US" w:eastAsia="zh-CN"/>
              </w:rPr>
              <w:t>1</w:t>
            </w:r>
            <w:r>
              <w:rPr>
                <w:rFonts w:hint="eastAsia" w:cs="Times New Roman"/>
                <w:bCs/>
              </w:rPr>
              <w:t>.</w:t>
            </w:r>
            <w:r>
              <w:rPr>
                <w:rFonts w:hint="eastAsia" w:cs="Times New Roman"/>
                <w:bCs/>
                <w:lang w:val="en-US" w:eastAsia="zh-CN"/>
              </w:rPr>
              <w:t>能</w:t>
            </w:r>
            <w:r>
              <w:rPr>
                <w:rFonts w:hint="eastAsia" w:ascii="宋体" w:hAnsi="宋体"/>
                <w:bCs/>
                <w:lang w:val="en-US" w:eastAsia="zh-CN"/>
              </w:rPr>
              <w:t>掌握</w:t>
            </w:r>
            <w:r>
              <w:rPr>
                <w:rFonts w:hint="eastAsia" w:ascii="宋体" w:hAnsi="宋体"/>
                <w:bCs/>
              </w:rPr>
              <w:t>本</w:t>
            </w:r>
            <w:r>
              <w:rPr>
                <w:rFonts w:hint="eastAsia" w:ascii="宋体" w:hAnsi="宋体"/>
                <w:bCs/>
                <w:lang w:val="en-US" w:eastAsia="zh-CN"/>
              </w:rPr>
              <w:t>教材</w:t>
            </w:r>
            <w:r>
              <w:rPr>
                <w:rFonts w:hint="eastAsia" w:ascii="宋体" w:hAnsi="宋体"/>
                <w:bCs/>
              </w:rPr>
              <w:t>书</w:t>
            </w:r>
            <w:r>
              <w:rPr>
                <w:rFonts w:hint="eastAsia" w:ascii="宋体" w:hAnsi="宋体"/>
                <w:bCs/>
                <w:lang w:val="en-US" w:eastAsia="zh-CN"/>
              </w:rPr>
              <w:t>所</w:t>
            </w:r>
            <w:r>
              <w:rPr>
                <w:rFonts w:hint="eastAsia" w:ascii="宋体" w:hAnsi="宋体"/>
                <w:bCs/>
              </w:rPr>
              <w:t>覆盖的重点单词、</w:t>
            </w:r>
            <w:r>
              <w:rPr>
                <w:rFonts w:hint="eastAsia" w:ascii="宋体" w:hAnsi="宋体"/>
                <w:bCs/>
                <w:lang w:val="en-US" w:eastAsia="zh-CN"/>
              </w:rPr>
              <w:t>语法知识并理解</w:t>
            </w:r>
            <w:r>
              <w:rPr>
                <w:rFonts w:hint="eastAsia" w:ascii="宋体" w:hAnsi="宋体"/>
                <w:bCs/>
              </w:rPr>
              <w:t>长难句。</w:t>
            </w:r>
          </w:p>
        </w:tc>
        <w:tc>
          <w:tcPr>
            <w:tcW w:w="1349" w:type="dxa"/>
            <w:tcBorders>
              <w:right w:val="single" w:color="auto" w:sz="12" w:space="0"/>
            </w:tcBorders>
            <w:vAlign w:val="center"/>
          </w:tcPr>
          <w:p w14:paraId="5A0CA239">
            <w:pPr>
              <w:pStyle w:val="14"/>
              <w:rPr>
                <w:rFonts w:ascii="宋体" w:hAnsi="宋体"/>
                <w:bCs/>
              </w:rPr>
            </w:pPr>
            <w:r>
              <w:rPr>
                <w:rFonts w:hint="eastAsia" w:ascii="宋体" w:hAnsi="宋体"/>
                <w:bCs/>
              </w:rPr>
              <w:t>50</w:t>
            </w:r>
            <w:r>
              <w:rPr>
                <w:rFonts w:ascii="宋体" w:hAnsi="宋体"/>
                <w:bCs/>
              </w:rPr>
              <w:t>%</w:t>
            </w:r>
          </w:p>
        </w:tc>
      </w:tr>
      <w:tr w14:paraId="0884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bottom w:val="single" w:color="auto" w:sz="12" w:space="0"/>
              <w:right w:val="single" w:color="auto" w:sz="4" w:space="0"/>
            </w:tcBorders>
            <w:shd w:val="clear" w:color="auto" w:fill="auto"/>
            <w:vAlign w:val="center"/>
          </w:tcPr>
          <w:p w14:paraId="181BA86C">
            <w:pPr>
              <w:pStyle w:val="14"/>
              <w:jc w:val="center"/>
              <w:rPr>
                <w:rFonts w:cs="Times New Roman"/>
                <w:b/>
              </w:rPr>
            </w:pPr>
            <w:r>
              <w:rPr>
                <w:rFonts w:cs="Times New Roman"/>
                <w:b/>
              </w:rPr>
              <w:t>LO</w:t>
            </w:r>
            <w:r>
              <w:rPr>
                <w:rFonts w:hint="eastAsia" w:cs="Times New Roman"/>
                <w:b/>
              </w:rPr>
              <w:t>7</w:t>
            </w:r>
          </w:p>
        </w:tc>
        <w:tc>
          <w:tcPr>
            <w:tcW w:w="797" w:type="dxa"/>
            <w:tcBorders>
              <w:left w:val="single" w:color="auto" w:sz="4" w:space="0"/>
              <w:bottom w:val="single" w:color="auto" w:sz="12" w:space="0"/>
            </w:tcBorders>
            <w:vAlign w:val="center"/>
          </w:tcPr>
          <w:p w14:paraId="6441035B">
            <w:pPr>
              <w:pStyle w:val="14"/>
              <w:jc w:val="center"/>
              <w:rPr>
                <w:rFonts w:cs="Times New Roman"/>
                <w:bCs/>
              </w:rPr>
            </w:pPr>
            <w:r>
              <w:rPr>
                <w:rFonts w:ascii="Cambria Math" w:hAnsi="Cambria Math" w:cs="Cambria Math"/>
                <w:bCs/>
              </w:rPr>
              <w:t>③</w:t>
            </w:r>
          </w:p>
        </w:tc>
        <w:tc>
          <w:tcPr>
            <w:tcW w:w="797" w:type="dxa"/>
            <w:tcBorders>
              <w:bottom w:val="single" w:color="auto" w:sz="12" w:space="0"/>
              <w:right w:val="double" w:color="auto" w:sz="4" w:space="0"/>
            </w:tcBorders>
            <w:shd w:val="clear" w:color="auto" w:fill="auto"/>
            <w:vAlign w:val="center"/>
          </w:tcPr>
          <w:p w14:paraId="0BA21A67">
            <w:pPr>
              <w:pStyle w:val="14"/>
              <w:jc w:val="center"/>
              <w:rPr>
                <w:rFonts w:ascii="宋体" w:hAnsi="宋体"/>
              </w:rPr>
            </w:pPr>
            <w:r>
              <w:rPr>
                <w:rFonts w:cs="Times New Roman"/>
              </w:rPr>
              <w:t>L</w:t>
            </w:r>
          </w:p>
        </w:tc>
        <w:tc>
          <w:tcPr>
            <w:tcW w:w="4753" w:type="dxa"/>
            <w:tcBorders>
              <w:bottom w:val="single" w:color="auto" w:sz="12" w:space="0"/>
            </w:tcBorders>
            <w:vAlign w:val="center"/>
          </w:tcPr>
          <w:p w14:paraId="27AE5608">
            <w:pPr>
              <w:pStyle w:val="14"/>
              <w:jc w:val="left"/>
              <w:rPr>
                <w:rFonts w:ascii="宋体" w:hAnsi="宋体"/>
                <w:bCs/>
              </w:rPr>
            </w:pPr>
            <w:r>
              <w:rPr>
                <w:rFonts w:hint="eastAsia" w:ascii="宋体" w:hAnsi="宋体"/>
                <w:bCs/>
                <w:lang w:val="en-US" w:eastAsia="zh-CN"/>
              </w:rPr>
              <w:t>3</w:t>
            </w:r>
            <w:r>
              <w:rPr>
                <w:rFonts w:hint="eastAsia" w:ascii="宋体" w:hAnsi="宋体"/>
                <w:bCs/>
              </w:rPr>
              <w:t>.能</w:t>
            </w:r>
            <w:r>
              <w:rPr>
                <w:rFonts w:hint="eastAsia" w:cs="Times New Roman"/>
              </w:rPr>
              <w:t>用电脑搜索软件搜索相关主题外文文献，并用办公软件阅读、翻译、撰写和编辑外文文章。</w:t>
            </w:r>
          </w:p>
        </w:tc>
        <w:tc>
          <w:tcPr>
            <w:tcW w:w="1349" w:type="dxa"/>
            <w:tcBorders>
              <w:bottom w:val="single" w:color="auto" w:sz="12" w:space="0"/>
              <w:right w:val="single" w:color="auto" w:sz="12" w:space="0"/>
            </w:tcBorders>
            <w:vAlign w:val="center"/>
          </w:tcPr>
          <w:p w14:paraId="76219654">
            <w:pPr>
              <w:pStyle w:val="14"/>
              <w:rPr>
                <w:rFonts w:ascii="宋体" w:hAnsi="宋体"/>
                <w:bCs/>
              </w:rPr>
            </w:pPr>
            <w:r>
              <w:rPr>
                <w:rFonts w:ascii="宋体" w:hAnsi="宋体"/>
                <w:bCs/>
              </w:rPr>
              <w:t>100%</w:t>
            </w:r>
          </w:p>
        </w:tc>
      </w:tr>
    </w:tbl>
    <w:p w14:paraId="59266572">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0D80C77">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F808D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3539DB8">
            <w:pPr>
              <w:pStyle w:val="14"/>
              <w:widowControl w:val="0"/>
              <w:jc w:val="left"/>
              <w:rPr>
                <w:rFonts w:cs="Times New Roman"/>
                <w:bCs/>
              </w:rPr>
            </w:pPr>
            <w:bookmarkStart w:id="0" w:name="OLE_LINK5"/>
            <w:bookmarkStart w:id="1" w:name="OLE_LINK6"/>
            <w:r>
              <w:rPr>
                <w:rFonts w:hint="eastAsia" w:ascii="宋体" w:hAnsi="宋体"/>
                <w:bCs/>
              </w:rPr>
              <w:t xml:space="preserve">第一单元 </w:t>
            </w:r>
            <w:r>
              <w:rPr>
                <w:rFonts w:cs="Times New Roman"/>
                <w:bCs/>
              </w:rPr>
              <w:t>Love</w:t>
            </w:r>
          </w:p>
          <w:p w14:paraId="31F32704">
            <w:pPr>
              <w:pStyle w:val="14"/>
              <w:widowControl w:val="0"/>
              <w:jc w:val="left"/>
              <w:rPr>
                <w:rFonts w:ascii="宋体" w:hAnsi="宋体"/>
                <w:bCs/>
              </w:rPr>
            </w:pPr>
            <w:r>
              <w:rPr>
                <w:rFonts w:hint="eastAsia" w:ascii="宋体" w:hAnsi="宋体"/>
                <w:bCs/>
              </w:rPr>
              <w:t>知识点：理解篇章词汇意义，分析长难句子结构。</w:t>
            </w:r>
          </w:p>
          <w:p w14:paraId="35CFC4E2">
            <w:pPr>
              <w:pStyle w:val="14"/>
              <w:widowControl w:val="0"/>
              <w:jc w:val="left"/>
              <w:rPr>
                <w:rFonts w:ascii="宋体" w:hAnsi="宋体"/>
                <w:bCs/>
              </w:rPr>
            </w:pPr>
            <w:r>
              <w:rPr>
                <w:rFonts w:hint="eastAsia" w:ascii="宋体" w:hAnsi="宋体"/>
                <w:bCs/>
              </w:rPr>
              <w:t>能力要求：能分析作者关于动物之间关爱之情的思想观点，学会概括及复述文章的主旨大意。</w:t>
            </w:r>
          </w:p>
          <w:p w14:paraId="62618436">
            <w:pPr>
              <w:pStyle w:val="14"/>
              <w:widowControl w:val="0"/>
              <w:jc w:val="left"/>
              <w:rPr>
                <w:rFonts w:ascii="宋体" w:hAnsi="宋体"/>
                <w:bCs/>
              </w:rPr>
            </w:pPr>
            <w:r>
              <w:rPr>
                <w:rFonts w:hint="eastAsia" w:ascii="宋体" w:hAnsi="宋体"/>
                <w:bCs/>
              </w:rPr>
              <w:t>教学重点：掌握重点词汇和长难句结构，培养社会主义关爱情怀。</w:t>
            </w:r>
          </w:p>
          <w:p w14:paraId="7034FDD3">
            <w:pPr>
              <w:pStyle w:val="14"/>
              <w:widowControl w:val="0"/>
              <w:jc w:val="left"/>
              <w:rPr>
                <w:rFonts w:ascii="仿宋" w:hAnsi="仿宋" w:eastAsia="仿宋" w:cs="仿宋"/>
              </w:rPr>
            </w:pPr>
            <w:r>
              <w:rPr>
                <w:rFonts w:hint="eastAsia" w:ascii="宋体" w:hAnsi="宋体"/>
                <w:bCs/>
              </w:rPr>
              <w:t>教学难点：了解阅读技巧Previewing，能对简单的篇章标题进行预览并把握主题。</w:t>
            </w:r>
          </w:p>
        </w:tc>
      </w:tr>
      <w:tr w14:paraId="0DE7A4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7EF7544">
            <w:pPr>
              <w:pStyle w:val="14"/>
              <w:widowControl w:val="0"/>
              <w:jc w:val="left"/>
              <w:rPr>
                <w:rFonts w:cs="Times New Roman"/>
              </w:rPr>
            </w:pPr>
            <w:r>
              <w:rPr>
                <w:rFonts w:hint="eastAsia" w:ascii="宋体" w:hAnsi="宋体"/>
              </w:rPr>
              <w:t>第二单元</w:t>
            </w:r>
            <w:r>
              <w:rPr>
                <w:rFonts w:cs="Times New Roman"/>
              </w:rPr>
              <w:t xml:space="preserve"> </w:t>
            </w:r>
            <w:r>
              <w:rPr>
                <w:rFonts w:hint="eastAsia" w:ascii="宋体" w:hAnsi="宋体"/>
              </w:rPr>
              <w:t xml:space="preserve"> </w:t>
            </w:r>
            <w:r>
              <w:rPr>
                <w:rFonts w:cs="Times New Roman"/>
              </w:rPr>
              <w:t>Young William Shakespeare</w:t>
            </w:r>
          </w:p>
          <w:p w14:paraId="42769970">
            <w:pPr>
              <w:pStyle w:val="14"/>
              <w:widowControl w:val="0"/>
              <w:jc w:val="left"/>
              <w:rPr>
                <w:rFonts w:ascii="宋体" w:hAnsi="宋体"/>
              </w:rPr>
            </w:pPr>
            <w:r>
              <w:rPr>
                <w:rFonts w:hint="eastAsia" w:ascii="宋体" w:hAnsi="宋体"/>
              </w:rPr>
              <w:t>知识点：知道莎士比亚的生平；理解莎士比亚能够取得成功的重要因素；分析重点词汇及长难点句。</w:t>
            </w:r>
          </w:p>
          <w:p w14:paraId="0C362251">
            <w:pPr>
              <w:pStyle w:val="14"/>
              <w:widowControl w:val="0"/>
              <w:jc w:val="left"/>
              <w:rPr>
                <w:rFonts w:ascii="宋体" w:hAnsi="宋体"/>
              </w:rPr>
            </w:pPr>
            <w:r>
              <w:rPr>
                <w:rFonts w:hint="eastAsia" w:ascii="宋体" w:hAnsi="宋体"/>
              </w:rPr>
              <w:t>能力要求：运用词汇知识及上下文的逻辑关系推断文中各部分的联系和作者的主要观点。</w:t>
            </w:r>
          </w:p>
          <w:p w14:paraId="5A0DC0F7">
            <w:pPr>
              <w:pStyle w:val="14"/>
              <w:widowControl w:val="0"/>
              <w:jc w:val="left"/>
              <w:rPr>
                <w:rFonts w:ascii="宋体" w:hAnsi="宋体"/>
              </w:rPr>
            </w:pPr>
            <w:r>
              <w:rPr>
                <w:rFonts w:hint="eastAsia" w:ascii="宋体" w:hAnsi="宋体"/>
              </w:rPr>
              <w:t>教学重点：了解传记类文章的特点，学会文章中人物的特点分析；通过细节推测主题。</w:t>
            </w:r>
          </w:p>
          <w:p w14:paraId="63FFA528">
            <w:pPr>
              <w:pStyle w:val="14"/>
              <w:widowControl w:val="0"/>
              <w:jc w:val="left"/>
              <w:rPr>
                <w:rFonts w:ascii="仿宋" w:hAnsi="仿宋" w:eastAsia="仿宋" w:cs="仿宋"/>
              </w:rPr>
            </w:pPr>
            <w:r>
              <w:rPr>
                <w:rFonts w:hint="eastAsia" w:ascii="宋体" w:hAnsi="宋体"/>
              </w:rPr>
              <w:t>教学难点：准确掌握文中各部分主旨大意；能够用英语介绍中国文化名人。</w:t>
            </w:r>
          </w:p>
        </w:tc>
      </w:tr>
      <w:tr w14:paraId="1E5AC5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541CE323">
            <w:pPr>
              <w:pStyle w:val="14"/>
              <w:widowControl w:val="0"/>
              <w:jc w:val="left"/>
              <w:rPr>
                <w:rFonts w:hint="default" w:eastAsia="宋体" w:cs="Times New Roman"/>
                <w:lang w:val="en-US" w:eastAsia="zh-CN"/>
              </w:rPr>
            </w:pPr>
            <w:r>
              <w:rPr>
                <w:rFonts w:hint="eastAsia" w:ascii="宋体" w:hAnsi="宋体"/>
              </w:rPr>
              <w:t xml:space="preserve">第三单元 </w:t>
            </w:r>
            <w:r>
              <w:rPr>
                <w:rFonts w:hint="eastAsia" w:cs="Times New Roman"/>
                <w:lang w:val="en-US" w:eastAsia="zh-CN"/>
              </w:rPr>
              <w:t>The Happy Prince</w:t>
            </w:r>
          </w:p>
          <w:p w14:paraId="396E609B">
            <w:pPr>
              <w:pStyle w:val="14"/>
              <w:widowControl w:val="0"/>
              <w:jc w:val="left"/>
              <w:rPr>
                <w:rFonts w:ascii="宋体" w:hAnsi="宋体"/>
              </w:rPr>
            </w:pPr>
            <w:r>
              <w:rPr>
                <w:rFonts w:hint="eastAsia" w:ascii="宋体" w:hAnsi="宋体"/>
              </w:rPr>
              <w:t>知识点：知道</w:t>
            </w:r>
            <w:r>
              <w:rPr>
                <w:rFonts w:hint="eastAsia" w:ascii="宋体" w:hAnsi="宋体"/>
                <w:lang w:val="en-US" w:eastAsia="zh-CN"/>
              </w:rPr>
              <w:t>童话故事的写作特点</w:t>
            </w:r>
            <w:r>
              <w:rPr>
                <w:rFonts w:hint="eastAsia" w:ascii="宋体" w:hAnsi="宋体"/>
              </w:rPr>
              <w:t>；理解</w:t>
            </w:r>
            <w:r>
              <w:rPr>
                <w:rFonts w:hint="eastAsia" w:ascii="宋体" w:hAnsi="宋体"/>
                <w:lang w:val="en-US" w:eastAsia="zh-CN"/>
              </w:rPr>
              <w:t>其要表达的主旨大意</w:t>
            </w:r>
            <w:r>
              <w:rPr>
                <w:rFonts w:hint="eastAsia" w:ascii="宋体" w:hAnsi="宋体"/>
              </w:rPr>
              <w:t>；分析重点词汇及长难点句。</w:t>
            </w:r>
          </w:p>
          <w:p w14:paraId="59BD59EB">
            <w:pPr>
              <w:pStyle w:val="14"/>
              <w:widowControl w:val="0"/>
              <w:jc w:val="left"/>
              <w:rPr>
                <w:rFonts w:ascii="宋体" w:hAnsi="宋体"/>
              </w:rPr>
            </w:pPr>
            <w:r>
              <w:rPr>
                <w:rFonts w:hint="eastAsia" w:ascii="宋体" w:hAnsi="宋体"/>
              </w:rPr>
              <w:t>能力要求：运用词汇知识及上下文的逻辑关系推断文中各部分的联系和作者的主要观点。</w:t>
            </w:r>
          </w:p>
          <w:p w14:paraId="4D9A30AC">
            <w:pPr>
              <w:pStyle w:val="14"/>
              <w:widowControl w:val="0"/>
              <w:jc w:val="left"/>
              <w:rPr>
                <w:rFonts w:ascii="宋体" w:hAnsi="宋体"/>
              </w:rPr>
            </w:pPr>
            <w:r>
              <w:rPr>
                <w:rFonts w:hint="eastAsia" w:ascii="宋体" w:hAnsi="宋体"/>
              </w:rPr>
              <w:t>教学重点：了解</w:t>
            </w:r>
            <w:r>
              <w:rPr>
                <w:rFonts w:hint="eastAsia" w:ascii="宋体" w:hAnsi="宋体"/>
                <w:lang w:val="en-US" w:eastAsia="zh-CN"/>
              </w:rPr>
              <w:t>童话故事</w:t>
            </w:r>
            <w:r>
              <w:rPr>
                <w:rFonts w:hint="eastAsia" w:ascii="宋体" w:hAnsi="宋体"/>
              </w:rPr>
              <w:t>的特点，推测主题</w:t>
            </w:r>
            <w:r>
              <w:rPr>
                <w:rFonts w:hint="eastAsia" w:ascii="宋体" w:hAnsi="宋体"/>
                <w:lang w:val="en-US" w:eastAsia="zh-CN"/>
              </w:rPr>
              <w:t>思想</w:t>
            </w:r>
            <w:r>
              <w:rPr>
                <w:rFonts w:hint="eastAsia" w:ascii="宋体" w:hAnsi="宋体"/>
              </w:rPr>
              <w:t>。</w:t>
            </w:r>
          </w:p>
          <w:p w14:paraId="64C71B8F">
            <w:pPr>
              <w:pStyle w:val="14"/>
              <w:widowControl w:val="0"/>
              <w:jc w:val="left"/>
              <w:rPr>
                <w:rFonts w:ascii="宋体" w:hAnsi="宋体"/>
              </w:rPr>
            </w:pPr>
            <w:r>
              <w:rPr>
                <w:rFonts w:hint="eastAsia" w:ascii="宋体" w:hAnsi="宋体"/>
              </w:rPr>
              <w:t>教学难点：准确掌握文中各部分主旨大意；能够用</w:t>
            </w:r>
            <w:r>
              <w:rPr>
                <w:rFonts w:hint="eastAsia" w:ascii="宋体" w:hAnsi="宋体"/>
                <w:lang w:val="en-US" w:eastAsia="zh-CN"/>
              </w:rPr>
              <w:t>英语复述童话故事的大意</w:t>
            </w:r>
            <w:r>
              <w:rPr>
                <w:rFonts w:hint="eastAsia" w:ascii="宋体" w:hAnsi="宋体"/>
              </w:rPr>
              <w:t>。</w:t>
            </w:r>
          </w:p>
        </w:tc>
      </w:tr>
      <w:tr w14:paraId="580443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E61B762">
            <w:pPr>
              <w:pStyle w:val="14"/>
              <w:widowControl w:val="0"/>
              <w:jc w:val="left"/>
              <w:rPr>
                <w:rFonts w:ascii="宋体" w:hAnsi="宋体"/>
              </w:rPr>
            </w:pPr>
            <w:r>
              <w:rPr>
                <w:rFonts w:hint="eastAsia" w:ascii="宋体" w:hAnsi="宋体"/>
              </w:rPr>
              <w:t xml:space="preserve">第四单元 </w:t>
            </w:r>
            <w:r>
              <w:rPr>
                <w:rFonts w:cs="Times New Roman"/>
              </w:rPr>
              <w:t>Migratory Birds and Coffee</w:t>
            </w:r>
          </w:p>
          <w:p w14:paraId="2D618FFF">
            <w:pPr>
              <w:pStyle w:val="14"/>
              <w:widowControl w:val="0"/>
              <w:jc w:val="left"/>
              <w:rPr>
                <w:rFonts w:ascii="宋体" w:hAnsi="宋体"/>
              </w:rPr>
            </w:pPr>
            <w:r>
              <w:rPr>
                <w:rFonts w:hint="eastAsia" w:ascii="宋体" w:hAnsi="宋体"/>
              </w:rPr>
              <w:t>知识点：知道荫栽咖啡在候鸟保护中的重要作用，理解篇章词汇意义，分析长难句子结构。</w:t>
            </w:r>
          </w:p>
          <w:p w14:paraId="5F58B893">
            <w:pPr>
              <w:pStyle w:val="14"/>
              <w:widowControl w:val="0"/>
              <w:jc w:val="left"/>
              <w:rPr>
                <w:rFonts w:ascii="宋体" w:hAnsi="宋体"/>
              </w:rPr>
            </w:pPr>
            <w:r>
              <w:rPr>
                <w:rFonts w:hint="eastAsia" w:ascii="宋体" w:hAnsi="宋体"/>
              </w:rPr>
              <w:t>能力要求：能够理解文章的背景知识及主旨大意；分析环境保护的重要意义，培养生态保护意识。</w:t>
            </w:r>
          </w:p>
          <w:p w14:paraId="050B914D">
            <w:pPr>
              <w:pStyle w:val="14"/>
              <w:widowControl w:val="0"/>
              <w:jc w:val="left"/>
              <w:rPr>
                <w:rFonts w:ascii="宋体" w:hAnsi="宋体"/>
              </w:rPr>
            </w:pPr>
            <w:r>
              <w:rPr>
                <w:rFonts w:hint="eastAsia" w:ascii="宋体" w:hAnsi="宋体"/>
              </w:rPr>
              <w:t>教学重点：理解荫栽咖啡和候鸟保护的联系；掌握阅读技巧“</w:t>
            </w:r>
            <w:r>
              <w:rPr>
                <w:rFonts w:cs="Times New Roman"/>
              </w:rPr>
              <w:t>understanding the topic</w:t>
            </w:r>
            <w:r>
              <w:rPr>
                <w:rFonts w:hint="eastAsia" w:ascii="宋体" w:hAnsi="宋体"/>
              </w:rPr>
              <w:t>”。</w:t>
            </w:r>
          </w:p>
          <w:p w14:paraId="0E70D2A1">
            <w:pPr>
              <w:pStyle w:val="14"/>
              <w:widowControl w:val="0"/>
              <w:jc w:val="left"/>
              <w:rPr>
                <w:rFonts w:ascii="宋体" w:hAnsi="宋体"/>
              </w:rPr>
            </w:pPr>
            <w:r>
              <w:rPr>
                <w:rFonts w:hint="eastAsia" w:ascii="宋体" w:hAnsi="宋体"/>
              </w:rPr>
              <w:t>教学难点：掌握阅读技巧“</w:t>
            </w:r>
            <w:r>
              <w:rPr>
                <w:rFonts w:cs="Times New Roman"/>
              </w:rPr>
              <w:t>understanding the topic</w:t>
            </w:r>
            <w:r>
              <w:rPr>
                <w:rFonts w:hint="eastAsia" w:ascii="宋体" w:hAnsi="宋体"/>
              </w:rPr>
              <w:t>”，能在阅读篇章练习中明确主题。</w:t>
            </w:r>
          </w:p>
        </w:tc>
      </w:tr>
      <w:tr w14:paraId="73170A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99A4864">
            <w:pPr>
              <w:pStyle w:val="14"/>
              <w:widowControl w:val="0"/>
              <w:jc w:val="left"/>
              <w:rPr>
                <w:rFonts w:cs="Times New Roman"/>
              </w:rPr>
            </w:pPr>
            <w:r>
              <w:rPr>
                <w:rFonts w:hint="eastAsia" w:ascii="宋体" w:hAnsi="宋体"/>
              </w:rPr>
              <w:t xml:space="preserve">第五单元 </w:t>
            </w:r>
            <w:r>
              <w:rPr>
                <w:rFonts w:cs="Times New Roman"/>
              </w:rPr>
              <w:t>Cheating</w:t>
            </w:r>
          </w:p>
          <w:p w14:paraId="7D90CFFA">
            <w:pPr>
              <w:pStyle w:val="14"/>
              <w:widowControl w:val="0"/>
              <w:jc w:val="left"/>
              <w:rPr>
                <w:rFonts w:ascii="宋体" w:hAnsi="宋体"/>
              </w:rPr>
            </w:pPr>
            <w:r>
              <w:rPr>
                <w:rFonts w:hint="eastAsia" w:ascii="宋体" w:hAnsi="宋体"/>
              </w:rPr>
              <w:t>知识点：知道倒叙的写作方法；理解篇章词汇意义；分析文中小男孩作弊的原因。</w:t>
            </w:r>
          </w:p>
          <w:p w14:paraId="1A19F9A7">
            <w:pPr>
              <w:pStyle w:val="14"/>
              <w:widowControl w:val="0"/>
              <w:jc w:val="left"/>
              <w:rPr>
                <w:rFonts w:ascii="宋体" w:hAnsi="宋体"/>
              </w:rPr>
            </w:pPr>
            <w:r>
              <w:rPr>
                <w:rFonts w:hint="eastAsia" w:ascii="宋体" w:hAnsi="宋体"/>
              </w:rPr>
              <w:t>能力要求：分析作弊的弊端及对诚信的影响；运用阅读技巧</w:t>
            </w:r>
            <w:r>
              <w:rPr>
                <w:rFonts w:ascii="宋体" w:hAnsi="宋体"/>
              </w:rPr>
              <w:t>“</w:t>
            </w:r>
            <w:r>
              <w:rPr>
                <w:rFonts w:cs="Times New Roman"/>
              </w:rPr>
              <w:t>Determining the Main Idea</w:t>
            </w:r>
            <w:r>
              <w:rPr>
                <w:rFonts w:hint="eastAsia" w:ascii="宋体" w:hAnsi="宋体"/>
              </w:rPr>
              <w:t>”。</w:t>
            </w:r>
          </w:p>
          <w:p w14:paraId="51088970">
            <w:pPr>
              <w:pStyle w:val="14"/>
              <w:widowControl w:val="0"/>
              <w:jc w:val="left"/>
              <w:rPr>
                <w:rFonts w:ascii="宋体" w:hAnsi="宋体"/>
              </w:rPr>
            </w:pPr>
            <w:r>
              <w:rPr>
                <w:rFonts w:hint="eastAsia" w:ascii="宋体" w:hAnsi="宋体"/>
              </w:rPr>
              <w:t>教学重点：了解倒叙的写作特点；理解篇章的长难句；掌握段落主题的概括。</w:t>
            </w:r>
          </w:p>
          <w:p w14:paraId="43165F55">
            <w:pPr>
              <w:pStyle w:val="14"/>
              <w:widowControl w:val="0"/>
              <w:jc w:val="left"/>
              <w:rPr>
                <w:rFonts w:ascii="宋体" w:hAnsi="宋体"/>
              </w:rPr>
            </w:pPr>
            <w:r>
              <w:rPr>
                <w:rFonts w:hint="eastAsia" w:ascii="宋体" w:hAnsi="宋体"/>
              </w:rPr>
              <w:t>教学难点：运用阅读技巧“</w:t>
            </w:r>
            <w:r>
              <w:rPr>
                <w:rFonts w:cs="Times New Roman"/>
              </w:rPr>
              <w:t>Determining the Main Idea</w:t>
            </w:r>
            <w:r>
              <w:rPr>
                <w:rFonts w:hint="eastAsia" w:ascii="宋体" w:hAnsi="宋体"/>
              </w:rPr>
              <w:t>”；社会主义诚信教育</w:t>
            </w:r>
          </w:p>
        </w:tc>
      </w:tr>
      <w:tr w14:paraId="75AA12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EFA4B86">
            <w:pPr>
              <w:pStyle w:val="14"/>
              <w:widowControl w:val="0"/>
              <w:jc w:val="left"/>
              <w:rPr>
                <w:rFonts w:cs="Times New Roman"/>
              </w:rPr>
            </w:pPr>
            <w:r>
              <w:rPr>
                <w:rFonts w:hint="eastAsia" w:ascii="宋体" w:hAnsi="宋体"/>
              </w:rPr>
              <w:t xml:space="preserve">第六单元 </w:t>
            </w:r>
            <w:r>
              <w:rPr>
                <w:rFonts w:cs="Times New Roman"/>
              </w:rPr>
              <w:t>Fool’s Paradise</w:t>
            </w:r>
          </w:p>
          <w:p w14:paraId="1FC25382">
            <w:pPr>
              <w:pStyle w:val="14"/>
              <w:widowControl w:val="0"/>
              <w:jc w:val="left"/>
              <w:rPr>
                <w:rFonts w:ascii="宋体" w:hAnsi="宋体"/>
              </w:rPr>
            </w:pPr>
            <w:r>
              <w:rPr>
                <w:rFonts w:hint="eastAsia" w:ascii="宋体" w:hAnsi="宋体"/>
              </w:rPr>
              <w:t>知识点：知道课文标题的涵义；理解课文中的词汇和段落大意；分析课文主题现实和理想关系。</w:t>
            </w:r>
          </w:p>
          <w:p w14:paraId="3542D6AE">
            <w:pPr>
              <w:pStyle w:val="14"/>
              <w:widowControl w:val="0"/>
              <w:jc w:val="left"/>
              <w:rPr>
                <w:rFonts w:ascii="宋体" w:hAnsi="宋体"/>
              </w:rPr>
            </w:pPr>
            <w:r>
              <w:rPr>
                <w:rFonts w:hint="eastAsia" w:ascii="宋体" w:hAnsi="宋体"/>
              </w:rPr>
              <w:t>能力要求：能够分析鉴赏寓言故事，识别其中的教育意义。</w:t>
            </w:r>
          </w:p>
          <w:p w14:paraId="2CAF3B78">
            <w:pPr>
              <w:pStyle w:val="14"/>
              <w:widowControl w:val="0"/>
              <w:jc w:val="left"/>
              <w:rPr>
                <w:rFonts w:ascii="宋体" w:hAnsi="宋体"/>
              </w:rPr>
            </w:pPr>
            <w:r>
              <w:rPr>
                <w:rFonts w:hint="eastAsia" w:ascii="宋体" w:hAnsi="宋体"/>
              </w:rPr>
              <w:t>教学重点：课文主题分析和标题理解，分析寓言故事的寓意。</w:t>
            </w:r>
          </w:p>
          <w:p w14:paraId="78D6EBB1">
            <w:pPr>
              <w:pStyle w:val="14"/>
              <w:widowControl w:val="0"/>
              <w:jc w:val="left"/>
              <w:rPr>
                <w:rFonts w:ascii="宋体" w:hAnsi="宋体"/>
              </w:rPr>
            </w:pPr>
            <w:r>
              <w:rPr>
                <w:rFonts w:hint="eastAsia" w:ascii="宋体" w:hAnsi="宋体"/>
              </w:rPr>
              <w:t>教学难点：理解现实和梦想的关系，树立正确务实的价值观：“努力工作，把握当下。”</w:t>
            </w:r>
          </w:p>
        </w:tc>
      </w:tr>
      <w:tr w14:paraId="5058A0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E89F1CC">
            <w:pPr>
              <w:pStyle w:val="14"/>
              <w:widowControl w:val="0"/>
              <w:jc w:val="left"/>
              <w:rPr>
                <w:rFonts w:hint="default" w:eastAsia="宋体" w:cs="Times New Roman"/>
                <w:lang w:val="en-US" w:eastAsia="zh-CN"/>
              </w:rPr>
            </w:pPr>
            <w:r>
              <w:rPr>
                <w:rFonts w:hint="eastAsia" w:ascii="宋体" w:hAnsi="宋体"/>
              </w:rPr>
              <w:t xml:space="preserve">第七单元 </w:t>
            </w:r>
            <w:r>
              <w:rPr>
                <w:rFonts w:cs="Times New Roman"/>
              </w:rPr>
              <w:t xml:space="preserve"> </w:t>
            </w:r>
            <w:r>
              <w:rPr>
                <w:rFonts w:hint="eastAsia" w:cs="Times New Roman"/>
                <w:lang w:val="en-US" w:eastAsia="zh-CN"/>
              </w:rPr>
              <w:t>London</w:t>
            </w:r>
          </w:p>
          <w:p w14:paraId="298ACBFC">
            <w:pPr>
              <w:pStyle w:val="14"/>
              <w:widowControl w:val="0"/>
              <w:jc w:val="left"/>
              <w:rPr>
                <w:rFonts w:ascii="宋体" w:hAnsi="宋体"/>
              </w:rPr>
            </w:pPr>
            <w:r>
              <w:rPr>
                <w:rFonts w:hint="eastAsia" w:ascii="宋体" w:hAnsi="宋体"/>
              </w:rPr>
              <w:t>知识点：知道伦敦城市的结构和地标性建筑；理解说明文的写作方法。</w:t>
            </w:r>
          </w:p>
          <w:p w14:paraId="5DBA1F60">
            <w:pPr>
              <w:pStyle w:val="14"/>
              <w:widowControl w:val="0"/>
              <w:jc w:val="left"/>
              <w:rPr>
                <w:rFonts w:ascii="宋体" w:hAnsi="宋体"/>
              </w:rPr>
            </w:pPr>
            <w:r>
              <w:rPr>
                <w:rFonts w:hint="eastAsia" w:ascii="宋体" w:hAnsi="宋体"/>
              </w:rPr>
              <w:t>能力要求：理解说明文题材文章的空间顺序；运用说明文写作技巧介绍中国某个城市的特色建筑。</w:t>
            </w:r>
          </w:p>
          <w:p w14:paraId="7FBEB4D5">
            <w:pPr>
              <w:pStyle w:val="14"/>
              <w:widowControl w:val="0"/>
              <w:jc w:val="left"/>
              <w:rPr>
                <w:rFonts w:ascii="宋体" w:hAnsi="宋体"/>
              </w:rPr>
            </w:pPr>
            <w:r>
              <w:rPr>
                <w:rFonts w:hint="eastAsia" w:ascii="宋体" w:hAnsi="宋体"/>
              </w:rPr>
              <w:t>教学重点：掌握伦敦城市的主要地标性建筑；说明文中的空间顺序的应运。</w:t>
            </w:r>
          </w:p>
          <w:p w14:paraId="71A353B8">
            <w:pPr>
              <w:pStyle w:val="14"/>
              <w:widowControl w:val="0"/>
              <w:jc w:val="left"/>
              <w:rPr>
                <w:rFonts w:ascii="宋体" w:hAnsi="宋体"/>
              </w:rPr>
            </w:pPr>
            <w:r>
              <w:rPr>
                <w:rFonts w:hint="eastAsia" w:ascii="宋体" w:hAnsi="宋体"/>
              </w:rPr>
              <w:t>教学难点：应运说明文介绍某个城市；掌握方位词的运用。</w:t>
            </w:r>
          </w:p>
        </w:tc>
      </w:tr>
      <w:bookmarkEnd w:id="0"/>
      <w:bookmarkEnd w:id="1"/>
    </w:tbl>
    <w:p w14:paraId="13D1F6F4">
      <w:pPr>
        <w:pStyle w:val="17"/>
        <w:spacing w:before="81" w:after="163"/>
      </w:pPr>
      <w:r>
        <w:rPr>
          <w:rFonts w:hint="eastAsia"/>
        </w:rPr>
        <w:t>（二）教学单元对课程目标的支撑关系</w:t>
      </w:r>
    </w:p>
    <w:tbl>
      <w:tblPr>
        <w:tblStyle w:val="7"/>
        <w:tblW w:w="37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037"/>
        <w:gridCol w:w="1099"/>
        <w:gridCol w:w="1099"/>
        <w:gridCol w:w="1099"/>
        <w:gridCol w:w="1097"/>
      </w:tblGrid>
      <w:tr w14:paraId="25B7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2037" w:type="dxa"/>
            <w:tcBorders>
              <w:top w:val="single" w:color="auto" w:sz="12" w:space="0"/>
              <w:left w:val="single" w:color="auto" w:sz="12" w:space="0"/>
              <w:tl2br w:val="single" w:color="auto" w:sz="4" w:space="0"/>
            </w:tcBorders>
          </w:tcPr>
          <w:p w14:paraId="12F55A6E">
            <w:pPr>
              <w:pStyle w:val="13"/>
              <w:ind w:firstLine="489"/>
              <w:jc w:val="right"/>
              <w:rPr>
                <w:szCs w:val="16"/>
              </w:rPr>
            </w:pPr>
            <w:r>
              <w:rPr>
                <w:rFonts w:hint="eastAsia"/>
                <w:szCs w:val="16"/>
              </w:rPr>
              <w:t>课程目标</w:t>
            </w:r>
          </w:p>
          <w:p w14:paraId="30908562">
            <w:pPr>
              <w:pStyle w:val="13"/>
              <w:ind w:right="210"/>
              <w:jc w:val="left"/>
              <w:rPr>
                <w:szCs w:val="16"/>
              </w:rPr>
            </w:pPr>
          </w:p>
          <w:p w14:paraId="6346FFC7">
            <w:pPr>
              <w:pStyle w:val="13"/>
              <w:ind w:right="210"/>
              <w:jc w:val="left"/>
              <w:rPr>
                <w:szCs w:val="16"/>
              </w:rPr>
            </w:pPr>
            <w:r>
              <w:rPr>
                <w:rFonts w:hint="eastAsia"/>
                <w:szCs w:val="16"/>
              </w:rPr>
              <w:t>教学单元</w:t>
            </w:r>
          </w:p>
        </w:tc>
        <w:tc>
          <w:tcPr>
            <w:tcW w:w="1099" w:type="dxa"/>
            <w:tcBorders>
              <w:top w:val="single" w:color="auto" w:sz="12" w:space="0"/>
            </w:tcBorders>
            <w:vAlign w:val="center"/>
          </w:tcPr>
          <w:p w14:paraId="25B126AA">
            <w:pPr>
              <w:pStyle w:val="13"/>
              <w:rPr>
                <w:szCs w:val="16"/>
              </w:rPr>
            </w:pPr>
            <w:r>
              <w:rPr>
                <w:szCs w:val="16"/>
              </w:rPr>
              <w:t>1</w:t>
            </w:r>
          </w:p>
        </w:tc>
        <w:tc>
          <w:tcPr>
            <w:tcW w:w="1099" w:type="dxa"/>
            <w:tcBorders>
              <w:top w:val="single" w:color="auto" w:sz="12" w:space="0"/>
            </w:tcBorders>
            <w:vAlign w:val="center"/>
          </w:tcPr>
          <w:p w14:paraId="2D76A43C">
            <w:pPr>
              <w:pStyle w:val="13"/>
              <w:rPr>
                <w:szCs w:val="16"/>
              </w:rPr>
            </w:pPr>
            <w:r>
              <w:rPr>
                <w:szCs w:val="16"/>
              </w:rPr>
              <w:t>2</w:t>
            </w:r>
          </w:p>
        </w:tc>
        <w:tc>
          <w:tcPr>
            <w:tcW w:w="1099" w:type="dxa"/>
            <w:tcBorders>
              <w:top w:val="single" w:color="auto" w:sz="12" w:space="0"/>
            </w:tcBorders>
            <w:vAlign w:val="center"/>
          </w:tcPr>
          <w:p w14:paraId="081F2D75">
            <w:pPr>
              <w:pStyle w:val="13"/>
              <w:rPr>
                <w:szCs w:val="16"/>
              </w:rPr>
            </w:pPr>
            <w:r>
              <w:rPr>
                <w:szCs w:val="16"/>
              </w:rPr>
              <w:t>3</w:t>
            </w:r>
          </w:p>
        </w:tc>
        <w:tc>
          <w:tcPr>
            <w:tcW w:w="1097" w:type="dxa"/>
            <w:tcBorders>
              <w:top w:val="single" w:color="auto" w:sz="12" w:space="0"/>
            </w:tcBorders>
            <w:vAlign w:val="center"/>
          </w:tcPr>
          <w:p w14:paraId="7D1A639A">
            <w:pPr>
              <w:pStyle w:val="13"/>
              <w:rPr>
                <w:szCs w:val="16"/>
              </w:rPr>
            </w:pPr>
            <w:r>
              <w:rPr>
                <w:rFonts w:hint="eastAsia"/>
                <w:szCs w:val="16"/>
              </w:rPr>
              <w:t>4</w:t>
            </w:r>
          </w:p>
        </w:tc>
      </w:tr>
      <w:tr w14:paraId="07BC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1C8E585F">
            <w:pPr>
              <w:pStyle w:val="14"/>
              <w:widowControl w:val="0"/>
              <w:jc w:val="left"/>
            </w:pPr>
            <w:r>
              <w:rPr>
                <w:rFonts w:hint="eastAsia" w:ascii="宋体" w:hAnsi="宋体"/>
                <w:bCs/>
              </w:rPr>
              <w:t xml:space="preserve">第一单元 </w:t>
            </w:r>
            <w:r>
              <w:rPr>
                <w:rFonts w:cs="Times New Roman"/>
                <w:bCs/>
              </w:rPr>
              <w:t>Love</w:t>
            </w:r>
          </w:p>
        </w:tc>
        <w:tc>
          <w:tcPr>
            <w:tcW w:w="1099" w:type="dxa"/>
            <w:vAlign w:val="center"/>
          </w:tcPr>
          <w:p w14:paraId="0B634804">
            <w:pPr>
              <w:pStyle w:val="14"/>
            </w:pPr>
            <w:r>
              <w:rPr>
                <w:rFonts w:ascii="宋体" w:hAnsi="宋体"/>
                <w:color w:val="000000" w:themeColor="text1"/>
                <w14:textFill>
                  <w14:solidFill>
                    <w14:schemeClr w14:val="tx1"/>
                  </w14:solidFill>
                </w14:textFill>
              </w:rPr>
              <w:t>√</w:t>
            </w:r>
          </w:p>
        </w:tc>
        <w:tc>
          <w:tcPr>
            <w:tcW w:w="1099" w:type="dxa"/>
            <w:vAlign w:val="center"/>
          </w:tcPr>
          <w:p w14:paraId="200C77B0">
            <w:pPr>
              <w:pStyle w:val="14"/>
            </w:pPr>
            <w:r>
              <w:rPr>
                <w:rFonts w:ascii="宋体" w:hAnsi="宋体"/>
                <w:color w:val="000000" w:themeColor="text1"/>
                <w14:textFill>
                  <w14:solidFill>
                    <w14:schemeClr w14:val="tx1"/>
                  </w14:solidFill>
                </w14:textFill>
              </w:rPr>
              <w:t>√</w:t>
            </w:r>
          </w:p>
        </w:tc>
        <w:tc>
          <w:tcPr>
            <w:tcW w:w="1099" w:type="dxa"/>
            <w:vAlign w:val="center"/>
          </w:tcPr>
          <w:p w14:paraId="4A88530E">
            <w:pPr>
              <w:pStyle w:val="14"/>
            </w:pPr>
          </w:p>
        </w:tc>
        <w:tc>
          <w:tcPr>
            <w:tcW w:w="1097" w:type="dxa"/>
            <w:vAlign w:val="center"/>
          </w:tcPr>
          <w:p w14:paraId="7E0C5BAB">
            <w:pPr>
              <w:pStyle w:val="14"/>
            </w:pPr>
          </w:p>
        </w:tc>
      </w:tr>
      <w:tr w14:paraId="644E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17C690B7">
            <w:pPr>
              <w:pStyle w:val="14"/>
              <w:widowControl w:val="0"/>
              <w:jc w:val="left"/>
            </w:pPr>
            <w:r>
              <w:rPr>
                <w:rFonts w:hint="eastAsia" w:ascii="宋体" w:hAnsi="宋体"/>
              </w:rPr>
              <w:t>第二单元</w:t>
            </w:r>
            <w:r>
              <w:rPr>
                <w:rFonts w:cs="Times New Roman"/>
              </w:rPr>
              <w:t xml:space="preserve"> Young William Shakespeare</w:t>
            </w:r>
          </w:p>
        </w:tc>
        <w:tc>
          <w:tcPr>
            <w:tcW w:w="1099" w:type="dxa"/>
            <w:vAlign w:val="center"/>
          </w:tcPr>
          <w:p w14:paraId="2A3B8E08">
            <w:pPr>
              <w:pStyle w:val="14"/>
            </w:pPr>
            <w:r>
              <w:rPr>
                <w:rFonts w:ascii="宋体" w:hAnsi="宋体"/>
                <w:color w:val="000000" w:themeColor="text1"/>
                <w14:textFill>
                  <w14:solidFill>
                    <w14:schemeClr w14:val="tx1"/>
                  </w14:solidFill>
                </w14:textFill>
              </w:rPr>
              <w:t>√</w:t>
            </w:r>
          </w:p>
        </w:tc>
        <w:tc>
          <w:tcPr>
            <w:tcW w:w="1099" w:type="dxa"/>
            <w:vAlign w:val="center"/>
          </w:tcPr>
          <w:p w14:paraId="0F194C87">
            <w:pPr>
              <w:pStyle w:val="14"/>
            </w:pPr>
            <w:r>
              <w:rPr>
                <w:rFonts w:ascii="宋体" w:hAnsi="宋体"/>
                <w:color w:val="000000" w:themeColor="text1"/>
                <w14:textFill>
                  <w14:solidFill>
                    <w14:schemeClr w14:val="tx1"/>
                  </w14:solidFill>
                </w14:textFill>
              </w:rPr>
              <w:t>√</w:t>
            </w:r>
          </w:p>
        </w:tc>
        <w:tc>
          <w:tcPr>
            <w:tcW w:w="1099" w:type="dxa"/>
            <w:vAlign w:val="center"/>
          </w:tcPr>
          <w:p w14:paraId="19544342">
            <w:pPr>
              <w:pStyle w:val="14"/>
            </w:pPr>
            <w:r>
              <w:rPr>
                <w:rFonts w:ascii="宋体" w:hAnsi="宋体"/>
                <w:color w:val="000000" w:themeColor="text1"/>
                <w14:textFill>
                  <w14:solidFill>
                    <w14:schemeClr w14:val="tx1"/>
                  </w14:solidFill>
                </w14:textFill>
              </w:rPr>
              <w:t>√</w:t>
            </w:r>
          </w:p>
        </w:tc>
        <w:tc>
          <w:tcPr>
            <w:tcW w:w="1097" w:type="dxa"/>
            <w:vAlign w:val="center"/>
          </w:tcPr>
          <w:p w14:paraId="437D7B5C">
            <w:pPr>
              <w:pStyle w:val="14"/>
            </w:pPr>
            <w:r>
              <w:rPr>
                <w:rFonts w:ascii="宋体" w:hAnsi="宋体"/>
                <w:color w:val="000000" w:themeColor="text1"/>
                <w14:textFill>
                  <w14:solidFill>
                    <w14:schemeClr w14:val="tx1"/>
                  </w14:solidFill>
                </w14:textFill>
              </w:rPr>
              <w:t>√</w:t>
            </w:r>
          </w:p>
        </w:tc>
      </w:tr>
      <w:tr w14:paraId="0BC9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53816AA7">
            <w:pPr>
              <w:pStyle w:val="14"/>
              <w:widowControl w:val="0"/>
              <w:jc w:val="left"/>
              <w:rPr>
                <w:rFonts w:hint="default" w:eastAsia="宋体"/>
                <w:lang w:val="en-US" w:eastAsia="zh-CN"/>
              </w:rPr>
            </w:pPr>
            <w:r>
              <w:rPr>
                <w:rFonts w:hint="eastAsia" w:ascii="宋体" w:hAnsi="宋体"/>
              </w:rPr>
              <w:t xml:space="preserve">第三单元 </w:t>
            </w:r>
            <w:r>
              <w:rPr>
                <w:rFonts w:hint="eastAsia" w:cs="Times New Roman"/>
                <w:lang w:val="en-US" w:eastAsia="zh-CN"/>
              </w:rPr>
              <w:t>The Happy Prince</w:t>
            </w:r>
          </w:p>
        </w:tc>
        <w:tc>
          <w:tcPr>
            <w:tcW w:w="1099" w:type="dxa"/>
            <w:vAlign w:val="center"/>
          </w:tcPr>
          <w:p w14:paraId="17048DA1">
            <w:pPr>
              <w:pStyle w:val="14"/>
            </w:pPr>
            <w:r>
              <w:rPr>
                <w:rFonts w:ascii="宋体" w:hAnsi="宋体"/>
                <w:color w:val="000000" w:themeColor="text1"/>
                <w14:textFill>
                  <w14:solidFill>
                    <w14:schemeClr w14:val="tx1"/>
                  </w14:solidFill>
                </w14:textFill>
              </w:rPr>
              <w:t>√</w:t>
            </w:r>
          </w:p>
        </w:tc>
        <w:tc>
          <w:tcPr>
            <w:tcW w:w="1099" w:type="dxa"/>
            <w:vAlign w:val="center"/>
          </w:tcPr>
          <w:p w14:paraId="36CA0794">
            <w:pPr>
              <w:pStyle w:val="14"/>
            </w:pPr>
            <w:r>
              <w:rPr>
                <w:rFonts w:ascii="宋体" w:hAnsi="宋体"/>
                <w:color w:val="000000" w:themeColor="text1"/>
                <w14:textFill>
                  <w14:solidFill>
                    <w14:schemeClr w14:val="tx1"/>
                  </w14:solidFill>
                </w14:textFill>
              </w:rPr>
              <w:t>√</w:t>
            </w:r>
          </w:p>
        </w:tc>
        <w:tc>
          <w:tcPr>
            <w:tcW w:w="1099" w:type="dxa"/>
            <w:vAlign w:val="center"/>
          </w:tcPr>
          <w:p w14:paraId="55904004">
            <w:pPr>
              <w:pStyle w:val="14"/>
            </w:pPr>
            <w:r>
              <w:rPr>
                <w:rFonts w:ascii="宋体" w:hAnsi="宋体"/>
                <w:color w:val="000000" w:themeColor="text1"/>
                <w14:textFill>
                  <w14:solidFill>
                    <w14:schemeClr w14:val="tx1"/>
                  </w14:solidFill>
                </w14:textFill>
              </w:rPr>
              <w:t>√</w:t>
            </w:r>
          </w:p>
        </w:tc>
        <w:tc>
          <w:tcPr>
            <w:tcW w:w="1097" w:type="dxa"/>
            <w:vAlign w:val="center"/>
          </w:tcPr>
          <w:p w14:paraId="7FE725F7">
            <w:pPr>
              <w:pStyle w:val="14"/>
            </w:pPr>
            <w:r>
              <w:rPr>
                <w:rFonts w:ascii="宋体" w:hAnsi="宋体"/>
                <w:color w:val="000000" w:themeColor="text1"/>
                <w14:textFill>
                  <w14:solidFill>
                    <w14:schemeClr w14:val="tx1"/>
                  </w14:solidFill>
                </w14:textFill>
              </w:rPr>
              <w:t>√</w:t>
            </w:r>
          </w:p>
        </w:tc>
      </w:tr>
      <w:tr w14:paraId="7E77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1A5ADA61">
            <w:pPr>
              <w:pStyle w:val="14"/>
              <w:widowControl w:val="0"/>
              <w:jc w:val="left"/>
            </w:pPr>
            <w:r>
              <w:rPr>
                <w:rFonts w:hint="eastAsia" w:ascii="宋体" w:hAnsi="宋体"/>
              </w:rPr>
              <w:t xml:space="preserve">第四单元 </w:t>
            </w:r>
            <w:r>
              <w:rPr>
                <w:rFonts w:cs="Times New Roman"/>
              </w:rPr>
              <w:t>Migratory Birds and Coffee</w:t>
            </w:r>
          </w:p>
        </w:tc>
        <w:tc>
          <w:tcPr>
            <w:tcW w:w="1099" w:type="dxa"/>
            <w:vAlign w:val="center"/>
          </w:tcPr>
          <w:p w14:paraId="4BF009F0">
            <w:pPr>
              <w:pStyle w:val="14"/>
            </w:pPr>
            <w:r>
              <w:rPr>
                <w:rFonts w:ascii="宋体" w:hAnsi="宋体"/>
                <w:color w:val="000000" w:themeColor="text1"/>
                <w14:textFill>
                  <w14:solidFill>
                    <w14:schemeClr w14:val="tx1"/>
                  </w14:solidFill>
                </w14:textFill>
              </w:rPr>
              <w:t>√</w:t>
            </w:r>
          </w:p>
        </w:tc>
        <w:tc>
          <w:tcPr>
            <w:tcW w:w="1099" w:type="dxa"/>
            <w:vAlign w:val="center"/>
          </w:tcPr>
          <w:p w14:paraId="54628202">
            <w:pPr>
              <w:pStyle w:val="14"/>
            </w:pPr>
            <w:r>
              <w:rPr>
                <w:rFonts w:ascii="宋体" w:hAnsi="宋体"/>
                <w:color w:val="000000" w:themeColor="text1"/>
                <w14:textFill>
                  <w14:solidFill>
                    <w14:schemeClr w14:val="tx1"/>
                  </w14:solidFill>
                </w14:textFill>
              </w:rPr>
              <w:t>√</w:t>
            </w:r>
          </w:p>
        </w:tc>
        <w:tc>
          <w:tcPr>
            <w:tcW w:w="1099" w:type="dxa"/>
            <w:vAlign w:val="center"/>
          </w:tcPr>
          <w:p w14:paraId="2ACE7B12">
            <w:pPr>
              <w:pStyle w:val="14"/>
            </w:pPr>
          </w:p>
        </w:tc>
        <w:tc>
          <w:tcPr>
            <w:tcW w:w="1097" w:type="dxa"/>
            <w:vAlign w:val="center"/>
          </w:tcPr>
          <w:p w14:paraId="353E4640">
            <w:pPr>
              <w:pStyle w:val="14"/>
            </w:pPr>
          </w:p>
        </w:tc>
      </w:tr>
      <w:tr w14:paraId="41C2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5838E015">
            <w:pPr>
              <w:pStyle w:val="14"/>
              <w:widowControl w:val="0"/>
              <w:jc w:val="left"/>
            </w:pPr>
            <w:r>
              <w:rPr>
                <w:rFonts w:hint="eastAsia" w:ascii="宋体" w:hAnsi="宋体"/>
              </w:rPr>
              <w:t xml:space="preserve">第五单元 </w:t>
            </w:r>
            <w:r>
              <w:rPr>
                <w:rFonts w:cs="Times New Roman"/>
              </w:rPr>
              <w:t>Cheating</w:t>
            </w:r>
          </w:p>
        </w:tc>
        <w:tc>
          <w:tcPr>
            <w:tcW w:w="1099" w:type="dxa"/>
            <w:vAlign w:val="center"/>
          </w:tcPr>
          <w:p w14:paraId="325DDF7D">
            <w:pPr>
              <w:pStyle w:val="14"/>
            </w:pPr>
            <w:r>
              <w:rPr>
                <w:rFonts w:ascii="宋体" w:hAnsi="宋体"/>
                <w:color w:val="000000" w:themeColor="text1"/>
                <w14:textFill>
                  <w14:solidFill>
                    <w14:schemeClr w14:val="tx1"/>
                  </w14:solidFill>
                </w14:textFill>
              </w:rPr>
              <w:t>√</w:t>
            </w:r>
          </w:p>
        </w:tc>
        <w:tc>
          <w:tcPr>
            <w:tcW w:w="1099" w:type="dxa"/>
            <w:vAlign w:val="center"/>
          </w:tcPr>
          <w:p w14:paraId="1214FF9E">
            <w:pPr>
              <w:pStyle w:val="14"/>
            </w:pPr>
            <w:r>
              <w:rPr>
                <w:rFonts w:ascii="宋体" w:hAnsi="宋体"/>
                <w:color w:val="000000" w:themeColor="text1"/>
                <w14:textFill>
                  <w14:solidFill>
                    <w14:schemeClr w14:val="tx1"/>
                  </w14:solidFill>
                </w14:textFill>
              </w:rPr>
              <w:t>√</w:t>
            </w:r>
          </w:p>
        </w:tc>
        <w:tc>
          <w:tcPr>
            <w:tcW w:w="1099" w:type="dxa"/>
            <w:vAlign w:val="center"/>
          </w:tcPr>
          <w:p w14:paraId="5AFA2F60">
            <w:pPr>
              <w:pStyle w:val="14"/>
            </w:pPr>
            <w:r>
              <w:rPr>
                <w:rFonts w:ascii="宋体" w:hAnsi="宋体"/>
                <w:color w:val="000000" w:themeColor="text1"/>
                <w14:textFill>
                  <w14:solidFill>
                    <w14:schemeClr w14:val="tx1"/>
                  </w14:solidFill>
                </w14:textFill>
              </w:rPr>
              <w:t>√</w:t>
            </w:r>
          </w:p>
        </w:tc>
        <w:tc>
          <w:tcPr>
            <w:tcW w:w="1097" w:type="dxa"/>
            <w:vAlign w:val="center"/>
          </w:tcPr>
          <w:p w14:paraId="0C24F744">
            <w:pPr>
              <w:pStyle w:val="14"/>
            </w:pPr>
            <w:r>
              <w:rPr>
                <w:rFonts w:ascii="宋体" w:hAnsi="宋体"/>
                <w:color w:val="000000" w:themeColor="text1"/>
                <w14:textFill>
                  <w14:solidFill>
                    <w14:schemeClr w14:val="tx1"/>
                  </w14:solidFill>
                </w14:textFill>
              </w:rPr>
              <w:t>√</w:t>
            </w:r>
          </w:p>
        </w:tc>
      </w:tr>
      <w:tr w14:paraId="4C1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1D820DB9">
            <w:pPr>
              <w:pStyle w:val="14"/>
              <w:widowControl w:val="0"/>
              <w:jc w:val="left"/>
            </w:pPr>
            <w:r>
              <w:rPr>
                <w:rFonts w:hint="eastAsia" w:ascii="宋体" w:hAnsi="宋体"/>
              </w:rPr>
              <w:t xml:space="preserve">第六单元 </w:t>
            </w:r>
            <w:r>
              <w:rPr>
                <w:rFonts w:cs="Times New Roman"/>
              </w:rPr>
              <w:t>Fool’s Paradise</w:t>
            </w:r>
          </w:p>
        </w:tc>
        <w:tc>
          <w:tcPr>
            <w:tcW w:w="1099" w:type="dxa"/>
            <w:vAlign w:val="center"/>
          </w:tcPr>
          <w:p w14:paraId="65802EE5">
            <w:pPr>
              <w:pStyle w:val="14"/>
            </w:pPr>
            <w:r>
              <w:rPr>
                <w:rFonts w:ascii="宋体" w:hAnsi="宋体"/>
                <w:color w:val="000000" w:themeColor="text1"/>
                <w14:textFill>
                  <w14:solidFill>
                    <w14:schemeClr w14:val="tx1"/>
                  </w14:solidFill>
                </w14:textFill>
              </w:rPr>
              <w:t>√</w:t>
            </w:r>
          </w:p>
        </w:tc>
        <w:tc>
          <w:tcPr>
            <w:tcW w:w="1099" w:type="dxa"/>
            <w:vAlign w:val="center"/>
          </w:tcPr>
          <w:p w14:paraId="6C395BA6">
            <w:pPr>
              <w:pStyle w:val="14"/>
            </w:pPr>
            <w:r>
              <w:rPr>
                <w:rFonts w:ascii="宋体" w:hAnsi="宋体"/>
                <w:color w:val="000000" w:themeColor="text1"/>
                <w14:textFill>
                  <w14:solidFill>
                    <w14:schemeClr w14:val="tx1"/>
                  </w14:solidFill>
                </w14:textFill>
              </w:rPr>
              <w:t>√</w:t>
            </w:r>
          </w:p>
        </w:tc>
        <w:tc>
          <w:tcPr>
            <w:tcW w:w="1099" w:type="dxa"/>
            <w:vAlign w:val="center"/>
          </w:tcPr>
          <w:p w14:paraId="0A03B3E2">
            <w:pPr>
              <w:pStyle w:val="14"/>
            </w:pPr>
            <w:r>
              <w:rPr>
                <w:rFonts w:ascii="宋体" w:hAnsi="宋体"/>
                <w:color w:val="000000" w:themeColor="text1"/>
                <w14:textFill>
                  <w14:solidFill>
                    <w14:schemeClr w14:val="tx1"/>
                  </w14:solidFill>
                </w14:textFill>
              </w:rPr>
              <w:t>√</w:t>
            </w:r>
          </w:p>
        </w:tc>
        <w:tc>
          <w:tcPr>
            <w:tcW w:w="1097" w:type="dxa"/>
            <w:vAlign w:val="center"/>
          </w:tcPr>
          <w:p w14:paraId="235DEFC7">
            <w:pPr>
              <w:pStyle w:val="14"/>
            </w:pPr>
            <w:r>
              <w:rPr>
                <w:rFonts w:ascii="宋体" w:hAnsi="宋体"/>
                <w:color w:val="000000" w:themeColor="text1"/>
                <w14:textFill>
                  <w14:solidFill>
                    <w14:schemeClr w14:val="tx1"/>
                  </w14:solidFill>
                </w14:textFill>
              </w:rPr>
              <w:t>√</w:t>
            </w:r>
          </w:p>
        </w:tc>
      </w:tr>
      <w:tr w14:paraId="63F3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037" w:type="dxa"/>
            <w:tcBorders>
              <w:left w:val="single" w:color="auto" w:sz="12" w:space="0"/>
            </w:tcBorders>
          </w:tcPr>
          <w:p w14:paraId="507E9AA7">
            <w:pPr>
              <w:pStyle w:val="14"/>
              <w:widowControl w:val="0"/>
              <w:jc w:val="left"/>
              <w:rPr>
                <w:rFonts w:hint="default" w:eastAsia="宋体"/>
                <w:lang w:val="en-US" w:eastAsia="zh-CN"/>
              </w:rPr>
            </w:pPr>
            <w:r>
              <w:rPr>
                <w:rFonts w:hint="eastAsia" w:ascii="宋体" w:hAnsi="宋体"/>
              </w:rPr>
              <w:t xml:space="preserve">第七单元 </w:t>
            </w:r>
            <w:r>
              <w:rPr>
                <w:rFonts w:hint="eastAsia" w:cs="Times New Roman"/>
                <w:lang w:val="en-US" w:eastAsia="zh-CN"/>
              </w:rPr>
              <w:t>London</w:t>
            </w:r>
          </w:p>
        </w:tc>
        <w:tc>
          <w:tcPr>
            <w:tcW w:w="1099" w:type="dxa"/>
            <w:vAlign w:val="center"/>
          </w:tcPr>
          <w:p w14:paraId="28C7F5D0">
            <w:pPr>
              <w:pStyle w:val="14"/>
            </w:pPr>
            <w:r>
              <w:rPr>
                <w:rFonts w:ascii="宋体" w:hAnsi="宋体"/>
                <w:color w:val="000000" w:themeColor="text1"/>
                <w14:textFill>
                  <w14:solidFill>
                    <w14:schemeClr w14:val="tx1"/>
                  </w14:solidFill>
                </w14:textFill>
              </w:rPr>
              <w:t>√</w:t>
            </w:r>
          </w:p>
        </w:tc>
        <w:tc>
          <w:tcPr>
            <w:tcW w:w="1099" w:type="dxa"/>
            <w:vAlign w:val="center"/>
          </w:tcPr>
          <w:p w14:paraId="14E95414">
            <w:pPr>
              <w:pStyle w:val="14"/>
            </w:pPr>
            <w:r>
              <w:rPr>
                <w:rFonts w:ascii="宋体" w:hAnsi="宋体"/>
                <w:color w:val="000000" w:themeColor="text1"/>
                <w14:textFill>
                  <w14:solidFill>
                    <w14:schemeClr w14:val="tx1"/>
                  </w14:solidFill>
                </w14:textFill>
              </w:rPr>
              <w:t>√</w:t>
            </w:r>
          </w:p>
        </w:tc>
        <w:tc>
          <w:tcPr>
            <w:tcW w:w="1099" w:type="dxa"/>
            <w:vAlign w:val="center"/>
          </w:tcPr>
          <w:p w14:paraId="1F3D4FBC">
            <w:pPr>
              <w:pStyle w:val="14"/>
            </w:pPr>
            <w:r>
              <w:rPr>
                <w:rFonts w:ascii="宋体" w:hAnsi="宋体"/>
                <w:color w:val="000000" w:themeColor="text1"/>
                <w14:textFill>
                  <w14:solidFill>
                    <w14:schemeClr w14:val="tx1"/>
                  </w14:solidFill>
                </w14:textFill>
              </w:rPr>
              <w:t>√</w:t>
            </w:r>
          </w:p>
        </w:tc>
        <w:tc>
          <w:tcPr>
            <w:tcW w:w="1097" w:type="dxa"/>
            <w:vAlign w:val="center"/>
          </w:tcPr>
          <w:p w14:paraId="1779421B">
            <w:pPr>
              <w:pStyle w:val="14"/>
            </w:pPr>
            <w:r>
              <w:rPr>
                <w:rFonts w:ascii="宋体" w:hAnsi="宋体"/>
                <w:color w:val="000000" w:themeColor="text1"/>
                <w14:textFill>
                  <w14:solidFill>
                    <w14:schemeClr w14:val="tx1"/>
                  </w14:solidFill>
                </w14:textFill>
              </w:rPr>
              <w:t>√</w:t>
            </w:r>
          </w:p>
        </w:tc>
      </w:tr>
    </w:tbl>
    <w:p w14:paraId="571F91D1">
      <w:pPr>
        <w:pStyle w:val="17"/>
        <w:spacing w:before="326" w:beforeLines="100" w:after="163"/>
      </w:pPr>
    </w:p>
    <w:p w14:paraId="50B0BB21">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BE3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068EF4D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1E271F94">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DA46138">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3F97BA3">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57C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7F83CEA">
            <w:pPr>
              <w:widowControl w:val="0"/>
              <w:snapToGrid w:val="0"/>
              <w:jc w:val="center"/>
              <w:rPr>
                <w:rFonts w:ascii="黑体" w:hAnsi="黑体" w:eastAsia="黑体"/>
                <w:bCs/>
                <w:sz w:val="21"/>
                <w:szCs w:val="21"/>
              </w:rPr>
            </w:pPr>
          </w:p>
        </w:tc>
        <w:tc>
          <w:tcPr>
            <w:tcW w:w="2755" w:type="dxa"/>
            <w:vMerge w:val="continue"/>
          </w:tcPr>
          <w:p w14:paraId="14FDB1CA">
            <w:pPr>
              <w:widowControl w:val="0"/>
              <w:snapToGrid w:val="0"/>
              <w:jc w:val="center"/>
              <w:rPr>
                <w:rFonts w:ascii="黑体" w:hAnsi="黑体" w:eastAsia="黑体"/>
                <w:bCs/>
                <w:sz w:val="21"/>
                <w:szCs w:val="21"/>
              </w:rPr>
            </w:pPr>
          </w:p>
        </w:tc>
        <w:tc>
          <w:tcPr>
            <w:tcW w:w="1738" w:type="dxa"/>
            <w:vMerge w:val="continue"/>
          </w:tcPr>
          <w:p w14:paraId="772D95C3">
            <w:pPr>
              <w:widowControl w:val="0"/>
              <w:snapToGrid w:val="0"/>
              <w:jc w:val="center"/>
              <w:rPr>
                <w:rFonts w:ascii="黑体" w:hAnsi="黑体" w:eastAsia="黑体"/>
                <w:bCs/>
                <w:sz w:val="21"/>
                <w:szCs w:val="21"/>
              </w:rPr>
            </w:pPr>
          </w:p>
        </w:tc>
        <w:tc>
          <w:tcPr>
            <w:tcW w:w="725" w:type="dxa"/>
            <w:vAlign w:val="center"/>
          </w:tcPr>
          <w:p w14:paraId="13C8FAB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59A4B0D6">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FB4E7B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E61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09AB8459">
            <w:pPr>
              <w:pStyle w:val="14"/>
              <w:widowControl w:val="0"/>
              <w:jc w:val="left"/>
              <w:rPr>
                <w:bCs/>
              </w:rPr>
            </w:pPr>
            <w:r>
              <w:rPr>
                <w:rFonts w:hint="eastAsia" w:ascii="宋体" w:hAnsi="宋体"/>
                <w:bCs/>
              </w:rPr>
              <w:t xml:space="preserve">第一单元 </w:t>
            </w:r>
            <w:r>
              <w:rPr>
                <w:rFonts w:cs="Times New Roman"/>
                <w:bCs/>
              </w:rPr>
              <w:t>Love</w:t>
            </w:r>
          </w:p>
        </w:tc>
        <w:tc>
          <w:tcPr>
            <w:tcW w:w="2755" w:type="dxa"/>
            <w:vAlign w:val="center"/>
          </w:tcPr>
          <w:p w14:paraId="7ADBAB8B">
            <w:pPr>
              <w:widowControl w:val="0"/>
              <w:snapToGrid w:val="0"/>
              <w:jc w:val="left"/>
              <w:rPr>
                <w:rFonts w:hint="eastAsia" w:ascii="Times New Roman" w:hAnsi="Times New Roman" w:eastAsia="宋体"/>
                <w:bCs/>
                <w:sz w:val="21"/>
                <w:szCs w:val="21"/>
                <w:lang w:val="en-US" w:eastAsia="zh-CN"/>
              </w:rPr>
            </w:pPr>
            <w:r>
              <w:rPr>
                <w:rFonts w:hint="eastAsia" w:ascii="Times New Roman" w:hAnsi="Times New Roman"/>
                <w:bCs/>
                <w:sz w:val="21"/>
                <w:szCs w:val="21"/>
              </w:rPr>
              <w:t>教师开展深入的文本分析与解读，提出递进的问题链，学生结合问题阅读</w:t>
            </w:r>
            <w:r>
              <w:rPr>
                <w:rFonts w:hint="eastAsia" w:ascii="Times New Roman" w:hAnsi="Times New Roman"/>
                <w:bCs/>
                <w:sz w:val="21"/>
                <w:szCs w:val="21"/>
                <w:lang w:eastAsia="zh-CN"/>
              </w:rPr>
              <w:t>。</w:t>
            </w:r>
          </w:p>
        </w:tc>
        <w:tc>
          <w:tcPr>
            <w:tcW w:w="1738" w:type="dxa"/>
            <w:vAlign w:val="center"/>
          </w:tcPr>
          <w:p w14:paraId="62790274">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p>
        </w:tc>
        <w:tc>
          <w:tcPr>
            <w:tcW w:w="725" w:type="dxa"/>
            <w:vAlign w:val="center"/>
          </w:tcPr>
          <w:p w14:paraId="31602F43">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70BAAFE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A365B48">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r>
      <w:tr w14:paraId="08E7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8A4A299">
            <w:pPr>
              <w:pStyle w:val="14"/>
              <w:widowControl w:val="0"/>
              <w:jc w:val="left"/>
              <w:rPr>
                <w:rFonts w:cs="Times New Roman"/>
              </w:rPr>
            </w:pPr>
            <w:r>
              <w:rPr>
                <w:rFonts w:hint="eastAsia" w:ascii="宋体" w:hAnsi="宋体"/>
              </w:rPr>
              <w:t>第二单元</w:t>
            </w:r>
            <w:r>
              <w:rPr>
                <w:rFonts w:cs="Times New Roman"/>
              </w:rPr>
              <w:t xml:space="preserve"> </w:t>
            </w:r>
          </w:p>
          <w:p w14:paraId="79B4F98A">
            <w:pPr>
              <w:pStyle w:val="14"/>
              <w:widowControl w:val="0"/>
              <w:jc w:val="left"/>
              <w:rPr>
                <w:rFonts w:hint="default" w:eastAsia="宋体"/>
                <w:bCs/>
                <w:lang w:val="en-US" w:eastAsia="zh-CN"/>
              </w:rPr>
            </w:pPr>
            <w:r>
              <w:rPr>
                <w:rFonts w:cs="Times New Roman"/>
              </w:rPr>
              <w:t xml:space="preserve">Young William </w:t>
            </w:r>
            <w:r>
              <w:rPr>
                <w:rFonts w:hint="eastAsia" w:cs="Times New Roman"/>
                <w:lang w:val="en-US" w:eastAsia="zh-CN"/>
              </w:rPr>
              <w:t>Shakespeare</w:t>
            </w:r>
          </w:p>
        </w:tc>
        <w:tc>
          <w:tcPr>
            <w:tcW w:w="2755" w:type="dxa"/>
            <w:vAlign w:val="center"/>
          </w:tcPr>
          <w:p w14:paraId="7D8237E8">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教师引导学习，布置学生讨论问题，学生分组讨论。</w:t>
            </w:r>
          </w:p>
        </w:tc>
        <w:tc>
          <w:tcPr>
            <w:tcW w:w="1738" w:type="dxa"/>
            <w:vAlign w:val="center"/>
          </w:tcPr>
          <w:p w14:paraId="58734E83">
            <w:pPr>
              <w:widowControl w:val="0"/>
              <w:snapToGrid w:val="0"/>
              <w:jc w:val="left"/>
              <w:rPr>
                <w:rFonts w:hint="eastAsia" w:ascii="Times New Roman" w:hAnsi="Times New Roman" w:eastAsia="宋体"/>
                <w:bCs/>
                <w:sz w:val="21"/>
                <w:szCs w:val="21"/>
                <w:lang w:eastAsia="zh-CN"/>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408F93A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25ACB06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2CB8AE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71CD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F7F0FBC">
            <w:pPr>
              <w:pStyle w:val="14"/>
              <w:widowControl w:val="0"/>
              <w:jc w:val="left"/>
              <w:rPr>
                <w:rFonts w:hint="default" w:eastAsia="宋体"/>
                <w:bCs/>
                <w:lang w:val="en-US" w:eastAsia="zh-CN"/>
              </w:rPr>
            </w:pPr>
            <w:r>
              <w:rPr>
                <w:rFonts w:hint="eastAsia" w:ascii="宋体" w:hAnsi="宋体"/>
              </w:rPr>
              <w:t xml:space="preserve">第三单元 </w:t>
            </w:r>
            <w:r>
              <w:rPr>
                <w:rFonts w:hint="eastAsia" w:cs="Times New Roman"/>
                <w:lang w:val="en-US" w:eastAsia="zh-CN"/>
              </w:rPr>
              <w:t>The Happy Prince</w:t>
            </w:r>
          </w:p>
        </w:tc>
        <w:tc>
          <w:tcPr>
            <w:tcW w:w="2755" w:type="dxa"/>
            <w:vAlign w:val="center"/>
          </w:tcPr>
          <w:p w14:paraId="37114070">
            <w:pPr>
              <w:widowControl w:val="0"/>
              <w:snapToGrid w:val="0"/>
              <w:jc w:val="left"/>
              <w:rPr>
                <w:rFonts w:ascii="Times New Roman" w:hAnsi="Times New Roman"/>
                <w:bCs/>
                <w:sz w:val="21"/>
                <w:szCs w:val="21"/>
              </w:rPr>
            </w:pPr>
            <w:r>
              <w:rPr>
                <w:rFonts w:hint="eastAsia" w:ascii="Times New Roman" w:hAnsi="Times New Roman"/>
                <w:bCs/>
                <w:sz w:val="21"/>
                <w:szCs w:val="21"/>
              </w:rPr>
              <w:t>教师给出搜索主题，学生课外搜集资料，课内结合课外搜索资料学习。</w:t>
            </w:r>
          </w:p>
        </w:tc>
        <w:tc>
          <w:tcPr>
            <w:tcW w:w="1738" w:type="dxa"/>
            <w:vAlign w:val="center"/>
          </w:tcPr>
          <w:p w14:paraId="62D6B5C8">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6D7B974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231DD47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3AE018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6C3A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4F76A070">
            <w:pPr>
              <w:pStyle w:val="14"/>
              <w:widowControl w:val="0"/>
              <w:jc w:val="left"/>
              <w:rPr>
                <w:bCs/>
              </w:rPr>
            </w:pPr>
            <w:r>
              <w:rPr>
                <w:rFonts w:hint="eastAsia" w:ascii="宋体" w:hAnsi="宋体"/>
              </w:rPr>
              <w:t xml:space="preserve">第四单元 </w:t>
            </w:r>
            <w:r>
              <w:rPr>
                <w:rFonts w:cs="Times New Roman"/>
              </w:rPr>
              <w:t>Migratory Birds and Coffee</w:t>
            </w:r>
          </w:p>
        </w:tc>
        <w:tc>
          <w:tcPr>
            <w:tcW w:w="2755" w:type="dxa"/>
            <w:vAlign w:val="center"/>
          </w:tcPr>
          <w:p w14:paraId="463E5800">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教师开展深入的文本分析与解读，提出递进的问题链，学生结合问题阅读并分析。</w:t>
            </w:r>
          </w:p>
        </w:tc>
        <w:tc>
          <w:tcPr>
            <w:tcW w:w="1738" w:type="dxa"/>
            <w:vAlign w:val="center"/>
          </w:tcPr>
          <w:p w14:paraId="313A5621">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3A66304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0198575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52E0CA7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0756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C77DD56">
            <w:pPr>
              <w:pStyle w:val="14"/>
              <w:widowControl w:val="0"/>
              <w:jc w:val="left"/>
              <w:rPr>
                <w:bCs/>
              </w:rPr>
            </w:pPr>
            <w:r>
              <w:rPr>
                <w:rFonts w:hint="eastAsia" w:ascii="宋体" w:hAnsi="宋体"/>
              </w:rPr>
              <w:t xml:space="preserve">第五单元 </w:t>
            </w:r>
            <w:r>
              <w:rPr>
                <w:rFonts w:cs="Times New Roman"/>
              </w:rPr>
              <w:t>Cheating</w:t>
            </w:r>
          </w:p>
        </w:tc>
        <w:tc>
          <w:tcPr>
            <w:tcW w:w="2755" w:type="dxa"/>
            <w:vAlign w:val="center"/>
          </w:tcPr>
          <w:p w14:paraId="0E8D9D65">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教师引导学习，发布问题，布置学生阅读并回答，教师讲解阅读技巧，学生应运技能强化训练。</w:t>
            </w:r>
          </w:p>
        </w:tc>
        <w:tc>
          <w:tcPr>
            <w:tcW w:w="1738" w:type="dxa"/>
            <w:vAlign w:val="center"/>
          </w:tcPr>
          <w:p w14:paraId="13DB9665">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30459899">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669" w:type="dxa"/>
            <w:vAlign w:val="center"/>
          </w:tcPr>
          <w:p w14:paraId="2CDE90D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3CB3101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62C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FE308EC">
            <w:pPr>
              <w:pStyle w:val="14"/>
              <w:widowControl w:val="0"/>
              <w:jc w:val="left"/>
              <w:rPr>
                <w:bCs/>
              </w:rPr>
            </w:pPr>
            <w:r>
              <w:rPr>
                <w:rFonts w:hint="eastAsia" w:ascii="宋体" w:hAnsi="宋体"/>
              </w:rPr>
              <w:t xml:space="preserve">第六单元 </w:t>
            </w:r>
            <w:r>
              <w:rPr>
                <w:rFonts w:cs="Times New Roman"/>
              </w:rPr>
              <w:t>Fool’s Paradise</w:t>
            </w:r>
          </w:p>
        </w:tc>
        <w:tc>
          <w:tcPr>
            <w:tcW w:w="2755" w:type="dxa"/>
            <w:vAlign w:val="center"/>
          </w:tcPr>
          <w:p w14:paraId="25C8DFB9">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教师引导学习，布置学生讨论问题，学生分组探讨，由组员代表归纳总结。</w:t>
            </w:r>
          </w:p>
        </w:tc>
        <w:tc>
          <w:tcPr>
            <w:tcW w:w="1738" w:type="dxa"/>
            <w:vAlign w:val="center"/>
          </w:tcPr>
          <w:p w14:paraId="6A12D8FC">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67B5BF4E">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669" w:type="dxa"/>
            <w:vAlign w:val="center"/>
          </w:tcPr>
          <w:p w14:paraId="38BCADB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1AC610C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1C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D6ED01D">
            <w:pPr>
              <w:pStyle w:val="14"/>
              <w:widowControl w:val="0"/>
              <w:jc w:val="left"/>
              <w:rPr>
                <w:rFonts w:hint="default" w:eastAsia="宋体"/>
                <w:bCs/>
                <w:lang w:val="en-US" w:eastAsia="zh-CN"/>
              </w:rPr>
            </w:pPr>
            <w:r>
              <w:rPr>
                <w:rFonts w:hint="eastAsia" w:ascii="宋体" w:hAnsi="宋体"/>
              </w:rPr>
              <w:t xml:space="preserve">第七单元 </w:t>
            </w:r>
            <w:r>
              <w:rPr>
                <w:rFonts w:hint="eastAsia" w:cs="Times New Roman"/>
                <w:lang w:val="en-US" w:eastAsia="zh-CN"/>
              </w:rPr>
              <w:t>London</w:t>
            </w:r>
          </w:p>
        </w:tc>
        <w:tc>
          <w:tcPr>
            <w:tcW w:w="2755" w:type="dxa"/>
            <w:vAlign w:val="center"/>
          </w:tcPr>
          <w:p w14:paraId="17EA9F10">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教师开展深入的文本分析与解读，学生结合讲解深入阅读并课外拓展相关阅读。</w:t>
            </w:r>
          </w:p>
        </w:tc>
        <w:tc>
          <w:tcPr>
            <w:tcW w:w="1738" w:type="dxa"/>
            <w:vAlign w:val="center"/>
          </w:tcPr>
          <w:p w14:paraId="70B0741A">
            <w:pPr>
              <w:widowControl w:val="0"/>
              <w:snapToGrid w:val="0"/>
              <w:jc w:val="left"/>
              <w:rPr>
                <w:rFonts w:ascii="Times New Roman" w:hAnsi="Times New Roman"/>
                <w:bCs/>
                <w:sz w:val="21"/>
                <w:szCs w:val="21"/>
              </w:rPr>
            </w:pPr>
            <w:r>
              <w:rPr>
                <w:rFonts w:hint="eastAsia" w:ascii="Times New Roman" w:hAnsi="Times New Roman"/>
                <w:bCs/>
                <w:sz w:val="21"/>
                <w:szCs w:val="21"/>
              </w:rPr>
              <w:t>课堂观察，口头评价</w:t>
            </w:r>
            <w:r>
              <w:rPr>
                <w:rFonts w:hint="eastAsia" w:ascii="Times New Roman" w:hAnsi="Times New Roman"/>
                <w:bCs/>
                <w:sz w:val="21"/>
                <w:szCs w:val="21"/>
                <w:lang w:eastAsia="zh-CN"/>
              </w:rPr>
              <w:t>，</w:t>
            </w:r>
            <w:r>
              <w:rPr>
                <w:rFonts w:hint="eastAsia" w:ascii="Times New Roman" w:hAnsi="Times New Roman"/>
                <w:bCs/>
                <w:sz w:val="21"/>
                <w:szCs w:val="21"/>
              </w:rPr>
              <w:t>书面课后作业</w:t>
            </w:r>
          </w:p>
        </w:tc>
        <w:tc>
          <w:tcPr>
            <w:tcW w:w="725" w:type="dxa"/>
            <w:vAlign w:val="center"/>
          </w:tcPr>
          <w:p w14:paraId="25DFBA28">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669" w:type="dxa"/>
            <w:vAlign w:val="center"/>
          </w:tcPr>
          <w:p w14:paraId="0268B68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72CCD6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5C3A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6BB52ABD">
            <w:pPr>
              <w:pStyle w:val="13"/>
              <w:widowControl w:val="0"/>
            </w:pPr>
            <w:r>
              <w:rPr>
                <w:rFonts w:hint="eastAsia"/>
              </w:rPr>
              <w:t>合计</w:t>
            </w:r>
          </w:p>
        </w:tc>
        <w:tc>
          <w:tcPr>
            <w:tcW w:w="725" w:type="dxa"/>
            <w:tcBorders>
              <w:bottom w:val="single" w:color="auto" w:sz="12" w:space="0"/>
            </w:tcBorders>
            <w:vAlign w:val="center"/>
          </w:tcPr>
          <w:p w14:paraId="58C6896A">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9" w:type="dxa"/>
            <w:tcBorders>
              <w:bottom w:val="single" w:color="auto" w:sz="12" w:space="0"/>
            </w:tcBorders>
            <w:vAlign w:val="center"/>
          </w:tcPr>
          <w:p w14:paraId="684EBF56">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5FD0273F">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28681953">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5208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1E3E04D">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28FCEF9D">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8F67B5E">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F8A1C44">
            <w:pPr>
              <w:pStyle w:val="13"/>
              <w:rPr>
                <w:szCs w:val="16"/>
              </w:rPr>
            </w:pPr>
            <w:r>
              <w:rPr>
                <w:rFonts w:hint="eastAsia"/>
                <w:szCs w:val="16"/>
              </w:rPr>
              <w:t>实验</w:t>
            </w:r>
          </w:p>
          <w:p w14:paraId="0ED1A008">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57F97E39">
            <w:pPr>
              <w:pStyle w:val="13"/>
              <w:rPr>
                <w:szCs w:val="16"/>
              </w:rPr>
            </w:pPr>
            <w:r>
              <w:rPr>
                <w:rFonts w:hint="eastAsia"/>
                <w:szCs w:val="16"/>
              </w:rPr>
              <w:t>实验</w:t>
            </w:r>
          </w:p>
          <w:p w14:paraId="6B72E4FF">
            <w:pPr>
              <w:pStyle w:val="13"/>
              <w:rPr>
                <w:szCs w:val="16"/>
              </w:rPr>
            </w:pPr>
            <w:r>
              <w:rPr>
                <w:rFonts w:hint="eastAsia"/>
                <w:szCs w:val="16"/>
              </w:rPr>
              <w:t>类型</w:t>
            </w:r>
          </w:p>
        </w:tc>
      </w:tr>
      <w:tr w14:paraId="09FD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F10D082">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1D8A9B">
            <w:pPr>
              <w:pStyle w:val="14"/>
              <w:jc w:val="left"/>
            </w:pPr>
            <w:r>
              <w:rPr>
                <w:rFonts w:hint="eastAsia"/>
              </w:rPr>
              <w:t>课外主题资料搜索并阅读实践</w:t>
            </w:r>
          </w:p>
        </w:tc>
        <w:tc>
          <w:tcPr>
            <w:tcW w:w="4061" w:type="dxa"/>
            <w:tcBorders>
              <w:top w:val="single" w:color="auto" w:sz="4" w:space="0"/>
              <w:left w:val="single" w:color="auto" w:sz="4" w:space="0"/>
              <w:bottom w:val="single" w:color="auto" w:sz="4" w:space="0"/>
              <w:right w:val="single" w:color="auto" w:sz="4" w:space="0"/>
            </w:tcBorders>
            <w:vAlign w:val="center"/>
          </w:tcPr>
          <w:p w14:paraId="7E99B635">
            <w:pPr>
              <w:pStyle w:val="14"/>
              <w:jc w:val="left"/>
            </w:pPr>
            <w:r>
              <w:rPr>
                <w:rFonts w:hint="eastAsia"/>
              </w:rPr>
              <w:t>要求学生结合第三单元主题，课外搜索与莎士比亚相关的英语文章并阅读和归纳，在课堂汇报阅读结果。</w:t>
            </w:r>
          </w:p>
        </w:tc>
        <w:tc>
          <w:tcPr>
            <w:tcW w:w="862" w:type="dxa"/>
            <w:tcBorders>
              <w:left w:val="single" w:color="auto" w:sz="4" w:space="0"/>
              <w:right w:val="single" w:color="auto" w:sz="4" w:space="0"/>
            </w:tcBorders>
            <w:shd w:val="clear" w:color="auto" w:fill="auto"/>
            <w:vAlign w:val="center"/>
          </w:tcPr>
          <w:p w14:paraId="08649E32">
            <w:pPr>
              <w:pStyle w:val="14"/>
            </w:pPr>
            <w:r>
              <w:t>4</w:t>
            </w:r>
          </w:p>
        </w:tc>
        <w:tc>
          <w:tcPr>
            <w:tcW w:w="950" w:type="dxa"/>
            <w:tcBorders>
              <w:left w:val="single" w:color="auto" w:sz="4" w:space="0"/>
              <w:right w:val="single" w:color="auto" w:sz="12" w:space="0"/>
            </w:tcBorders>
            <w:shd w:val="clear" w:color="auto" w:fill="auto"/>
            <w:vAlign w:val="center"/>
          </w:tcPr>
          <w:p w14:paraId="40EACBCE">
            <w:pPr>
              <w:pStyle w:val="14"/>
            </w:pPr>
            <w:r>
              <w:rPr>
                <w:rFonts w:hint="eastAsia"/>
              </w:rPr>
              <w:t>④</w:t>
            </w:r>
          </w:p>
        </w:tc>
      </w:tr>
      <w:tr w14:paraId="434D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B6F703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CDD2911">
            <w:pPr>
              <w:pStyle w:val="14"/>
              <w:jc w:val="left"/>
            </w:pPr>
            <w:r>
              <w:rPr>
                <w:rFonts w:hint="eastAsia"/>
              </w:rPr>
              <w:t>说明文写作实践</w:t>
            </w:r>
          </w:p>
        </w:tc>
        <w:tc>
          <w:tcPr>
            <w:tcW w:w="4061" w:type="dxa"/>
            <w:tcBorders>
              <w:top w:val="single" w:color="auto" w:sz="4" w:space="0"/>
              <w:left w:val="single" w:color="auto" w:sz="4" w:space="0"/>
              <w:bottom w:val="single" w:color="auto" w:sz="4" w:space="0"/>
              <w:right w:val="single" w:color="auto" w:sz="4" w:space="0"/>
            </w:tcBorders>
            <w:vAlign w:val="center"/>
          </w:tcPr>
          <w:p w14:paraId="32EF3934">
            <w:pPr>
              <w:pStyle w:val="14"/>
              <w:jc w:val="left"/>
            </w:pPr>
            <w:r>
              <w:rPr>
                <w:rFonts w:hint="eastAsia"/>
              </w:rPr>
              <w:t>要求学生结合第十单元文体特点，搜索中国典型城市的标志建筑，用英语写出介绍性的说明文。</w:t>
            </w:r>
          </w:p>
        </w:tc>
        <w:tc>
          <w:tcPr>
            <w:tcW w:w="862" w:type="dxa"/>
            <w:tcBorders>
              <w:left w:val="single" w:color="auto" w:sz="4" w:space="0"/>
              <w:bottom w:val="single" w:color="auto" w:sz="4" w:space="0"/>
              <w:right w:val="single" w:color="auto" w:sz="4" w:space="0"/>
            </w:tcBorders>
            <w:shd w:val="clear" w:color="auto" w:fill="auto"/>
            <w:vAlign w:val="center"/>
          </w:tcPr>
          <w:p w14:paraId="4B709DF8">
            <w:pPr>
              <w:pStyle w:val="14"/>
            </w:pPr>
            <w:r>
              <w:t>4</w:t>
            </w:r>
          </w:p>
        </w:tc>
        <w:tc>
          <w:tcPr>
            <w:tcW w:w="950" w:type="dxa"/>
            <w:tcBorders>
              <w:left w:val="single" w:color="auto" w:sz="4" w:space="0"/>
              <w:bottom w:val="single" w:color="auto" w:sz="4" w:space="0"/>
              <w:right w:val="single" w:color="auto" w:sz="12" w:space="0"/>
            </w:tcBorders>
            <w:shd w:val="clear" w:color="auto" w:fill="auto"/>
            <w:vAlign w:val="center"/>
          </w:tcPr>
          <w:p w14:paraId="49711841">
            <w:pPr>
              <w:pStyle w:val="14"/>
            </w:pPr>
            <w:r>
              <w:rPr>
                <w:rFonts w:hint="eastAsia"/>
              </w:rPr>
              <w:t>④</w:t>
            </w:r>
          </w:p>
        </w:tc>
      </w:tr>
      <w:tr w14:paraId="1590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4D9C903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20AC9C3">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F249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140B65B">
            <w:pPr>
              <w:pStyle w:val="14"/>
              <w:widowControl w:val="0"/>
              <w:jc w:val="left"/>
            </w:pPr>
            <w:r>
              <w:rPr>
                <w:rFonts w:hint="eastAsia"/>
              </w:rPr>
              <w:t>本课程以隐性教育的方式深挖教材中的思政元素、育人元素，通过拓展阅读、小组讨论、小组演示、同伴互助等多种课堂教学方法，将社会主义核心价值观和优秀中华文化传统融入专业知识，结合各个教学单元主题开展弘扬以爱国主义为核心的专题教育，深入挖掘中华优秀传统文化，提高学生的思辨能力，帮助学生树立正确的社会主义价值观。《阅读教程》第一册教学单元主题为：家庭关爱、考试诚信、名人传记、理想与现实、咖啡文化、城市发展等。教师经过充分酝酿后，将“课程思政”元素的融入主题。</w:t>
            </w:r>
          </w:p>
          <w:p w14:paraId="4E4AB863">
            <w:pPr>
              <w:pStyle w:val="14"/>
              <w:widowControl w:val="0"/>
              <w:jc w:val="left"/>
            </w:pPr>
            <w:r>
              <w:rPr>
                <w:rFonts w:hint="eastAsia"/>
              </w:rPr>
              <w:t>以名人传记为主题的课外拓展阅读为例，教师精选网络素材两篇，其中一篇介绍美国政治家本杰明·富兰克林，一篇介绍中国作家莫言。教学目的包括掌握与生平描写相关的语言知识，训练略读、查读、细读及完形填空的能力，同时让学生树立正确世界观、对其进行价值观、职业观等方面的思政教育。授课方式采用“课堂阅读+测试+讨论”。通过阅读成功人物的生平，学生的思想获得了升华，也学习了语言和辩证思维。</w:t>
            </w:r>
          </w:p>
          <w:p w14:paraId="44766C5C">
            <w:pPr>
              <w:pStyle w:val="14"/>
              <w:widowControl w:val="0"/>
              <w:jc w:val="left"/>
            </w:pPr>
            <w:r>
              <w:rPr>
                <w:rFonts w:hint="eastAsia"/>
              </w:rPr>
              <w:t>此外，教师在本课程教学中还要关注时事热点、积累经典案例，创新教学方式，促进阅读课与思想政治理论课同向同行，实现价值引领、知识教育、能力培养的有机统一。</w:t>
            </w:r>
          </w:p>
        </w:tc>
      </w:tr>
    </w:tbl>
    <w:p w14:paraId="0BA92CB8">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34"/>
        <w:gridCol w:w="734"/>
        <w:gridCol w:w="734"/>
        <w:gridCol w:w="704"/>
        <w:gridCol w:w="1474"/>
      </w:tblGrid>
      <w:tr w14:paraId="423A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C19CCF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DEC0FA7">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90951BD">
            <w:pPr>
              <w:pStyle w:val="16"/>
              <w:widowControl w:val="0"/>
              <w:jc w:val="center"/>
              <w:rPr>
                <w:rFonts w:ascii="黑体" w:hAnsi="黑体"/>
                <w:bCs/>
                <w:sz w:val="21"/>
                <w:szCs w:val="21"/>
              </w:rPr>
            </w:pPr>
            <w:r>
              <w:rPr>
                <w:rFonts w:hint="eastAsia" w:ascii="黑体" w:hAnsi="黑体"/>
                <w:bCs/>
                <w:sz w:val="21"/>
                <w:szCs w:val="21"/>
              </w:rPr>
              <w:t>考核方式</w:t>
            </w:r>
          </w:p>
        </w:tc>
        <w:tc>
          <w:tcPr>
            <w:tcW w:w="2906" w:type="dxa"/>
            <w:gridSpan w:val="4"/>
            <w:tcBorders>
              <w:top w:val="single" w:color="auto" w:sz="12" w:space="0"/>
              <w:left w:val="double" w:color="auto" w:sz="4" w:space="0"/>
            </w:tcBorders>
            <w:vAlign w:val="center"/>
          </w:tcPr>
          <w:p w14:paraId="64D0A0D9">
            <w:pPr>
              <w:pStyle w:val="16"/>
              <w:widowControl w:val="0"/>
              <w:spacing w:line="240" w:lineRule="auto"/>
              <w:jc w:val="center"/>
              <w:rPr>
                <w:rFonts w:ascii="黑体" w:hAnsi="宋体"/>
              </w:rPr>
            </w:pPr>
            <w:r>
              <w:rPr>
                <w:rFonts w:hint="eastAsia" w:ascii="黑体" w:hAnsi="黑体"/>
                <w:bCs/>
                <w:sz w:val="21"/>
                <w:szCs w:val="21"/>
              </w:rPr>
              <w:t>课程目标</w:t>
            </w:r>
          </w:p>
        </w:tc>
        <w:tc>
          <w:tcPr>
            <w:tcW w:w="1474" w:type="dxa"/>
            <w:tcBorders>
              <w:top w:val="single" w:color="auto" w:sz="12" w:space="0"/>
              <w:right w:val="single" w:color="auto" w:sz="12" w:space="0"/>
            </w:tcBorders>
            <w:vAlign w:val="center"/>
          </w:tcPr>
          <w:p w14:paraId="4D517FD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合计</w:t>
            </w:r>
          </w:p>
        </w:tc>
      </w:tr>
      <w:tr w14:paraId="75B2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81FD5CF">
            <w:pPr>
              <w:widowControl w:val="0"/>
              <w:snapToGrid w:val="0"/>
              <w:jc w:val="center"/>
              <w:rPr>
                <w:rFonts w:ascii="黑体" w:hAnsi="黑体" w:eastAsia="黑体"/>
                <w:bCs/>
                <w:sz w:val="21"/>
                <w:szCs w:val="21"/>
              </w:rPr>
            </w:pPr>
          </w:p>
        </w:tc>
        <w:tc>
          <w:tcPr>
            <w:tcW w:w="709" w:type="dxa"/>
            <w:vMerge w:val="continue"/>
          </w:tcPr>
          <w:p w14:paraId="62CDBCEC">
            <w:pPr>
              <w:pStyle w:val="16"/>
              <w:widowControl w:val="0"/>
              <w:jc w:val="both"/>
              <w:rPr>
                <w:rFonts w:ascii="黑体" w:hAnsi="黑体"/>
                <w:bCs/>
                <w:sz w:val="21"/>
                <w:szCs w:val="21"/>
              </w:rPr>
            </w:pPr>
          </w:p>
        </w:tc>
        <w:tc>
          <w:tcPr>
            <w:tcW w:w="2353" w:type="dxa"/>
            <w:vMerge w:val="continue"/>
            <w:tcBorders>
              <w:right w:val="double" w:color="auto" w:sz="4" w:space="0"/>
            </w:tcBorders>
          </w:tcPr>
          <w:p w14:paraId="5B99BC8A">
            <w:pPr>
              <w:pStyle w:val="16"/>
              <w:widowControl w:val="0"/>
              <w:jc w:val="both"/>
              <w:rPr>
                <w:rFonts w:ascii="黑体" w:hAnsi="黑体"/>
                <w:bCs/>
                <w:sz w:val="21"/>
                <w:szCs w:val="21"/>
              </w:rPr>
            </w:pPr>
          </w:p>
        </w:tc>
        <w:tc>
          <w:tcPr>
            <w:tcW w:w="734" w:type="dxa"/>
            <w:tcBorders>
              <w:left w:val="double" w:color="auto" w:sz="4" w:space="0"/>
            </w:tcBorders>
            <w:vAlign w:val="center"/>
          </w:tcPr>
          <w:p w14:paraId="67BD5132">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734" w:type="dxa"/>
            <w:tcBorders>
              <w:left w:val="double" w:color="auto" w:sz="4" w:space="0"/>
            </w:tcBorders>
            <w:vAlign w:val="center"/>
          </w:tcPr>
          <w:p w14:paraId="1E133216">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734" w:type="dxa"/>
            <w:tcBorders>
              <w:left w:val="double" w:color="auto" w:sz="4" w:space="0"/>
            </w:tcBorders>
            <w:vAlign w:val="center"/>
          </w:tcPr>
          <w:p w14:paraId="7F5D717A">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704" w:type="dxa"/>
            <w:tcBorders>
              <w:left w:val="double" w:color="auto" w:sz="4" w:space="0"/>
            </w:tcBorders>
            <w:vAlign w:val="center"/>
          </w:tcPr>
          <w:p w14:paraId="4A5DA74F">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1474" w:type="dxa"/>
            <w:tcBorders>
              <w:right w:val="single" w:color="auto" w:sz="12" w:space="0"/>
            </w:tcBorders>
          </w:tcPr>
          <w:p w14:paraId="1AF134EC">
            <w:pPr>
              <w:pStyle w:val="16"/>
              <w:widowControl w:val="0"/>
              <w:spacing w:line="240" w:lineRule="auto"/>
              <w:jc w:val="center"/>
              <w:rPr>
                <w:rFonts w:ascii="黑体" w:hAnsi="黑体"/>
                <w:bCs/>
                <w:sz w:val="21"/>
                <w:szCs w:val="21"/>
              </w:rPr>
            </w:pPr>
          </w:p>
        </w:tc>
      </w:tr>
      <w:tr w14:paraId="151B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0681DAD">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04536251">
            <w:pPr>
              <w:pStyle w:val="14"/>
              <w:widowControl w:val="0"/>
            </w:pPr>
            <w:r>
              <w:rPr>
                <w:rFonts w:hint="eastAsia"/>
                <w:szCs w:val="24"/>
              </w:rPr>
              <w:t>55</w:t>
            </w:r>
            <w:r>
              <w:rPr>
                <w:szCs w:val="24"/>
              </w:rPr>
              <w:t>%</w:t>
            </w:r>
          </w:p>
        </w:tc>
        <w:tc>
          <w:tcPr>
            <w:tcW w:w="2353" w:type="dxa"/>
            <w:tcBorders>
              <w:right w:val="double" w:color="auto" w:sz="4" w:space="0"/>
            </w:tcBorders>
            <w:vAlign w:val="center"/>
          </w:tcPr>
          <w:p w14:paraId="4F22DDAF">
            <w:pPr>
              <w:pStyle w:val="14"/>
              <w:widowControl w:val="0"/>
            </w:pPr>
            <w:r>
              <w:rPr>
                <w:rFonts w:hint="eastAsia"/>
                <w:szCs w:val="24"/>
              </w:rPr>
              <w:t>笔试</w:t>
            </w:r>
          </w:p>
        </w:tc>
        <w:tc>
          <w:tcPr>
            <w:tcW w:w="734" w:type="dxa"/>
            <w:tcBorders>
              <w:left w:val="double" w:color="auto" w:sz="4" w:space="0"/>
            </w:tcBorders>
            <w:vAlign w:val="center"/>
          </w:tcPr>
          <w:p w14:paraId="2ABC72A8">
            <w:pPr>
              <w:pStyle w:val="14"/>
              <w:widowControl w:val="0"/>
              <w:rPr>
                <w:rFonts w:cs="Times New Roman"/>
              </w:rPr>
            </w:pPr>
            <w:r>
              <w:rPr>
                <w:rFonts w:cs="Times New Roman"/>
                <w:bCs/>
              </w:rPr>
              <w:t>50</w:t>
            </w:r>
          </w:p>
        </w:tc>
        <w:tc>
          <w:tcPr>
            <w:tcW w:w="734" w:type="dxa"/>
            <w:tcBorders>
              <w:left w:val="double" w:color="auto" w:sz="4" w:space="0"/>
            </w:tcBorders>
            <w:vAlign w:val="center"/>
          </w:tcPr>
          <w:p w14:paraId="6539CFE7">
            <w:pPr>
              <w:pStyle w:val="14"/>
              <w:widowControl w:val="0"/>
              <w:rPr>
                <w:rFonts w:cs="Times New Roman"/>
              </w:rPr>
            </w:pPr>
            <w:r>
              <w:rPr>
                <w:rFonts w:hint="eastAsia" w:cs="Times New Roman"/>
                <w:bCs/>
                <w:lang w:val="en-US" w:eastAsia="zh-CN"/>
              </w:rPr>
              <w:t>4</w:t>
            </w:r>
            <w:r>
              <w:rPr>
                <w:rFonts w:cs="Times New Roman"/>
                <w:bCs/>
              </w:rPr>
              <w:t>0</w:t>
            </w:r>
          </w:p>
        </w:tc>
        <w:tc>
          <w:tcPr>
            <w:tcW w:w="734" w:type="dxa"/>
            <w:tcBorders>
              <w:left w:val="double" w:color="auto" w:sz="4" w:space="0"/>
            </w:tcBorders>
            <w:vAlign w:val="center"/>
          </w:tcPr>
          <w:p w14:paraId="677FF013">
            <w:pPr>
              <w:pStyle w:val="14"/>
              <w:widowControl w:val="0"/>
              <w:rPr>
                <w:rFonts w:cs="Times New Roman"/>
              </w:rPr>
            </w:pPr>
          </w:p>
        </w:tc>
        <w:tc>
          <w:tcPr>
            <w:tcW w:w="704" w:type="dxa"/>
            <w:tcBorders>
              <w:left w:val="double" w:color="auto" w:sz="4" w:space="0"/>
            </w:tcBorders>
            <w:vAlign w:val="center"/>
          </w:tcPr>
          <w:p w14:paraId="283E524B">
            <w:pPr>
              <w:pStyle w:val="14"/>
              <w:widowControl w:val="0"/>
              <w:rPr>
                <w:rFonts w:cs="Times New Roman"/>
              </w:rPr>
            </w:pPr>
            <w:r>
              <w:rPr>
                <w:rFonts w:cs="Times New Roman"/>
                <w:bCs/>
              </w:rPr>
              <w:t>10</w:t>
            </w:r>
          </w:p>
        </w:tc>
        <w:tc>
          <w:tcPr>
            <w:tcW w:w="1474" w:type="dxa"/>
            <w:tcBorders>
              <w:right w:val="single" w:color="auto" w:sz="12" w:space="0"/>
            </w:tcBorders>
            <w:vAlign w:val="center"/>
          </w:tcPr>
          <w:p w14:paraId="19705521">
            <w:pPr>
              <w:pStyle w:val="14"/>
              <w:widowControl w:val="0"/>
            </w:pPr>
            <w:r>
              <w:rPr>
                <w:rFonts w:hint="eastAsia"/>
              </w:rPr>
              <w:t>1</w:t>
            </w:r>
            <w:r>
              <w:t>00</w:t>
            </w:r>
          </w:p>
        </w:tc>
      </w:tr>
      <w:tr w14:paraId="304A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60CB7C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CB019E5">
            <w:pPr>
              <w:pStyle w:val="14"/>
              <w:widowControl w:val="0"/>
            </w:pPr>
            <w:r>
              <w:rPr>
                <w:rFonts w:hint="eastAsia"/>
                <w:szCs w:val="24"/>
              </w:rPr>
              <w:t>15</w:t>
            </w:r>
            <w:r>
              <w:rPr>
                <w:szCs w:val="24"/>
              </w:rPr>
              <w:t>%</w:t>
            </w:r>
          </w:p>
        </w:tc>
        <w:tc>
          <w:tcPr>
            <w:tcW w:w="2353" w:type="dxa"/>
            <w:tcBorders>
              <w:right w:val="double" w:color="auto" w:sz="4" w:space="0"/>
            </w:tcBorders>
            <w:vAlign w:val="center"/>
          </w:tcPr>
          <w:p w14:paraId="4BC6862A">
            <w:pPr>
              <w:pStyle w:val="14"/>
              <w:widowControl w:val="0"/>
            </w:pPr>
            <w:r>
              <w:rPr>
                <w:rFonts w:hint="eastAsia"/>
                <w:szCs w:val="24"/>
              </w:rPr>
              <w:t>随堂测试</w:t>
            </w:r>
          </w:p>
        </w:tc>
        <w:tc>
          <w:tcPr>
            <w:tcW w:w="734" w:type="dxa"/>
            <w:tcBorders>
              <w:left w:val="double" w:color="auto" w:sz="4" w:space="0"/>
            </w:tcBorders>
            <w:vAlign w:val="center"/>
          </w:tcPr>
          <w:p w14:paraId="32D948E7">
            <w:pPr>
              <w:pStyle w:val="14"/>
              <w:widowControl w:val="0"/>
            </w:pPr>
            <w:r>
              <w:rPr>
                <w:rFonts w:hint="eastAsia"/>
              </w:rPr>
              <w:t>40</w:t>
            </w:r>
          </w:p>
        </w:tc>
        <w:tc>
          <w:tcPr>
            <w:tcW w:w="734" w:type="dxa"/>
            <w:tcBorders>
              <w:left w:val="double" w:color="auto" w:sz="4" w:space="0"/>
            </w:tcBorders>
            <w:vAlign w:val="center"/>
          </w:tcPr>
          <w:p w14:paraId="1822C308">
            <w:pPr>
              <w:pStyle w:val="14"/>
              <w:widowControl w:val="0"/>
            </w:pPr>
            <w:r>
              <w:rPr>
                <w:rFonts w:hint="eastAsia"/>
                <w:lang w:val="en-US" w:eastAsia="zh-CN"/>
              </w:rPr>
              <w:t>4</w:t>
            </w:r>
            <w:r>
              <w:rPr>
                <w:rFonts w:hint="eastAsia"/>
              </w:rPr>
              <w:t>0</w:t>
            </w:r>
          </w:p>
        </w:tc>
        <w:tc>
          <w:tcPr>
            <w:tcW w:w="734" w:type="dxa"/>
            <w:tcBorders>
              <w:left w:val="double" w:color="auto" w:sz="4" w:space="0"/>
            </w:tcBorders>
            <w:vAlign w:val="center"/>
          </w:tcPr>
          <w:p w14:paraId="6F1080BD">
            <w:pPr>
              <w:pStyle w:val="14"/>
              <w:widowControl w:val="0"/>
            </w:pPr>
            <w:r>
              <w:rPr>
                <w:rFonts w:hint="eastAsia"/>
                <w:lang w:val="en-US" w:eastAsia="zh-CN"/>
              </w:rPr>
              <w:t>1</w:t>
            </w:r>
            <w:r>
              <w:rPr>
                <w:rFonts w:hint="eastAsia"/>
              </w:rPr>
              <w:t>0</w:t>
            </w:r>
          </w:p>
        </w:tc>
        <w:tc>
          <w:tcPr>
            <w:tcW w:w="704" w:type="dxa"/>
            <w:tcBorders>
              <w:left w:val="double" w:color="auto" w:sz="4" w:space="0"/>
            </w:tcBorders>
            <w:vAlign w:val="center"/>
          </w:tcPr>
          <w:p w14:paraId="7D60D002">
            <w:pPr>
              <w:pStyle w:val="14"/>
              <w:widowControl w:val="0"/>
              <w:rPr>
                <w:rFonts w:hint="default" w:eastAsia="宋体"/>
                <w:lang w:val="en-US" w:eastAsia="zh-CN"/>
              </w:rPr>
            </w:pPr>
            <w:r>
              <w:rPr>
                <w:rFonts w:hint="eastAsia"/>
                <w:lang w:val="en-US" w:eastAsia="zh-CN"/>
              </w:rPr>
              <w:t>10</w:t>
            </w:r>
          </w:p>
        </w:tc>
        <w:tc>
          <w:tcPr>
            <w:tcW w:w="1474" w:type="dxa"/>
            <w:tcBorders>
              <w:right w:val="single" w:color="auto" w:sz="12" w:space="0"/>
            </w:tcBorders>
            <w:vAlign w:val="center"/>
          </w:tcPr>
          <w:p w14:paraId="30AF4052">
            <w:pPr>
              <w:pStyle w:val="14"/>
              <w:widowControl w:val="0"/>
            </w:pPr>
            <w:r>
              <w:rPr>
                <w:rFonts w:hint="eastAsia"/>
              </w:rPr>
              <w:t>1</w:t>
            </w:r>
            <w:r>
              <w:t>00</w:t>
            </w:r>
          </w:p>
        </w:tc>
      </w:tr>
      <w:tr w14:paraId="0006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3003681">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8B0BE31">
            <w:pPr>
              <w:pStyle w:val="14"/>
              <w:widowControl w:val="0"/>
            </w:pPr>
            <w:r>
              <w:rPr>
                <w:rFonts w:hint="eastAsia"/>
                <w:szCs w:val="24"/>
              </w:rPr>
              <w:t>15</w:t>
            </w:r>
            <w:r>
              <w:rPr>
                <w:szCs w:val="24"/>
              </w:rPr>
              <w:t>%</w:t>
            </w:r>
          </w:p>
        </w:tc>
        <w:tc>
          <w:tcPr>
            <w:tcW w:w="2353" w:type="dxa"/>
            <w:tcBorders>
              <w:right w:val="double" w:color="auto" w:sz="4" w:space="0"/>
            </w:tcBorders>
            <w:vAlign w:val="center"/>
          </w:tcPr>
          <w:p w14:paraId="7F77BE2B">
            <w:pPr>
              <w:pStyle w:val="14"/>
              <w:widowControl w:val="0"/>
            </w:pPr>
            <w:r>
              <w:rPr>
                <w:rFonts w:hint="eastAsia"/>
                <w:szCs w:val="24"/>
              </w:rPr>
              <w:t>随堂测试</w:t>
            </w:r>
          </w:p>
        </w:tc>
        <w:tc>
          <w:tcPr>
            <w:tcW w:w="734" w:type="dxa"/>
            <w:tcBorders>
              <w:left w:val="double" w:color="auto" w:sz="4" w:space="0"/>
            </w:tcBorders>
            <w:vAlign w:val="center"/>
          </w:tcPr>
          <w:p w14:paraId="3812E1DB">
            <w:pPr>
              <w:pStyle w:val="14"/>
              <w:widowControl w:val="0"/>
            </w:pPr>
            <w:r>
              <w:rPr>
                <w:rFonts w:hint="eastAsia"/>
              </w:rPr>
              <w:t>40</w:t>
            </w:r>
          </w:p>
        </w:tc>
        <w:tc>
          <w:tcPr>
            <w:tcW w:w="734" w:type="dxa"/>
            <w:tcBorders>
              <w:left w:val="double" w:color="auto" w:sz="4" w:space="0"/>
            </w:tcBorders>
            <w:vAlign w:val="center"/>
          </w:tcPr>
          <w:p w14:paraId="2020FF21">
            <w:pPr>
              <w:pStyle w:val="14"/>
              <w:widowControl w:val="0"/>
            </w:pPr>
            <w:r>
              <w:rPr>
                <w:rFonts w:hint="eastAsia"/>
                <w:lang w:val="en-US" w:eastAsia="zh-CN"/>
              </w:rPr>
              <w:t>4</w:t>
            </w:r>
            <w:r>
              <w:rPr>
                <w:rFonts w:hint="eastAsia"/>
              </w:rPr>
              <w:t>0</w:t>
            </w:r>
          </w:p>
        </w:tc>
        <w:tc>
          <w:tcPr>
            <w:tcW w:w="734" w:type="dxa"/>
            <w:tcBorders>
              <w:left w:val="double" w:color="auto" w:sz="4" w:space="0"/>
            </w:tcBorders>
            <w:vAlign w:val="center"/>
          </w:tcPr>
          <w:p w14:paraId="0CD233FE">
            <w:pPr>
              <w:pStyle w:val="14"/>
              <w:widowControl w:val="0"/>
            </w:pPr>
            <w:r>
              <w:rPr>
                <w:rFonts w:hint="eastAsia"/>
                <w:lang w:val="en-US" w:eastAsia="zh-CN"/>
              </w:rPr>
              <w:t>1</w:t>
            </w:r>
            <w:r>
              <w:rPr>
                <w:rFonts w:hint="eastAsia"/>
              </w:rPr>
              <w:t>0</w:t>
            </w:r>
          </w:p>
        </w:tc>
        <w:tc>
          <w:tcPr>
            <w:tcW w:w="704" w:type="dxa"/>
            <w:tcBorders>
              <w:left w:val="double" w:color="auto" w:sz="4" w:space="0"/>
            </w:tcBorders>
            <w:vAlign w:val="center"/>
          </w:tcPr>
          <w:p w14:paraId="7B4EB3CD">
            <w:pPr>
              <w:pStyle w:val="14"/>
              <w:widowControl w:val="0"/>
              <w:rPr>
                <w:rFonts w:hint="default" w:eastAsia="宋体"/>
                <w:lang w:val="en-US" w:eastAsia="zh-CN"/>
              </w:rPr>
            </w:pPr>
            <w:r>
              <w:rPr>
                <w:rFonts w:hint="eastAsia"/>
                <w:lang w:val="en-US" w:eastAsia="zh-CN"/>
              </w:rPr>
              <w:t>10</w:t>
            </w:r>
          </w:p>
        </w:tc>
        <w:tc>
          <w:tcPr>
            <w:tcW w:w="1474" w:type="dxa"/>
            <w:tcBorders>
              <w:right w:val="single" w:color="auto" w:sz="12" w:space="0"/>
            </w:tcBorders>
            <w:vAlign w:val="center"/>
          </w:tcPr>
          <w:p w14:paraId="536A5D6C">
            <w:pPr>
              <w:pStyle w:val="14"/>
              <w:widowControl w:val="0"/>
            </w:pPr>
            <w:r>
              <w:rPr>
                <w:rFonts w:hint="eastAsia"/>
              </w:rPr>
              <w:t>1</w:t>
            </w:r>
            <w:r>
              <w:t>00</w:t>
            </w:r>
          </w:p>
        </w:tc>
      </w:tr>
      <w:tr w14:paraId="5868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79FBCA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6C59996A">
            <w:pPr>
              <w:pStyle w:val="14"/>
              <w:widowControl w:val="0"/>
            </w:pPr>
            <w:r>
              <w:rPr>
                <w:rFonts w:hint="eastAsia"/>
                <w:szCs w:val="24"/>
              </w:rPr>
              <w:t>15%</w:t>
            </w:r>
          </w:p>
        </w:tc>
        <w:tc>
          <w:tcPr>
            <w:tcW w:w="2353" w:type="dxa"/>
            <w:tcBorders>
              <w:right w:val="double" w:color="auto" w:sz="4" w:space="0"/>
            </w:tcBorders>
            <w:vAlign w:val="center"/>
          </w:tcPr>
          <w:p w14:paraId="21B88CE1">
            <w:pPr>
              <w:pStyle w:val="14"/>
              <w:widowControl w:val="0"/>
            </w:pPr>
            <w:r>
              <w:rPr>
                <w:rFonts w:hint="eastAsia"/>
                <w:szCs w:val="24"/>
              </w:rPr>
              <w:t>小论文</w:t>
            </w:r>
          </w:p>
        </w:tc>
        <w:tc>
          <w:tcPr>
            <w:tcW w:w="734" w:type="dxa"/>
            <w:tcBorders>
              <w:left w:val="double" w:color="auto" w:sz="4" w:space="0"/>
            </w:tcBorders>
            <w:vAlign w:val="center"/>
          </w:tcPr>
          <w:p w14:paraId="715BDB9A">
            <w:pPr>
              <w:pStyle w:val="14"/>
              <w:widowControl w:val="0"/>
            </w:pPr>
          </w:p>
        </w:tc>
        <w:tc>
          <w:tcPr>
            <w:tcW w:w="734" w:type="dxa"/>
            <w:tcBorders>
              <w:left w:val="double" w:color="auto" w:sz="4" w:space="0"/>
            </w:tcBorders>
            <w:vAlign w:val="center"/>
          </w:tcPr>
          <w:p w14:paraId="52BFDF57">
            <w:pPr>
              <w:pStyle w:val="14"/>
              <w:widowControl w:val="0"/>
              <w:rPr>
                <w:rFonts w:hint="default" w:eastAsia="宋体"/>
                <w:lang w:val="en-US" w:eastAsia="zh-CN"/>
              </w:rPr>
            </w:pPr>
          </w:p>
        </w:tc>
        <w:tc>
          <w:tcPr>
            <w:tcW w:w="734" w:type="dxa"/>
            <w:tcBorders>
              <w:left w:val="double" w:color="auto" w:sz="4" w:space="0"/>
            </w:tcBorders>
            <w:vAlign w:val="center"/>
          </w:tcPr>
          <w:p w14:paraId="3C03DB5B">
            <w:pPr>
              <w:pStyle w:val="14"/>
              <w:widowControl w:val="0"/>
              <w:rPr>
                <w:rFonts w:hint="default" w:eastAsia="宋体"/>
                <w:lang w:val="en-US" w:eastAsia="zh-CN"/>
              </w:rPr>
            </w:pPr>
            <w:r>
              <w:rPr>
                <w:rFonts w:hint="eastAsia"/>
                <w:lang w:val="en-US" w:eastAsia="zh-CN"/>
              </w:rPr>
              <w:t>50</w:t>
            </w:r>
          </w:p>
        </w:tc>
        <w:tc>
          <w:tcPr>
            <w:tcW w:w="704" w:type="dxa"/>
            <w:tcBorders>
              <w:left w:val="double" w:color="auto" w:sz="4" w:space="0"/>
            </w:tcBorders>
            <w:vAlign w:val="center"/>
          </w:tcPr>
          <w:p w14:paraId="1BDCE63E">
            <w:pPr>
              <w:pStyle w:val="14"/>
              <w:widowControl w:val="0"/>
            </w:pPr>
            <w:r>
              <w:rPr>
                <w:rFonts w:hint="eastAsia"/>
                <w:lang w:val="en-US" w:eastAsia="zh-CN"/>
              </w:rPr>
              <w:t>5</w:t>
            </w:r>
            <w:r>
              <w:rPr>
                <w:rFonts w:hint="eastAsia"/>
              </w:rPr>
              <w:t>0</w:t>
            </w:r>
          </w:p>
        </w:tc>
        <w:tc>
          <w:tcPr>
            <w:tcW w:w="1474" w:type="dxa"/>
            <w:tcBorders>
              <w:right w:val="single" w:color="auto" w:sz="12" w:space="0"/>
            </w:tcBorders>
            <w:vAlign w:val="center"/>
          </w:tcPr>
          <w:p w14:paraId="2F1B1FB9">
            <w:pPr>
              <w:pStyle w:val="14"/>
              <w:widowControl w:val="0"/>
            </w:pPr>
            <w:r>
              <w:rPr>
                <w:rFonts w:hint="eastAsia"/>
              </w:rPr>
              <w:t>1</w:t>
            </w:r>
            <w:r>
              <w:t>00</w:t>
            </w:r>
          </w:p>
        </w:tc>
      </w:tr>
    </w:tbl>
    <w:p w14:paraId="630527B7">
      <w:pPr>
        <w:pStyle w:val="17"/>
        <w:spacing w:before="326" w:beforeLines="100" w:after="163"/>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F62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698093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6980930">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4MGJiMzRhYTYzMDNjZDQyNWUwMjllYWUxMmY4ODUifQ=="/>
    <w:docVar w:name="KSO_WPS_MARK_KEY" w:val="d3866a3a-092f-4871-ab82-dd4624f92cc2"/>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2A27"/>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4078"/>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36E5"/>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1F9"/>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86AF4"/>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25CD3"/>
    <w:rsid w:val="00A31BBE"/>
    <w:rsid w:val="00A31D34"/>
    <w:rsid w:val="00A333EF"/>
    <w:rsid w:val="00A33F85"/>
    <w:rsid w:val="00A40645"/>
    <w:rsid w:val="00A6016C"/>
    <w:rsid w:val="00A769B1"/>
    <w:rsid w:val="00A77DA3"/>
    <w:rsid w:val="00A837D5"/>
    <w:rsid w:val="00A83E04"/>
    <w:rsid w:val="00A91091"/>
    <w:rsid w:val="00A93EE3"/>
    <w:rsid w:val="00A94BA9"/>
    <w:rsid w:val="00AA0D6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05E41"/>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0FF688F"/>
    <w:rsid w:val="016E63C2"/>
    <w:rsid w:val="024B0C39"/>
    <w:rsid w:val="031E278B"/>
    <w:rsid w:val="04640CED"/>
    <w:rsid w:val="0A8128A6"/>
    <w:rsid w:val="0BF32A1B"/>
    <w:rsid w:val="10BD2C22"/>
    <w:rsid w:val="1514038F"/>
    <w:rsid w:val="16235C26"/>
    <w:rsid w:val="1AFD3EB3"/>
    <w:rsid w:val="1F74635E"/>
    <w:rsid w:val="22987C80"/>
    <w:rsid w:val="23EE1EFC"/>
    <w:rsid w:val="24192CCC"/>
    <w:rsid w:val="25FB36EC"/>
    <w:rsid w:val="266F0A68"/>
    <w:rsid w:val="275A59B4"/>
    <w:rsid w:val="2F603644"/>
    <w:rsid w:val="341C228B"/>
    <w:rsid w:val="39207419"/>
    <w:rsid w:val="39A66CD4"/>
    <w:rsid w:val="3A217E73"/>
    <w:rsid w:val="3B886281"/>
    <w:rsid w:val="3CD52CE1"/>
    <w:rsid w:val="410F2E6A"/>
    <w:rsid w:val="4430136C"/>
    <w:rsid w:val="45260E40"/>
    <w:rsid w:val="47342838"/>
    <w:rsid w:val="478657BA"/>
    <w:rsid w:val="4AB0382B"/>
    <w:rsid w:val="4CF84CBE"/>
    <w:rsid w:val="50115BCE"/>
    <w:rsid w:val="521B4A2F"/>
    <w:rsid w:val="52733528"/>
    <w:rsid w:val="539B25ED"/>
    <w:rsid w:val="5641747C"/>
    <w:rsid w:val="569868B5"/>
    <w:rsid w:val="56EA18C1"/>
    <w:rsid w:val="57C55E8A"/>
    <w:rsid w:val="5A5C6314"/>
    <w:rsid w:val="5F903222"/>
    <w:rsid w:val="611F6817"/>
    <w:rsid w:val="6181593A"/>
    <w:rsid w:val="636B1FDC"/>
    <w:rsid w:val="64E30D41"/>
    <w:rsid w:val="66CA1754"/>
    <w:rsid w:val="67220C03"/>
    <w:rsid w:val="694F3860"/>
    <w:rsid w:val="6CB43559"/>
    <w:rsid w:val="6F1E65D4"/>
    <w:rsid w:val="6F266C86"/>
    <w:rsid w:val="6F5042C2"/>
    <w:rsid w:val="74316312"/>
    <w:rsid w:val="780F13C8"/>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1665</Words>
  <Characters>1770</Characters>
  <Lines>43</Lines>
  <Paragraphs>12</Paragraphs>
  <TotalTime>0</TotalTime>
  <ScaleCrop>false</ScaleCrop>
  <LinksUpToDate>false</LinksUpToDate>
  <CharactersWithSpaces>1800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芝麻大姐姐</cp:lastModifiedBy>
  <cp:lastPrinted>2023-11-21T00:52:00Z</cp:lastPrinted>
  <dcterms:modified xsi:type="dcterms:W3CDTF">2025-09-11T11:51:55Z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EE894733742C4C64A33D0356E16B20A6_13</vt:lpwstr>
  </property>
  <property fmtid="{D5CDD505-2E9C-101B-9397-08002B2CF9AE}" pid="4" name="KSOTemplateDocerSaveRecord">
    <vt:lpwstr>eyJoZGlkIjoiOGM4MGJiMzRhYTYzMDNjZDQyNWUwMjllYWUxMmY4ODUiLCJ1c2VySWQiOiIxNjMwNTQzMzgxIn0=</vt:lpwstr>
  </property>
</Properties>
</file>