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1229">
      <w:pPr>
        <w:ind w:firstLine="562"/>
        <w:jc w:val="center"/>
        <w:rPr>
          <w:b/>
          <w:sz w:val="28"/>
          <w:szCs w:val="28"/>
        </w:rPr>
      </w:pPr>
      <w:r>
        <w:rPr>
          <w:rFonts w:hint="eastAsia" w:ascii="黑体" w:hAnsi="黑体" w:eastAsia="黑体"/>
          <w:bCs/>
          <w:sz w:val="32"/>
          <w:szCs w:val="32"/>
        </w:rPr>
        <w:t>《国际商务谈判》本科课程教学大纲</w:t>
      </w:r>
    </w:p>
    <w:p w14:paraId="27C13364">
      <w:pPr>
        <w:ind w:firstLine="0" w:firstLineChars="0"/>
      </w:pPr>
    </w:p>
    <w:p w14:paraId="27272C53">
      <w:pPr>
        <w:pStyle w:val="17"/>
        <w:ind w:firstLine="560"/>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00"/>
      </w:tblGrid>
      <w:tr w14:paraId="0F7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0102605">
            <w:pPr>
              <w:jc w:val="both"/>
            </w:pPr>
            <w:r>
              <w:rPr>
                <w:rFonts w:hint="eastAsia"/>
              </w:rPr>
              <w:t>课程名称</w:t>
            </w:r>
          </w:p>
        </w:tc>
        <w:tc>
          <w:tcPr>
            <w:tcW w:w="6585" w:type="dxa"/>
            <w:gridSpan w:val="6"/>
            <w:tcBorders>
              <w:top w:val="single" w:color="auto" w:sz="12" w:space="0"/>
              <w:right w:val="single" w:color="auto" w:sz="12" w:space="0"/>
            </w:tcBorders>
            <w:vAlign w:val="center"/>
          </w:tcPr>
          <w:p w14:paraId="19FD46BB">
            <w:pPr>
              <w:jc w:val="both"/>
            </w:pPr>
            <w:r>
              <w:rPr>
                <w:rFonts w:hint="eastAsia"/>
              </w:rPr>
              <w:t>（中文）国际商务谈判</w:t>
            </w:r>
          </w:p>
        </w:tc>
      </w:tr>
      <w:tr w14:paraId="64EB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7FE57A">
            <w:pPr>
              <w:jc w:val="both"/>
            </w:pPr>
          </w:p>
        </w:tc>
        <w:tc>
          <w:tcPr>
            <w:tcW w:w="6585" w:type="dxa"/>
            <w:gridSpan w:val="6"/>
            <w:tcBorders>
              <w:right w:val="single" w:color="auto" w:sz="12" w:space="0"/>
            </w:tcBorders>
            <w:vAlign w:val="center"/>
          </w:tcPr>
          <w:p w14:paraId="4B462E86">
            <w:pPr>
              <w:jc w:val="both"/>
            </w:pPr>
            <w:r>
              <w:rPr>
                <w:rFonts w:hint="eastAsia" w:ascii="黑体" w:hAnsi="黑体"/>
              </w:rPr>
              <w:t>（英文）</w:t>
            </w:r>
            <w:r>
              <w:rPr>
                <w:rFonts w:ascii="Times New Roman" w:hAnsi="Times New Roman" w:cs="Times New Roman"/>
              </w:rPr>
              <w:t>International Business Negotiation</w:t>
            </w:r>
          </w:p>
        </w:tc>
      </w:tr>
      <w:tr w14:paraId="490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F879F6">
            <w:pPr>
              <w:jc w:val="both"/>
            </w:pPr>
            <w:r>
              <w:t>课程代码</w:t>
            </w:r>
          </w:p>
        </w:tc>
        <w:tc>
          <w:tcPr>
            <w:tcW w:w="2260" w:type="dxa"/>
            <w:vAlign w:val="center"/>
          </w:tcPr>
          <w:p w14:paraId="718D7D7C">
            <w:pPr>
              <w:jc w:val="both"/>
              <w:rPr>
                <w:rFonts w:hint="default" w:ascii="黑体" w:hAnsi="黑体" w:eastAsia="黑体"/>
                <w:lang w:val="en-US" w:eastAsia="zh-CN"/>
              </w:rPr>
            </w:pPr>
            <w:r>
              <w:rPr>
                <w:rFonts w:hint="eastAsia" w:eastAsia="黑体"/>
                <w:lang w:val="en-US" w:eastAsia="zh-CN"/>
              </w:rPr>
              <w:t>1020063</w:t>
            </w:r>
          </w:p>
        </w:tc>
        <w:tc>
          <w:tcPr>
            <w:tcW w:w="2126" w:type="dxa"/>
            <w:gridSpan w:val="2"/>
            <w:vAlign w:val="center"/>
          </w:tcPr>
          <w:p w14:paraId="7BA63FD3">
            <w:pPr>
              <w:jc w:val="both"/>
            </w:pPr>
            <w:r>
              <w:t>课程学分</w:t>
            </w:r>
          </w:p>
        </w:tc>
        <w:tc>
          <w:tcPr>
            <w:tcW w:w="2199" w:type="dxa"/>
            <w:gridSpan w:val="3"/>
            <w:tcBorders>
              <w:right w:val="single" w:color="auto" w:sz="12" w:space="0"/>
            </w:tcBorders>
            <w:vAlign w:val="center"/>
          </w:tcPr>
          <w:p w14:paraId="5FB1A687">
            <w:pPr>
              <w:jc w:val="both"/>
            </w:pPr>
            <w:r>
              <w:t>2</w:t>
            </w:r>
          </w:p>
        </w:tc>
      </w:tr>
      <w:tr w14:paraId="22D0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7996EA">
            <w:pPr>
              <w:jc w:val="both"/>
            </w:pPr>
            <w:r>
              <w:rPr>
                <w:rFonts w:hint="eastAsia"/>
              </w:rPr>
              <w:t>课程学时</w:t>
            </w:r>
          </w:p>
        </w:tc>
        <w:tc>
          <w:tcPr>
            <w:tcW w:w="2260" w:type="dxa"/>
            <w:vAlign w:val="center"/>
          </w:tcPr>
          <w:p w14:paraId="4BFB6786">
            <w:pPr>
              <w:jc w:val="both"/>
              <w:rPr>
                <w:rFonts w:ascii="Times New Roman" w:hAnsi="Times New Roman"/>
              </w:rPr>
            </w:pPr>
            <w:r>
              <w:rPr>
                <w:rFonts w:hint="eastAsia"/>
              </w:rPr>
              <w:t>32</w:t>
            </w:r>
          </w:p>
        </w:tc>
        <w:tc>
          <w:tcPr>
            <w:tcW w:w="1272" w:type="dxa"/>
            <w:vAlign w:val="center"/>
          </w:tcPr>
          <w:p w14:paraId="30E2D611">
            <w:pPr>
              <w:ind w:firstLine="0" w:firstLineChars="0"/>
              <w:jc w:val="both"/>
            </w:pPr>
            <w:r>
              <w:rPr>
                <w:rFonts w:hint="eastAsia"/>
              </w:rPr>
              <w:t>理论学时</w:t>
            </w:r>
          </w:p>
        </w:tc>
        <w:tc>
          <w:tcPr>
            <w:tcW w:w="854" w:type="dxa"/>
            <w:vAlign w:val="center"/>
          </w:tcPr>
          <w:p w14:paraId="1B1A319C">
            <w:pPr>
              <w:jc w:val="both"/>
            </w:pPr>
            <w:r>
              <w:rPr>
                <w:rFonts w:hint="eastAsia"/>
              </w:rPr>
              <w:t>24</w:t>
            </w:r>
          </w:p>
        </w:tc>
        <w:tc>
          <w:tcPr>
            <w:tcW w:w="1413" w:type="dxa"/>
            <w:gridSpan w:val="2"/>
            <w:vAlign w:val="center"/>
          </w:tcPr>
          <w:p w14:paraId="3142F4D3">
            <w:pPr>
              <w:ind w:firstLine="0" w:firstLineChars="0"/>
              <w:jc w:val="both"/>
            </w:pPr>
            <w:r>
              <w:rPr>
                <w:rFonts w:hint="eastAsia"/>
              </w:rPr>
              <w:t>实践学时</w:t>
            </w:r>
          </w:p>
        </w:tc>
        <w:tc>
          <w:tcPr>
            <w:tcW w:w="786" w:type="dxa"/>
            <w:tcBorders>
              <w:right w:val="single" w:color="auto" w:sz="12" w:space="0"/>
            </w:tcBorders>
            <w:vAlign w:val="center"/>
          </w:tcPr>
          <w:p w14:paraId="47540EAF">
            <w:pPr>
              <w:jc w:val="both"/>
            </w:pPr>
            <w:r>
              <w:rPr>
                <w:rFonts w:hint="eastAsia"/>
              </w:rPr>
              <w:t>8</w:t>
            </w:r>
          </w:p>
        </w:tc>
      </w:tr>
      <w:tr w14:paraId="53A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AC9276">
            <w:pPr>
              <w:jc w:val="both"/>
            </w:pPr>
            <w:r>
              <w:t>开课</w:t>
            </w:r>
            <w:r>
              <w:rPr>
                <w:rFonts w:hint="eastAsia"/>
              </w:rPr>
              <w:t>学院</w:t>
            </w:r>
          </w:p>
        </w:tc>
        <w:tc>
          <w:tcPr>
            <w:tcW w:w="2260" w:type="dxa"/>
            <w:vAlign w:val="center"/>
          </w:tcPr>
          <w:p w14:paraId="5FB38009">
            <w:pPr>
              <w:jc w:val="both"/>
              <w:rPr>
                <w:rFonts w:ascii="黑体" w:hAnsi="黑体" w:eastAsia="黑体"/>
              </w:rPr>
            </w:pPr>
            <w:r>
              <w:rPr>
                <w:rFonts w:hint="eastAsia"/>
              </w:rPr>
              <w:t>外国语学院</w:t>
            </w:r>
          </w:p>
        </w:tc>
        <w:tc>
          <w:tcPr>
            <w:tcW w:w="2126" w:type="dxa"/>
            <w:gridSpan w:val="2"/>
            <w:vAlign w:val="center"/>
          </w:tcPr>
          <w:p w14:paraId="1DF9CDAC">
            <w:pPr>
              <w:jc w:val="both"/>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4551ADBD">
            <w:pPr>
              <w:ind w:firstLine="0" w:firstLineChars="0"/>
              <w:jc w:val="both"/>
              <w:rPr>
                <w:rFonts w:hint="eastAsia" w:eastAsia="宋体"/>
                <w:lang w:eastAsia="zh-CN"/>
              </w:rPr>
            </w:pPr>
            <w:r>
              <w:rPr>
                <w:rFonts w:hint="eastAsia"/>
              </w:rPr>
              <w:t>英语专业</w:t>
            </w:r>
            <w:r>
              <w:rPr>
                <w:rFonts w:hint="eastAsia"/>
                <w:lang w:val="en-US" w:eastAsia="zh-CN"/>
              </w:rPr>
              <w:t>专升本</w:t>
            </w:r>
          </w:p>
        </w:tc>
      </w:tr>
      <w:tr w14:paraId="7AF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63A2F3">
            <w:pPr>
              <w:ind w:firstLine="0" w:firstLineChars="0"/>
              <w:jc w:val="both"/>
            </w:pPr>
            <w:r>
              <w:rPr>
                <w:rFonts w:hint="eastAsia"/>
              </w:rPr>
              <w:t>课程类别与性质</w:t>
            </w:r>
          </w:p>
        </w:tc>
        <w:tc>
          <w:tcPr>
            <w:tcW w:w="2260" w:type="dxa"/>
            <w:vAlign w:val="center"/>
          </w:tcPr>
          <w:p w14:paraId="5722349A">
            <w:pPr>
              <w:jc w:val="both"/>
              <w:rPr>
                <w:rFonts w:hint="default" w:eastAsia="宋体"/>
                <w:lang w:val="en-US" w:eastAsia="zh-CN"/>
              </w:rPr>
            </w:pPr>
            <w:r>
              <w:rPr>
                <w:rFonts w:hint="eastAsia"/>
              </w:rPr>
              <w:t>专业</w:t>
            </w:r>
            <w:r>
              <w:rPr>
                <w:rFonts w:hint="eastAsia"/>
                <w:lang w:val="en-US" w:eastAsia="zh-CN"/>
              </w:rPr>
              <w:t>选修课</w:t>
            </w:r>
          </w:p>
        </w:tc>
        <w:tc>
          <w:tcPr>
            <w:tcW w:w="2126" w:type="dxa"/>
            <w:gridSpan w:val="2"/>
            <w:vAlign w:val="center"/>
          </w:tcPr>
          <w:p w14:paraId="64CD9954">
            <w:pPr>
              <w:jc w:val="both"/>
            </w:pPr>
            <w:r>
              <w:rPr>
                <w:rFonts w:hint="eastAsia"/>
              </w:rPr>
              <w:t>考核方式</w:t>
            </w:r>
          </w:p>
        </w:tc>
        <w:tc>
          <w:tcPr>
            <w:tcW w:w="2199" w:type="dxa"/>
            <w:gridSpan w:val="3"/>
            <w:tcBorders>
              <w:right w:val="single" w:color="auto" w:sz="12" w:space="0"/>
            </w:tcBorders>
            <w:vAlign w:val="center"/>
          </w:tcPr>
          <w:p w14:paraId="4CC981AA">
            <w:pPr>
              <w:jc w:val="both"/>
            </w:pPr>
            <w:r>
              <w:rPr>
                <w:rFonts w:hint="eastAsia"/>
              </w:rPr>
              <w:t>考查（开卷）</w:t>
            </w:r>
          </w:p>
        </w:tc>
      </w:tr>
      <w:tr w14:paraId="606C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F8ECF7">
            <w:pPr>
              <w:jc w:val="both"/>
            </w:pPr>
            <w:r>
              <w:rPr>
                <w:rFonts w:hint="eastAsia"/>
              </w:rPr>
              <w:t>选</w:t>
            </w:r>
            <w:r>
              <w:t>用教材</w:t>
            </w:r>
          </w:p>
        </w:tc>
        <w:tc>
          <w:tcPr>
            <w:tcW w:w="4386" w:type="dxa"/>
            <w:gridSpan w:val="3"/>
            <w:vAlign w:val="center"/>
          </w:tcPr>
          <w:p w14:paraId="04F58EE7">
            <w:pPr>
              <w:jc w:val="both"/>
              <w:rPr>
                <w:rFonts w:hint="default" w:ascii="Times New Roman" w:hAnsi="Times New Roman" w:eastAsia="宋体"/>
                <w:color w:val="000000" w:themeColor="text1"/>
                <w:lang w:val="en-US" w:eastAsia="zh-CN"/>
              </w:rPr>
            </w:pPr>
            <w:r>
              <w:rPr>
                <w:rFonts w:hint="eastAsia"/>
              </w:rPr>
              <w:t>《国际商务谈判》，罗伊·J·列维奇等，中国人民大学出版社，20</w:t>
            </w:r>
            <w:r>
              <w:rPr>
                <w:rFonts w:hint="eastAsia"/>
                <w:lang w:val="en-US" w:eastAsia="zh-CN"/>
              </w:rPr>
              <w:t>20</w:t>
            </w:r>
            <w:bookmarkStart w:id="6" w:name="_GoBack"/>
            <w:bookmarkEnd w:id="6"/>
          </w:p>
        </w:tc>
        <w:tc>
          <w:tcPr>
            <w:tcW w:w="1413" w:type="dxa"/>
            <w:gridSpan w:val="2"/>
            <w:vAlign w:val="center"/>
          </w:tcPr>
          <w:p w14:paraId="60FE0F84">
            <w:pPr>
              <w:ind w:firstLine="0" w:firstLineChars="0"/>
              <w:jc w:val="both"/>
            </w:pPr>
            <w:r>
              <w:rPr>
                <w:rFonts w:hint="eastAsia"/>
              </w:rPr>
              <w:t>是否为马工程教材</w:t>
            </w:r>
          </w:p>
        </w:tc>
        <w:tc>
          <w:tcPr>
            <w:tcW w:w="786" w:type="dxa"/>
            <w:tcBorders>
              <w:right w:val="single" w:color="auto" w:sz="12" w:space="0"/>
            </w:tcBorders>
            <w:vAlign w:val="center"/>
          </w:tcPr>
          <w:p w14:paraId="49639ACE">
            <w:pPr>
              <w:jc w:val="both"/>
            </w:pPr>
            <w:r>
              <w:rPr>
                <w:rFonts w:hint="eastAsia"/>
              </w:rPr>
              <w:t>否</w:t>
            </w:r>
          </w:p>
        </w:tc>
      </w:tr>
      <w:tr w14:paraId="4FF0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0ACECDB7">
            <w:pPr>
              <w:jc w:val="both"/>
            </w:pPr>
            <w:r>
              <w:t>先修课程</w:t>
            </w:r>
          </w:p>
        </w:tc>
        <w:tc>
          <w:tcPr>
            <w:tcW w:w="6585" w:type="dxa"/>
            <w:gridSpan w:val="6"/>
            <w:tcBorders>
              <w:right w:val="single" w:color="auto" w:sz="12" w:space="0"/>
            </w:tcBorders>
            <w:vAlign w:val="center"/>
          </w:tcPr>
          <w:p w14:paraId="043C1D04">
            <w:pPr>
              <w:pStyle w:val="15"/>
              <w:jc w:val="both"/>
            </w:pPr>
            <w:r>
              <w:t>综合英语</w:t>
            </w:r>
          </w:p>
        </w:tc>
      </w:tr>
      <w:tr w14:paraId="0B15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80" w:hRule="atLeast"/>
        </w:trPr>
        <w:tc>
          <w:tcPr>
            <w:tcW w:w="1691" w:type="dxa"/>
            <w:tcBorders>
              <w:left w:val="single" w:color="auto" w:sz="12" w:space="0"/>
            </w:tcBorders>
            <w:shd w:val="clear" w:color="auto" w:fill="auto"/>
            <w:vAlign w:val="center"/>
          </w:tcPr>
          <w:p w14:paraId="7906D4A5">
            <w:pPr>
              <w:jc w:val="both"/>
            </w:pPr>
            <w:r>
              <w:t>课程简介</w:t>
            </w:r>
          </w:p>
        </w:tc>
        <w:tc>
          <w:tcPr>
            <w:tcW w:w="6585" w:type="dxa"/>
            <w:gridSpan w:val="6"/>
            <w:tcBorders>
              <w:right w:val="single" w:color="auto" w:sz="12" w:space="0"/>
            </w:tcBorders>
          </w:tcPr>
          <w:p w14:paraId="237469A1">
            <w:pPr>
              <w:jc w:val="both"/>
            </w:pPr>
            <w:r>
              <w:t>该课程主要涉及的内容是今后商务环境中一些</w:t>
            </w:r>
            <w:r>
              <w:rPr>
                <w:rFonts w:hint="eastAsia"/>
              </w:rPr>
              <w:t>常见</w:t>
            </w:r>
            <w:r>
              <w:t>的</w:t>
            </w:r>
            <w:r>
              <w:rPr>
                <w:rFonts w:hint="eastAsia"/>
              </w:rPr>
              <w:t>商务谈判</w:t>
            </w:r>
            <w:r>
              <w:t>实例</w:t>
            </w:r>
            <w:r>
              <w:rPr>
                <w:rFonts w:hint="eastAsia"/>
              </w:rPr>
              <w:t>、基本</w:t>
            </w:r>
            <w:r>
              <w:t>理论</w:t>
            </w:r>
            <w:r>
              <w:rPr>
                <w:rFonts w:hint="eastAsia"/>
              </w:rPr>
              <w:t>和基本技巧</w:t>
            </w:r>
            <w:r>
              <w:t>，与学生的</w:t>
            </w:r>
            <w:r>
              <w:rPr>
                <w:rFonts w:hint="eastAsia"/>
              </w:rPr>
              <w:t>将来的</w:t>
            </w:r>
            <w:r>
              <w:t>工作有着密切的关系</w:t>
            </w:r>
            <w:r>
              <w:rPr>
                <w:rFonts w:hint="eastAsia"/>
              </w:rPr>
              <w:t>，对学生将来在商务环境中进行商务策划、商务沟通和项目谈判等均具有实际指导意义。</w:t>
            </w:r>
            <w:r>
              <w:t>通过该课程的学习，学生可以初步</w:t>
            </w:r>
            <w:r>
              <w:rPr>
                <w:rFonts w:hint="eastAsia"/>
              </w:rPr>
              <w:t>掌握商务谈判尤其是国际商务谈判的基本理论、概念和技巧，</w:t>
            </w:r>
            <w:r>
              <w:t>为将来从事</w:t>
            </w:r>
            <w:r>
              <w:rPr>
                <w:rFonts w:hint="eastAsia"/>
              </w:rPr>
              <w:t>各种类型的商务谈判</w:t>
            </w:r>
            <w:r>
              <w:t>工作打下</w:t>
            </w:r>
            <w:r>
              <w:rPr>
                <w:rFonts w:hint="eastAsia"/>
              </w:rPr>
              <w:t>良好的</w:t>
            </w:r>
            <w:r>
              <w:t>基础。</w:t>
            </w:r>
          </w:p>
        </w:tc>
      </w:tr>
      <w:tr w14:paraId="3FEE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74" w:hRule="atLeast"/>
        </w:trPr>
        <w:tc>
          <w:tcPr>
            <w:tcW w:w="1691" w:type="dxa"/>
            <w:tcBorders>
              <w:left w:val="single" w:color="auto" w:sz="12" w:space="0"/>
              <w:bottom w:val="double" w:color="auto" w:sz="4" w:space="0"/>
            </w:tcBorders>
            <w:shd w:val="clear" w:color="auto" w:fill="auto"/>
            <w:vAlign w:val="center"/>
          </w:tcPr>
          <w:p w14:paraId="67F400E9">
            <w:pPr>
              <w:jc w:val="both"/>
            </w:pPr>
            <w:r>
              <w:t>选课建议</w:t>
            </w:r>
            <w:r>
              <w:rPr>
                <w:rFonts w:hint="eastAsia"/>
              </w:rPr>
              <w:t>与学习要求</w:t>
            </w:r>
          </w:p>
        </w:tc>
        <w:tc>
          <w:tcPr>
            <w:tcW w:w="6585" w:type="dxa"/>
            <w:gridSpan w:val="6"/>
            <w:tcBorders>
              <w:bottom w:val="double" w:color="auto" w:sz="4" w:space="0"/>
              <w:right w:val="single" w:color="auto" w:sz="12" w:space="0"/>
            </w:tcBorders>
          </w:tcPr>
          <w:p w14:paraId="189FF20D">
            <w:pPr>
              <w:jc w:val="both"/>
            </w:pPr>
            <w:r>
              <w:t>该课程主要适合大学三</w:t>
            </w:r>
            <w:r>
              <w:rPr>
                <w:rFonts w:hint="eastAsia"/>
              </w:rPr>
              <w:t>、四</w:t>
            </w:r>
            <w:r>
              <w:t>年级的学生，</w:t>
            </w:r>
            <w:r>
              <w:rPr>
                <w:rFonts w:hint="eastAsia"/>
              </w:rPr>
              <w:t>采用双语教学，</w:t>
            </w:r>
            <w:r>
              <w:t>以</w:t>
            </w:r>
            <w:r>
              <w:rPr>
                <w:rFonts w:hint="eastAsia"/>
              </w:rPr>
              <w:t>英语</w:t>
            </w:r>
            <w:r>
              <w:t>专业为主，</w:t>
            </w:r>
            <w:r>
              <w:rPr>
                <w:rFonts w:hint="eastAsia"/>
              </w:rPr>
              <w:t>一般</w:t>
            </w:r>
            <w:r>
              <w:t>要求学生</w:t>
            </w:r>
            <w:r>
              <w:rPr>
                <w:rFonts w:hint="eastAsia"/>
              </w:rPr>
              <w:t>英语达到</w:t>
            </w:r>
            <w:r>
              <w:t>大学英语四级</w:t>
            </w:r>
            <w:r>
              <w:rPr>
                <w:rFonts w:hint="eastAsia"/>
              </w:rPr>
              <w:t>水平，并完成</w:t>
            </w:r>
            <w:r>
              <w:t>英语专业《综合英语》课程 1–4册</w:t>
            </w:r>
            <w:r>
              <w:rPr>
                <w:rFonts w:hint="eastAsia"/>
              </w:rPr>
              <w:t>的学习。</w:t>
            </w:r>
          </w:p>
          <w:p w14:paraId="3958EEE7">
            <w:pPr>
              <w:pStyle w:val="15"/>
              <w:jc w:val="both"/>
            </w:pPr>
          </w:p>
        </w:tc>
      </w:tr>
      <w:tr w14:paraId="3C7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4" w:hRule="atLeast"/>
        </w:trPr>
        <w:tc>
          <w:tcPr>
            <w:tcW w:w="1691" w:type="dxa"/>
            <w:tcBorders>
              <w:top w:val="double" w:color="auto" w:sz="4" w:space="0"/>
              <w:left w:val="single" w:color="auto" w:sz="12" w:space="0"/>
            </w:tcBorders>
            <w:shd w:val="clear" w:color="auto" w:fill="auto"/>
            <w:vAlign w:val="center"/>
          </w:tcPr>
          <w:p w14:paraId="02FF32D5">
            <w:pPr>
              <w:jc w:val="both"/>
            </w:pPr>
            <w:r>
              <w:rPr>
                <w:rFonts w:hint="eastAsia"/>
              </w:rPr>
              <w:t>大纲编写人</w:t>
            </w:r>
          </w:p>
        </w:tc>
        <w:tc>
          <w:tcPr>
            <w:tcW w:w="3532" w:type="dxa"/>
            <w:gridSpan w:val="2"/>
            <w:tcBorders>
              <w:top w:val="double" w:color="auto" w:sz="4" w:space="0"/>
            </w:tcBorders>
            <w:vAlign w:val="center"/>
          </w:tcPr>
          <w:p w14:paraId="60932F86">
            <w:pPr>
              <w:jc w:val="both"/>
              <w:rPr>
                <w:rFonts w:ascii="黑体" w:hAnsi="黑体" w:eastAsia="黑体"/>
                <w:color w:val="000000" w:themeColor="text1"/>
              </w:rPr>
            </w:pPr>
          </w:p>
          <w:p w14:paraId="71A331B8">
            <w:pPr>
              <w:jc w:val="both"/>
              <w:rPr>
                <w:rFonts w:ascii="黑体" w:hAnsi="黑体" w:eastAsia="黑体"/>
                <w:color w:val="000000" w:themeColor="text1"/>
              </w:rPr>
            </w:pPr>
            <w:r>
              <w:rPr>
                <w:rFonts w:hint="eastAsia" w:ascii="黑体" w:hAnsi="黑体" w:eastAsia="黑体"/>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12"/>
                          <a:stretch>
                            <a:fillRect/>
                          </a:stretch>
                        </pic:blipFill>
                        <pic:spPr>
                          <a:xfrm>
                            <a:off x="0" y="0"/>
                            <a:ext cx="474345" cy="266065"/>
                          </a:xfrm>
                          <a:prstGeom prst="rect">
                            <a:avLst/>
                          </a:prstGeom>
                        </pic:spPr>
                      </pic:pic>
                    </a:graphicData>
                  </a:graphic>
                </wp:inline>
              </w:drawing>
            </w:r>
          </w:p>
        </w:tc>
        <w:tc>
          <w:tcPr>
            <w:tcW w:w="1425" w:type="dxa"/>
            <w:gridSpan w:val="2"/>
            <w:tcBorders>
              <w:top w:val="double" w:color="auto" w:sz="4" w:space="0"/>
            </w:tcBorders>
            <w:vAlign w:val="center"/>
          </w:tcPr>
          <w:p w14:paraId="5A3064CE">
            <w:pPr>
              <w:ind w:firstLine="0" w:firstLineChars="0"/>
              <w:jc w:val="both"/>
            </w:pPr>
            <w:r>
              <w:rPr>
                <w:rFonts w:hint="eastAsia"/>
              </w:rPr>
              <w:t>制/修订时间</w:t>
            </w:r>
          </w:p>
        </w:tc>
        <w:tc>
          <w:tcPr>
            <w:tcW w:w="1628" w:type="dxa"/>
            <w:gridSpan w:val="2"/>
            <w:tcBorders>
              <w:top w:val="double" w:color="auto" w:sz="4" w:space="0"/>
              <w:right w:val="single" w:color="auto" w:sz="12" w:space="0"/>
            </w:tcBorders>
            <w:vAlign w:val="center"/>
          </w:tcPr>
          <w:p w14:paraId="25AE934A">
            <w:pPr>
              <w:jc w:val="both"/>
            </w:pPr>
            <w:r>
              <w:rPr>
                <w:rFonts w:hint="eastAsia"/>
              </w:rPr>
              <w:t>202</w:t>
            </w:r>
            <w:r>
              <w:rPr>
                <w:rFonts w:hint="eastAsia"/>
                <w:lang w:val="en-US" w:eastAsia="zh-CN"/>
              </w:rPr>
              <w:t>5</w:t>
            </w:r>
            <w:r>
              <w:rPr>
                <w:rFonts w:hint="eastAsia"/>
              </w:rPr>
              <w:t>.09</w:t>
            </w:r>
          </w:p>
        </w:tc>
      </w:tr>
      <w:tr w14:paraId="4477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CCE01A9">
            <w:pPr>
              <w:jc w:val="both"/>
            </w:pPr>
            <w:r>
              <w:rPr>
                <w:rFonts w:hint="eastAsia"/>
              </w:rPr>
              <w:t>专业负责人</w:t>
            </w:r>
          </w:p>
        </w:tc>
        <w:tc>
          <w:tcPr>
            <w:tcW w:w="3532" w:type="dxa"/>
            <w:gridSpan w:val="2"/>
            <w:vAlign w:val="center"/>
          </w:tcPr>
          <w:p w14:paraId="7DAD8391">
            <w:pPr>
              <w:jc w:val="both"/>
              <w:rPr>
                <w:rFonts w:ascii="黑体" w:hAnsi="黑体" w:eastAsia="黑体"/>
                <w:color w:val="000000" w:themeColor="text1"/>
              </w:rPr>
            </w:pPr>
            <w:r>
              <w:rPr>
                <w:rFonts w:ascii="黑体" w:hAnsi="黑体" w:eastAsia="黑体"/>
                <w:color w:val="000000" w:themeColor="text1"/>
              </w:rPr>
              <w:drawing>
                <wp:inline distT="0" distB="0" distL="0" distR="0">
                  <wp:extent cx="570230" cy="3263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a:xfrm>
                            <a:off x="0" y="0"/>
                            <a:ext cx="572770" cy="327821"/>
                          </a:xfrm>
                          <a:prstGeom prst="rect">
                            <a:avLst/>
                          </a:prstGeom>
                          <a:noFill/>
                        </pic:spPr>
                      </pic:pic>
                    </a:graphicData>
                  </a:graphic>
                </wp:inline>
              </w:drawing>
            </w:r>
          </w:p>
        </w:tc>
        <w:tc>
          <w:tcPr>
            <w:tcW w:w="1425" w:type="dxa"/>
            <w:gridSpan w:val="2"/>
            <w:vAlign w:val="center"/>
          </w:tcPr>
          <w:p w14:paraId="2FC618F7">
            <w:pPr>
              <w:ind w:firstLine="0" w:firstLineChars="0"/>
              <w:jc w:val="both"/>
            </w:pPr>
            <w:r>
              <w:rPr>
                <w:rFonts w:hint="eastAsia"/>
              </w:rPr>
              <w:t>审定时间</w:t>
            </w:r>
          </w:p>
        </w:tc>
        <w:tc>
          <w:tcPr>
            <w:tcW w:w="1628" w:type="dxa"/>
            <w:gridSpan w:val="2"/>
            <w:tcBorders>
              <w:right w:val="single" w:color="auto" w:sz="12" w:space="0"/>
            </w:tcBorders>
            <w:vAlign w:val="center"/>
          </w:tcPr>
          <w:p w14:paraId="35429530">
            <w:pPr>
              <w:jc w:val="both"/>
            </w:pPr>
            <w:r>
              <w:rPr>
                <w:rFonts w:hint="eastAsia"/>
              </w:rPr>
              <w:t>202</w:t>
            </w:r>
            <w:r>
              <w:rPr>
                <w:rFonts w:hint="eastAsia"/>
                <w:lang w:val="en-US" w:eastAsia="zh-CN"/>
              </w:rPr>
              <w:t>5</w:t>
            </w:r>
            <w:r>
              <w:rPr>
                <w:rFonts w:hint="eastAsia"/>
              </w:rPr>
              <w:t>.09</w:t>
            </w:r>
          </w:p>
        </w:tc>
      </w:tr>
      <w:tr w14:paraId="2067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A535369">
            <w:pPr>
              <w:jc w:val="both"/>
            </w:pPr>
            <w:r>
              <w:rPr>
                <w:rFonts w:hint="eastAsia"/>
              </w:rPr>
              <w:t>学院负责人</w:t>
            </w:r>
          </w:p>
        </w:tc>
        <w:tc>
          <w:tcPr>
            <w:tcW w:w="3532" w:type="dxa"/>
            <w:gridSpan w:val="2"/>
            <w:tcBorders>
              <w:bottom w:val="single" w:color="auto" w:sz="12" w:space="0"/>
            </w:tcBorders>
            <w:vAlign w:val="center"/>
          </w:tcPr>
          <w:p w14:paraId="248BCE0E">
            <w:pPr>
              <w:jc w:val="both"/>
              <w:rPr>
                <w:rFonts w:ascii="黑体" w:hAnsi="黑体" w:eastAsia="黑体"/>
                <w:color w:val="000000" w:themeColor="text1"/>
              </w:rPr>
            </w:pPr>
            <w:r>
              <w:drawing>
                <wp:inline distT="0" distB="0" distL="0" distR="0">
                  <wp:extent cx="749300" cy="23368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14"/>
                          <a:stretch>
                            <a:fillRect/>
                          </a:stretch>
                        </pic:blipFill>
                        <pic:spPr>
                          <a:xfrm>
                            <a:off x="0" y="0"/>
                            <a:ext cx="749889" cy="233910"/>
                          </a:xfrm>
                          <a:prstGeom prst="rect">
                            <a:avLst/>
                          </a:prstGeom>
                        </pic:spPr>
                      </pic:pic>
                    </a:graphicData>
                  </a:graphic>
                </wp:inline>
              </w:drawing>
            </w:r>
          </w:p>
        </w:tc>
        <w:tc>
          <w:tcPr>
            <w:tcW w:w="1425" w:type="dxa"/>
            <w:gridSpan w:val="2"/>
            <w:tcBorders>
              <w:bottom w:val="single" w:color="auto" w:sz="12" w:space="0"/>
            </w:tcBorders>
            <w:vAlign w:val="center"/>
          </w:tcPr>
          <w:p w14:paraId="32CBC892">
            <w:pPr>
              <w:ind w:firstLine="0" w:firstLineChars="0"/>
              <w:jc w:val="both"/>
            </w:pPr>
            <w:r>
              <w:rPr>
                <w:rFonts w:hint="eastAsia"/>
              </w:rPr>
              <w:t>批准时间</w:t>
            </w:r>
          </w:p>
        </w:tc>
        <w:tc>
          <w:tcPr>
            <w:tcW w:w="1628" w:type="dxa"/>
            <w:gridSpan w:val="2"/>
            <w:tcBorders>
              <w:bottom w:val="single" w:color="auto" w:sz="12" w:space="0"/>
              <w:right w:val="single" w:color="auto" w:sz="12" w:space="0"/>
            </w:tcBorders>
            <w:vAlign w:val="center"/>
          </w:tcPr>
          <w:p w14:paraId="23D12C87">
            <w:pPr>
              <w:jc w:val="both"/>
            </w:pPr>
            <w:r>
              <w:rPr>
                <w:rFonts w:hint="eastAsia"/>
              </w:rPr>
              <w:t>202</w:t>
            </w:r>
            <w:r>
              <w:rPr>
                <w:rFonts w:hint="eastAsia"/>
                <w:lang w:val="en-US" w:eastAsia="zh-CN"/>
              </w:rPr>
              <w:t>5</w:t>
            </w:r>
            <w:r>
              <w:rPr>
                <w:rFonts w:hint="eastAsia"/>
              </w:rPr>
              <w:t>.09</w:t>
            </w:r>
          </w:p>
        </w:tc>
      </w:tr>
    </w:tbl>
    <w:p w14:paraId="33E51A51">
      <w:pPr>
        <w:pStyle w:val="17"/>
        <w:ind w:firstLine="560"/>
      </w:pPr>
      <w:r>
        <w:rPr>
          <w:rFonts w:hint="eastAsia"/>
        </w:rPr>
        <w:t>二、课程目标与毕业要求</w:t>
      </w:r>
    </w:p>
    <w:p w14:paraId="14E04735">
      <w:pPr>
        <w:pStyle w:val="18"/>
        <w:spacing w:before="81" w:after="163"/>
        <w:ind w:firstLine="422"/>
        <w:rPr>
          <w:b/>
          <w:bCs w:val="0"/>
        </w:rPr>
      </w:pPr>
      <w:r>
        <w:rPr>
          <w:rFonts w:hint="eastAsia"/>
          <w:b/>
          <w:bCs w:val="0"/>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03"/>
        <w:gridCol w:w="709"/>
        <w:gridCol w:w="6264"/>
      </w:tblGrid>
      <w:tr w14:paraId="11768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503" w:type="dxa"/>
            <w:vAlign w:val="center"/>
          </w:tcPr>
          <w:p w14:paraId="2C017281">
            <w:r>
              <w:rPr>
                <w:rFonts w:hint="eastAsia"/>
              </w:rPr>
              <w:t>类型</w:t>
            </w:r>
          </w:p>
        </w:tc>
        <w:tc>
          <w:tcPr>
            <w:tcW w:w="709" w:type="dxa"/>
            <w:shd w:val="clear" w:color="auto" w:fill="auto"/>
            <w:vAlign w:val="center"/>
          </w:tcPr>
          <w:p w14:paraId="43DC8C96">
            <w:pPr>
              <w:ind w:firstLine="0" w:firstLineChars="0"/>
            </w:pPr>
            <w:r>
              <w:rPr>
                <w:rFonts w:hint="eastAsia"/>
              </w:rPr>
              <w:t>序号</w:t>
            </w:r>
          </w:p>
        </w:tc>
        <w:tc>
          <w:tcPr>
            <w:tcW w:w="6264" w:type="dxa"/>
            <w:vAlign w:val="center"/>
          </w:tcPr>
          <w:p w14:paraId="66D68F72">
            <w:r>
              <w:rPr>
                <w:rFonts w:hint="eastAsia"/>
              </w:rPr>
              <w:t>内容</w:t>
            </w:r>
          </w:p>
        </w:tc>
      </w:tr>
      <w:tr w14:paraId="3E845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03" w:type="dxa"/>
            <w:vAlign w:val="center"/>
          </w:tcPr>
          <w:p w14:paraId="1656698A">
            <w:r>
              <w:rPr>
                <w:rFonts w:hint="eastAsia"/>
              </w:rPr>
              <w:t>知识目标</w:t>
            </w:r>
          </w:p>
        </w:tc>
        <w:tc>
          <w:tcPr>
            <w:tcW w:w="709" w:type="dxa"/>
            <w:shd w:val="clear" w:color="auto" w:fill="auto"/>
            <w:vAlign w:val="center"/>
          </w:tcPr>
          <w:p w14:paraId="25BFC66D">
            <w:r>
              <w:t>1</w:t>
            </w:r>
          </w:p>
        </w:tc>
        <w:tc>
          <w:tcPr>
            <w:tcW w:w="6264" w:type="dxa"/>
            <w:vAlign w:val="center"/>
          </w:tcPr>
          <w:p w14:paraId="05ACB52D">
            <w:pPr>
              <w:pStyle w:val="15"/>
              <w:widowControl/>
              <w:spacing w:line="240" w:lineRule="auto"/>
              <w:ind w:firstLine="0" w:firstLineChars="0"/>
              <w:rPr>
                <w:bCs w:val="0"/>
              </w:rPr>
            </w:pPr>
            <w:r>
              <w:rPr>
                <w:rFonts w:hint="eastAsia"/>
                <w:bCs w:val="0"/>
              </w:rPr>
              <w:t>学习并掌握国际商务谈判的基本理论和概念，了解国际商务谈判的主要流程和规律。</w:t>
            </w:r>
          </w:p>
        </w:tc>
      </w:tr>
      <w:tr w14:paraId="5D748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restart"/>
            <w:vAlign w:val="center"/>
          </w:tcPr>
          <w:p w14:paraId="02A059EF">
            <w:pPr>
              <w:pStyle w:val="15"/>
            </w:pPr>
            <w:r>
              <w:t>技能目标</w:t>
            </w:r>
          </w:p>
        </w:tc>
        <w:tc>
          <w:tcPr>
            <w:tcW w:w="709" w:type="dxa"/>
            <w:shd w:val="clear" w:color="auto" w:fill="auto"/>
            <w:vAlign w:val="center"/>
          </w:tcPr>
          <w:p w14:paraId="32F8028F">
            <w:r>
              <w:rPr>
                <w:rFonts w:hint="eastAsia"/>
              </w:rPr>
              <w:t>2</w:t>
            </w:r>
          </w:p>
        </w:tc>
        <w:tc>
          <w:tcPr>
            <w:tcW w:w="6264" w:type="dxa"/>
            <w:vAlign w:val="center"/>
          </w:tcPr>
          <w:p w14:paraId="1719EE10">
            <w:pPr>
              <w:pStyle w:val="15"/>
              <w:widowControl/>
              <w:spacing w:line="240" w:lineRule="auto"/>
              <w:ind w:firstLine="0" w:firstLineChars="0"/>
              <w:rPr>
                <w:bCs w:val="0"/>
              </w:rPr>
            </w:pPr>
            <w:r>
              <w:rPr>
                <w:rFonts w:hint="eastAsia"/>
                <w:bCs w:val="0"/>
              </w:rPr>
              <w:t xml:space="preserve">在国际商务谈判理论的指导下，了解并熟练掌握对立型谈判和合作型谈判这两种主要谈判技能。 </w:t>
            </w:r>
          </w:p>
        </w:tc>
      </w:tr>
      <w:tr w14:paraId="79686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continue"/>
            <w:vAlign w:val="center"/>
          </w:tcPr>
          <w:p w14:paraId="2F2D48AF">
            <w:pPr>
              <w:pStyle w:val="15"/>
            </w:pPr>
          </w:p>
        </w:tc>
        <w:tc>
          <w:tcPr>
            <w:tcW w:w="709" w:type="dxa"/>
            <w:shd w:val="clear" w:color="auto" w:fill="auto"/>
            <w:vAlign w:val="center"/>
          </w:tcPr>
          <w:p w14:paraId="4B0C1A8B">
            <w:r>
              <w:rPr>
                <w:rFonts w:hint="eastAsia"/>
              </w:rPr>
              <w:t>3</w:t>
            </w:r>
          </w:p>
        </w:tc>
        <w:tc>
          <w:tcPr>
            <w:tcW w:w="6264" w:type="dxa"/>
            <w:vAlign w:val="center"/>
          </w:tcPr>
          <w:p w14:paraId="763E268F">
            <w:pPr>
              <w:pStyle w:val="15"/>
              <w:widowControl/>
              <w:spacing w:line="240" w:lineRule="auto"/>
              <w:ind w:firstLine="0" w:firstLineChars="0"/>
              <w:rPr>
                <w:bCs w:val="0"/>
              </w:rPr>
            </w:pPr>
            <w:r>
              <w:rPr>
                <w:rFonts w:hint="eastAsia"/>
                <w:bCs w:val="0"/>
              </w:rPr>
              <w:t>在国际商务谈判理论的指导下，熟练掌握并运用其它商务谈判技能比如让步技能、打破僵局技能、寻找并运用谈判力技能等。</w:t>
            </w:r>
          </w:p>
        </w:tc>
      </w:tr>
      <w:tr w14:paraId="015D0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737FDA42"/>
        </w:tc>
        <w:tc>
          <w:tcPr>
            <w:tcW w:w="709" w:type="dxa"/>
            <w:shd w:val="clear" w:color="auto" w:fill="auto"/>
            <w:vAlign w:val="center"/>
          </w:tcPr>
          <w:p w14:paraId="30197093">
            <w:r>
              <w:rPr>
                <w:rFonts w:hint="eastAsia"/>
              </w:rPr>
              <w:t>4</w:t>
            </w:r>
          </w:p>
        </w:tc>
        <w:tc>
          <w:tcPr>
            <w:tcW w:w="6264" w:type="dxa"/>
            <w:vAlign w:val="center"/>
          </w:tcPr>
          <w:p w14:paraId="72F631C2">
            <w:pPr>
              <w:pStyle w:val="15"/>
              <w:widowControl/>
              <w:spacing w:line="240" w:lineRule="auto"/>
              <w:ind w:firstLine="0" w:firstLineChars="0"/>
              <w:rPr>
                <w:bCs w:val="0"/>
              </w:rPr>
            </w:pPr>
            <w:r>
              <w:rPr>
                <w:rFonts w:hint="eastAsia"/>
                <w:bCs w:val="0"/>
              </w:rPr>
              <w:t>在国际商务谈判理论的指导下，熟练掌握并运用商务沟通技能，从而不断提高商务谈判的沟通效果。</w:t>
            </w:r>
          </w:p>
        </w:tc>
      </w:tr>
      <w:tr w14:paraId="2E8C8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16059DA6"/>
        </w:tc>
        <w:tc>
          <w:tcPr>
            <w:tcW w:w="709" w:type="dxa"/>
            <w:shd w:val="clear" w:color="auto" w:fill="auto"/>
            <w:vAlign w:val="center"/>
          </w:tcPr>
          <w:p w14:paraId="16D74FDE">
            <w:r>
              <w:rPr>
                <w:rFonts w:hint="eastAsia"/>
              </w:rPr>
              <w:t>5</w:t>
            </w:r>
          </w:p>
        </w:tc>
        <w:tc>
          <w:tcPr>
            <w:tcW w:w="6264" w:type="dxa"/>
            <w:vAlign w:val="center"/>
          </w:tcPr>
          <w:p w14:paraId="7ED54E78">
            <w:pPr>
              <w:pStyle w:val="15"/>
              <w:widowControl/>
              <w:spacing w:line="240" w:lineRule="auto"/>
              <w:ind w:firstLine="0" w:firstLineChars="0"/>
              <w:rPr>
                <w:bCs w:val="0"/>
              </w:rPr>
            </w:pPr>
            <w:r>
              <w:rPr>
                <w:rFonts w:hint="eastAsia"/>
                <w:bCs w:val="0"/>
              </w:rPr>
              <w:t>在国际商务谈判理论的指导下，熟练掌握并运用跨文化谈判的规律和特点，从而使不同文化背景的商务谈判能顺利进行，提高谈判成功的可能性。</w:t>
            </w:r>
          </w:p>
        </w:tc>
      </w:tr>
      <w:tr w14:paraId="7B03D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Align w:val="center"/>
          </w:tcPr>
          <w:p w14:paraId="6703B93D">
            <w:r>
              <w:rPr>
                <w:rFonts w:hint="eastAsia"/>
              </w:rPr>
              <w:t>素养目标</w:t>
            </w:r>
          </w:p>
          <w:p w14:paraId="7CB6990A">
            <w:r>
              <w:rPr>
                <w:rFonts w:hint="eastAsia"/>
              </w:rPr>
              <w:t>(含课程思政目标</w:t>
            </w:r>
            <w:r>
              <w:t>)</w:t>
            </w:r>
          </w:p>
        </w:tc>
        <w:tc>
          <w:tcPr>
            <w:tcW w:w="709" w:type="dxa"/>
            <w:shd w:val="clear" w:color="auto" w:fill="auto"/>
            <w:vAlign w:val="center"/>
          </w:tcPr>
          <w:p w14:paraId="36F6D87C">
            <w:r>
              <w:rPr>
                <w:rFonts w:hint="eastAsia"/>
              </w:rPr>
              <w:t>6</w:t>
            </w:r>
          </w:p>
        </w:tc>
        <w:tc>
          <w:tcPr>
            <w:tcW w:w="6264" w:type="dxa"/>
            <w:vAlign w:val="center"/>
          </w:tcPr>
          <w:p w14:paraId="420762E1">
            <w:pPr>
              <w:pStyle w:val="15"/>
              <w:widowControl/>
              <w:spacing w:line="240" w:lineRule="auto"/>
              <w:ind w:firstLine="0" w:firstLineChars="0"/>
              <w:rPr>
                <w:bCs w:val="0"/>
              </w:rPr>
            </w:pPr>
            <w:r>
              <w:rPr>
                <w:rFonts w:hint="eastAsia"/>
                <w:bCs w:val="0"/>
              </w:rPr>
              <w:t>以教材内容为基础进行德育渗透，加强思政教育，结合课文主题，培养学生文化自信，加强爱国主义和集体主义教育，敬畏道德和法律，做一个遵纪守法的好公民。</w:t>
            </w:r>
          </w:p>
        </w:tc>
      </w:tr>
    </w:tbl>
    <w:p w14:paraId="24E417B0">
      <w:pPr>
        <w:pStyle w:val="18"/>
        <w:spacing w:before="81" w:after="163"/>
        <w:ind w:firstLine="422"/>
        <w:rPr>
          <w:b/>
          <w:bCs w:val="0"/>
        </w:rPr>
      </w:pPr>
      <w:r>
        <w:rPr>
          <w:rFonts w:hint="eastAsia"/>
          <w:b/>
          <w:bCs w:val="0"/>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4E5400C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472" w:type="dxa"/>
          </w:tcPr>
          <w:p w14:paraId="01929E8E">
            <w:pPr>
              <w:pStyle w:val="15"/>
              <w:spacing w:line="240" w:lineRule="auto"/>
              <w:ind w:firstLine="0" w:firstLineChars="0"/>
              <w:jc w:val="left"/>
              <w:rPr>
                <w:rFonts w:cs="Times New Roman"/>
              </w:rPr>
            </w:pPr>
            <w:r>
              <w:rPr>
                <w:rFonts w:cs="Times New Roman"/>
              </w:rPr>
              <w:t>LO1</w:t>
            </w:r>
            <w:r>
              <w:rPr>
                <w:rFonts w:hint="eastAsia"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F36674A">
            <w:pPr>
              <w:pStyle w:val="15"/>
              <w:spacing w:line="240" w:lineRule="auto"/>
              <w:ind w:firstLine="0" w:firstLineChars="0"/>
              <w:jc w:val="left"/>
              <w:rPr>
                <w:rFonts w:cs="Times New Roman"/>
              </w:rPr>
            </w:pPr>
            <w:r>
              <w:rPr>
                <w:rFonts w:cs="Times New Roman"/>
              </w:rPr>
              <w:t>①</w:t>
            </w:r>
            <w:r>
              <w:rPr>
                <w:rFonts w:hint="eastAsia" w:cs="Times New Roman"/>
              </w:rPr>
              <w:t>爱党爱国，坚决拥护党的领导，热爱祖国的大好河山、悠久历史、灿烂文化，自觉维护民族利益和国家尊严。</w:t>
            </w:r>
          </w:p>
        </w:tc>
      </w:tr>
      <w:tr w14:paraId="5A27DC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22D6DC04">
            <w:pPr>
              <w:pStyle w:val="15"/>
              <w:spacing w:line="240" w:lineRule="auto"/>
              <w:ind w:firstLine="0" w:firstLineChars="0"/>
              <w:jc w:val="left"/>
              <w:rPr>
                <w:rFonts w:cs="Times New Roman"/>
              </w:rPr>
            </w:pPr>
            <w:r>
              <w:rPr>
                <w:rFonts w:cs="Times New Roman"/>
              </w:rPr>
              <w:t>LO</w:t>
            </w:r>
            <w:r>
              <w:rPr>
                <w:rFonts w:hint="eastAsia" w:cs="Times New Roman"/>
              </w:rPr>
              <w:t>2专业能力：具有人文科学素养，具备从事某项工作或专业的理论知识、实践能力。</w:t>
            </w:r>
          </w:p>
          <w:p w14:paraId="12AF286A">
            <w:pPr>
              <w:pStyle w:val="15"/>
              <w:spacing w:line="240" w:lineRule="auto"/>
              <w:ind w:firstLine="0" w:firstLineChars="0"/>
              <w:jc w:val="left"/>
              <w:rPr>
                <w:rFonts w:cs="Times New Roman"/>
              </w:rPr>
            </w:pPr>
            <w:r>
              <w:rPr>
                <w:rFonts w:hint="eastAsia" w:cs="Times New Roman"/>
              </w:rPr>
              <w:t>⑤掌握商务实践知识，具有较强的外贸实务操作能力（国际商务方向）。</w:t>
            </w:r>
            <w:r>
              <w:rPr>
                <w:rFonts w:cs="Times New Roman"/>
              </w:rPr>
              <w:t xml:space="preserve"> </w:t>
            </w:r>
          </w:p>
        </w:tc>
      </w:tr>
      <w:tr w14:paraId="38EF972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0DA1181">
            <w:pPr>
              <w:pStyle w:val="15"/>
              <w:spacing w:line="240" w:lineRule="auto"/>
              <w:ind w:firstLine="0" w:firstLineChars="0"/>
              <w:jc w:val="left"/>
              <w:rPr>
                <w:rFonts w:cs="Times New Roman"/>
              </w:rPr>
            </w:pPr>
            <w:r>
              <w:rPr>
                <w:rFonts w:cs="Times New Roman"/>
              </w:rPr>
              <w:t>LO3表达沟通：理解他人的观点，尊重他人的价值观，能在不同场合用书面或口头形式进行有效沟通。</w:t>
            </w:r>
          </w:p>
          <w:p w14:paraId="47BB3BF4">
            <w:pPr>
              <w:pStyle w:val="15"/>
              <w:spacing w:line="240" w:lineRule="auto"/>
              <w:ind w:firstLine="0" w:firstLineChars="0"/>
              <w:jc w:val="left"/>
              <w:rPr>
                <w:rFonts w:cs="Times New Roman"/>
              </w:rPr>
            </w:pPr>
            <w:r>
              <w:rPr>
                <w:rFonts w:hint="eastAsia" w:cs="Times New Roman"/>
              </w:rPr>
              <w:t>②</w:t>
            </w:r>
            <w:r>
              <w:rPr>
                <w:rFonts w:cs="Times New Roman"/>
              </w:rPr>
              <w:t>应用书面或口头形式，阐释自己的观点，有效沟通。</w:t>
            </w:r>
          </w:p>
        </w:tc>
      </w:tr>
      <w:tr w14:paraId="0B957B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0F8F067">
            <w:pPr>
              <w:pStyle w:val="15"/>
              <w:spacing w:line="240" w:lineRule="auto"/>
              <w:ind w:firstLine="0" w:firstLineChars="0"/>
              <w:jc w:val="left"/>
              <w:rPr>
                <w:rFonts w:cs="Times New Roman"/>
              </w:rPr>
            </w:pPr>
            <w:r>
              <w:rPr>
                <w:rFonts w:cs="Times New Roman"/>
              </w:rPr>
              <w:t>LO8国际视野：具有基本的外语表达沟通能力与跨文化理解能力，有国际竞争与合作的意识。</w:t>
            </w:r>
          </w:p>
          <w:p w14:paraId="216C164B">
            <w:pPr>
              <w:pStyle w:val="15"/>
              <w:spacing w:line="240" w:lineRule="auto"/>
              <w:ind w:firstLine="0" w:firstLineChars="0"/>
              <w:jc w:val="left"/>
              <w:rPr>
                <w:rFonts w:cs="Times New Roman"/>
              </w:rPr>
            </w:pPr>
            <w:r>
              <w:rPr>
                <w:rFonts w:hint="eastAsia" w:cs="Times New Roman"/>
              </w:rPr>
              <w:t>③</w:t>
            </w:r>
            <w:r>
              <w:rPr>
                <w:rFonts w:cs="Times New Roman"/>
              </w:rPr>
              <w:t>有国际竞争与合作意识。</w:t>
            </w:r>
          </w:p>
        </w:tc>
      </w:tr>
    </w:tbl>
    <w:p w14:paraId="78F2042F">
      <w:pPr>
        <w:pStyle w:val="18"/>
        <w:spacing w:before="81" w:after="163"/>
        <w:ind w:firstLine="422"/>
        <w:rPr>
          <w:b/>
          <w:bCs w:val="0"/>
        </w:rPr>
      </w:pPr>
      <w:r>
        <w:rPr>
          <w:rFonts w:hint="eastAsia"/>
          <w:b/>
          <w:bCs w:val="0"/>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60"/>
        <w:gridCol w:w="4627"/>
        <w:gridCol w:w="1161"/>
      </w:tblGrid>
      <w:tr w14:paraId="560A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4824D670">
            <w:pPr>
              <w:pStyle w:val="14"/>
              <w:ind w:firstLine="0" w:firstLineChars="0"/>
            </w:pPr>
            <w:r>
              <w:rPr>
                <w:rFonts w:hint="eastAsia"/>
              </w:rPr>
              <w:t>毕业要求</w:t>
            </w:r>
          </w:p>
        </w:tc>
        <w:tc>
          <w:tcPr>
            <w:tcW w:w="992" w:type="dxa"/>
            <w:tcBorders>
              <w:top w:val="single" w:color="auto" w:sz="12" w:space="0"/>
              <w:left w:val="single" w:color="auto" w:sz="4" w:space="0"/>
            </w:tcBorders>
            <w:vAlign w:val="center"/>
          </w:tcPr>
          <w:p w14:paraId="4C1C2337">
            <w:pPr>
              <w:pStyle w:val="14"/>
              <w:ind w:firstLine="0" w:firstLineChars="0"/>
            </w:pPr>
            <w:r>
              <w:rPr>
                <w:rFonts w:hint="eastAsia"/>
              </w:rPr>
              <w:t>指标点</w:t>
            </w:r>
          </w:p>
        </w:tc>
        <w:tc>
          <w:tcPr>
            <w:tcW w:w="760" w:type="dxa"/>
            <w:tcBorders>
              <w:top w:val="single" w:color="auto" w:sz="12" w:space="0"/>
              <w:right w:val="double" w:color="auto" w:sz="4" w:space="0"/>
            </w:tcBorders>
            <w:shd w:val="clear" w:color="auto" w:fill="auto"/>
            <w:vAlign w:val="center"/>
          </w:tcPr>
          <w:p w14:paraId="3214DF08">
            <w:pPr>
              <w:pStyle w:val="14"/>
              <w:ind w:firstLine="0" w:firstLineChars="0"/>
            </w:pPr>
            <w:r>
              <w:rPr>
                <w:rFonts w:hint="eastAsia"/>
              </w:rPr>
              <w:t>支撑度</w:t>
            </w:r>
          </w:p>
        </w:tc>
        <w:tc>
          <w:tcPr>
            <w:tcW w:w="4627" w:type="dxa"/>
            <w:tcBorders>
              <w:top w:val="single" w:color="auto" w:sz="12" w:space="0"/>
            </w:tcBorders>
            <w:vAlign w:val="center"/>
          </w:tcPr>
          <w:p w14:paraId="39B7830E">
            <w:pPr>
              <w:pStyle w:val="14"/>
            </w:pPr>
            <w:r>
              <w:rPr>
                <w:rFonts w:hint="eastAsia"/>
              </w:rPr>
              <w:t>课程目标</w:t>
            </w:r>
          </w:p>
        </w:tc>
        <w:tc>
          <w:tcPr>
            <w:tcW w:w="1161" w:type="dxa"/>
            <w:tcBorders>
              <w:top w:val="single" w:color="auto" w:sz="12" w:space="0"/>
              <w:right w:val="single" w:color="auto" w:sz="12" w:space="0"/>
            </w:tcBorders>
            <w:vAlign w:val="center"/>
          </w:tcPr>
          <w:p w14:paraId="4ECDAB7A">
            <w:pPr>
              <w:pStyle w:val="14"/>
              <w:ind w:firstLine="0" w:firstLineChars="0"/>
            </w:pPr>
            <w:r>
              <w:rPr>
                <w:rFonts w:hint="eastAsia"/>
              </w:rPr>
              <w:t>对指标点的贡献度</w:t>
            </w:r>
          </w:p>
        </w:tc>
      </w:tr>
      <w:tr w14:paraId="741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2C417EF1">
            <w:pPr>
              <w:pStyle w:val="15"/>
              <w:widowControl/>
              <w:spacing w:line="240" w:lineRule="auto"/>
              <w:ind w:firstLine="0" w:firstLineChars="0"/>
              <w:jc w:val="center"/>
              <w:rPr>
                <w:rFonts w:cs="Times New Roman"/>
                <w:b/>
                <w:bCs w:val="0"/>
              </w:rPr>
            </w:pPr>
            <w:r>
              <w:rPr>
                <w:rFonts w:cs="Times New Roman"/>
                <w:b/>
                <w:bCs w:val="0"/>
              </w:rPr>
              <w:t>LO1</w:t>
            </w:r>
          </w:p>
        </w:tc>
        <w:tc>
          <w:tcPr>
            <w:tcW w:w="992" w:type="dxa"/>
            <w:tcBorders>
              <w:left w:val="single" w:color="auto" w:sz="4" w:space="0"/>
            </w:tcBorders>
            <w:vAlign w:val="center"/>
          </w:tcPr>
          <w:p w14:paraId="651DF48E">
            <w:pPr>
              <w:pStyle w:val="15"/>
              <w:widowControl/>
              <w:spacing w:line="240" w:lineRule="auto"/>
              <w:ind w:firstLine="0" w:firstLineChars="0"/>
              <w:jc w:val="center"/>
              <w:rPr>
                <w:rFonts w:cs="Times New Roman"/>
                <w:b/>
                <w:bCs w:val="0"/>
              </w:rPr>
            </w:pPr>
            <w:r>
              <w:rPr>
                <w:rFonts w:hint="eastAsia" w:cs="Times New Roman"/>
                <w:b/>
                <w:bCs w:val="0"/>
              </w:rPr>
              <w:t xml:space="preserve">① </w:t>
            </w:r>
          </w:p>
        </w:tc>
        <w:tc>
          <w:tcPr>
            <w:tcW w:w="760" w:type="dxa"/>
            <w:tcBorders>
              <w:right w:val="double" w:color="auto" w:sz="4" w:space="0"/>
            </w:tcBorders>
            <w:shd w:val="clear" w:color="auto" w:fill="auto"/>
            <w:vAlign w:val="center"/>
          </w:tcPr>
          <w:p w14:paraId="1B2A4984">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vAlign w:val="center"/>
          </w:tcPr>
          <w:p w14:paraId="5EB32C3C">
            <w:pPr>
              <w:pStyle w:val="15"/>
              <w:widowControl/>
              <w:spacing w:line="240" w:lineRule="auto"/>
              <w:ind w:firstLine="0" w:firstLineChars="0"/>
              <w:rPr>
                <w:bCs w:val="0"/>
              </w:rPr>
            </w:pPr>
            <w:r>
              <w:rPr>
                <w:rFonts w:hint="eastAsia"/>
                <w:bCs w:val="0"/>
              </w:rPr>
              <w:t>6. 以教材内容为基础进行德育渗透，加强思政教育，结合课文主题，培养学生文化自信，加强爱国主义和集体主义教育，敬畏道德和法律，做一个遵纪守法的好公民。</w:t>
            </w:r>
          </w:p>
        </w:tc>
        <w:tc>
          <w:tcPr>
            <w:tcW w:w="1161" w:type="dxa"/>
            <w:tcBorders>
              <w:right w:val="single" w:color="auto" w:sz="12" w:space="0"/>
            </w:tcBorders>
            <w:vAlign w:val="center"/>
          </w:tcPr>
          <w:p w14:paraId="714F1635">
            <w:pPr>
              <w:pStyle w:val="15"/>
            </w:pPr>
            <w:r>
              <w:t>100%</w:t>
            </w:r>
          </w:p>
        </w:tc>
      </w:tr>
      <w:tr w14:paraId="096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72B2F652">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2</w:t>
            </w:r>
          </w:p>
        </w:tc>
        <w:tc>
          <w:tcPr>
            <w:tcW w:w="992" w:type="dxa"/>
            <w:vMerge w:val="restart"/>
            <w:tcBorders>
              <w:left w:val="single" w:color="auto" w:sz="4" w:space="0"/>
            </w:tcBorders>
            <w:vAlign w:val="center"/>
          </w:tcPr>
          <w:p w14:paraId="6F924E87">
            <w:pPr>
              <w:pStyle w:val="15"/>
              <w:widowControl/>
              <w:spacing w:line="240" w:lineRule="auto"/>
              <w:ind w:firstLine="0" w:firstLineChars="0"/>
              <w:jc w:val="center"/>
              <w:rPr>
                <w:rFonts w:cs="Times New Roman"/>
                <w:b/>
                <w:bCs w:val="0"/>
              </w:rPr>
            </w:pPr>
            <w:r>
              <w:rPr>
                <w:rFonts w:cs="Times New Roman"/>
                <w:b/>
                <w:bCs w:val="0"/>
              </w:rPr>
              <w:t>⑤</w:t>
            </w:r>
          </w:p>
        </w:tc>
        <w:tc>
          <w:tcPr>
            <w:tcW w:w="760" w:type="dxa"/>
            <w:vMerge w:val="restart"/>
            <w:tcBorders>
              <w:right w:val="double" w:color="auto" w:sz="4" w:space="0"/>
            </w:tcBorders>
            <w:shd w:val="clear" w:color="auto" w:fill="auto"/>
            <w:vAlign w:val="center"/>
          </w:tcPr>
          <w:p w14:paraId="5181EE67">
            <w:pPr>
              <w:pStyle w:val="15"/>
              <w:widowControl/>
              <w:spacing w:line="240" w:lineRule="auto"/>
              <w:ind w:firstLine="0" w:firstLineChars="0"/>
              <w:jc w:val="center"/>
              <w:rPr>
                <w:rFonts w:cs="Times New Roman"/>
                <w:b/>
                <w:bCs w:val="0"/>
              </w:rPr>
            </w:pPr>
            <w:r>
              <w:rPr>
                <w:rFonts w:hint="eastAsia" w:cs="Times New Roman"/>
                <w:b/>
                <w:bCs w:val="0"/>
              </w:rPr>
              <w:t>H</w:t>
            </w:r>
          </w:p>
        </w:tc>
        <w:tc>
          <w:tcPr>
            <w:tcW w:w="4627" w:type="dxa"/>
            <w:vAlign w:val="center"/>
          </w:tcPr>
          <w:p w14:paraId="6A5A8690">
            <w:pPr>
              <w:pStyle w:val="15"/>
              <w:widowControl/>
              <w:spacing w:line="240" w:lineRule="auto"/>
              <w:ind w:firstLine="0" w:firstLineChars="0"/>
              <w:rPr>
                <w:bCs w:val="0"/>
              </w:rPr>
            </w:pPr>
            <w:r>
              <w:rPr>
                <w:rFonts w:hint="eastAsia"/>
                <w:bCs w:val="0"/>
              </w:rPr>
              <w:t>1. 学习并掌握国际商务谈判的基本理论和概念，了解国际商务谈判的主要流程和规律。</w:t>
            </w:r>
          </w:p>
        </w:tc>
        <w:tc>
          <w:tcPr>
            <w:tcW w:w="1161" w:type="dxa"/>
            <w:tcBorders>
              <w:right w:val="single" w:color="auto" w:sz="12" w:space="0"/>
            </w:tcBorders>
            <w:vAlign w:val="center"/>
          </w:tcPr>
          <w:p w14:paraId="47C2A80A">
            <w:pPr>
              <w:pStyle w:val="15"/>
            </w:pPr>
            <w:r>
              <w:rPr>
                <w:rFonts w:hint="eastAsia"/>
              </w:rPr>
              <w:t>4</w:t>
            </w:r>
            <w:r>
              <w:t>0%</w:t>
            </w:r>
          </w:p>
        </w:tc>
      </w:tr>
      <w:tr w14:paraId="4D6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48BEE783">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tcBorders>
            <w:vAlign w:val="center"/>
          </w:tcPr>
          <w:p w14:paraId="3DA50357">
            <w:pPr>
              <w:pStyle w:val="15"/>
              <w:widowControl/>
              <w:spacing w:line="240" w:lineRule="auto"/>
              <w:ind w:firstLine="0" w:firstLineChars="0"/>
              <w:jc w:val="center"/>
              <w:rPr>
                <w:rFonts w:cs="Times New Roman"/>
                <w:b/>
                <w:bCs w:val="0"/>
              </w:rPr>
            </w:pPr>
          </w:p>
        </w:tc>
        <w:tc>
          <w:tcPr>
            <w:tcW w:w="760" w:type="dxa"/>
            <w:vMerge w:val="continue"/>
            <w:tcBorders>
              <w:right w:val="double" w:color="auto" w:sz="4" w:space="0"/>
            </w:tcBorders>
            <w:shd w:val="clear" w:color="auto" w:fill="auto"/>
            <w:vAlign w:val="center"/>
          </w:tcPr>
          <w:p w14:paraId="69E81B9F">
            <w:pPr>
              <w:pStyle w:val="15"/>
              <w:widowControl/>
              <w:spacing w:line="240" w:lineRule="auto"/>
              <w:ind w:firstLine="0" w:firstLineChars="0"/>
              <w:jc w:val="center"/>
              <w:rPr>
                <w:rFonts w:cs="Times New Roman"/>
                <w:b/>
                <w:bCs w:val="0"/>
              </w:rPr>
            </w:pPr>
          </w:p>
        </w:tc>
        <w:tc>
          <w:tcPr>
            <w:tcW w:w="4627" w:type="dxa"/>
            <w:vAlign w:val="center"/>
          </w:tcPr>
          <w:p w14:paraId="564CB5B2">
            <w:pPr>
              <w:pStyle w:val="15"/>
              <w:widowControl/>
              <w:spacing w:line="240" w:lineRule="auto"/>
              <w:ind w:firstLine="0" w:firstLineChars="0"/>
              <w:rPr>
                <w:bCs w:val="0"/>
              </w:rPr>
            </w:pPr>
            <w:r>
              <w:rPr>
                <w:rFonts w:hint="eastAsia"/>
                <w:bCs w:val="0"/>
              </w:rPr>
              <w:t>2. 在国际商务谈判理论的指导下，了解并熟练掌握对立型谈判和合作型谈判这两种主要谈判技能等。</w:t>
            </w:r>
          </w:p>
        </w:tc>
        <w:tc>
          <w:tcPr>
            <w:tcW w:w="1161" w:type="dxa"/>
            <w:tcBorders>
              <w:right w:val="single" w:color="auto" w:sz="12" w:space="0"/>
            </w:tcBorders>
            <w:vAlign w:val="center"/>
          </w:tcPr>
          <w:p w14:paraId="1798EBFC">
            <w:pPr>
              <w:pStyle w:val="15"/>
            </w:pPr>
            <w:r>
              <w:rPr>
                <w:rFonts w:hint="eastAsia"/>
              </w:rPr>
              <w:t>30%</w:t>
            </w:r>
          </w:p>
        </w:tc>
      </w:tr>
      <w:tr w14:paraId="614F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6" w:type="dxa"/>
            <w:vMerge w:val="continue"/>
            <w:tcBorders>
              <w:left w:val="single" w:color="auto" w:sz="12" w:space="0"/>
              <w:bottom w:val="single" w:color="auto" w:sz="12" w:space="0"/>
              <w:right w:val="single" w:color="auto" w:sz="4" w:space="0"/>
            </w:tcBorders>
            <w:shd w:val="clear" w:color="auto" w:fill="auto"/>
          </w:tcPr>
          <w:p w14:paraId="49E6AB60">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bottom w:val="single" w:color="auto" w:sz="12" w:space="0"/>
            </w:tcBorders>
            <w:vAlign w:val="center"/>
          </w:tcPr>
          <w:p w14:paraId="58DDEB76">
            <w:pPr>
              <w:pStyle w:val="15"/>
              <w:widowControl/>
              <w:spacing w:line="240" w:lineRule="auto"/>
              <w:ind w:firstLine="0" w:firstLineChars="0"/>
              <w:jc w:val="center"/>
              <w:rPr>
                <w:rFonts w:cs="Times New Roman"/>
                <w:b/>
                <w:bCs w:val="0"/>
              </w:rPr>
            </w:pPr>
          </w:p>
        </w:tc>
        <w:tc>
          <w:tcPr>
            <w:tcW w:w="760" w:type="dxa"/>
            <w:vMerge w:val="continue"/>
            <w:tcBorders>
              <w:bottom w:val="single" w:color="auto" w:sz="12" w:space="0"/>
              <w:right w:val="double" w:color="auto" w:sz="4" w:space="0"/>
            </w:tcBorders>
            <w:shd w:val="clear" w:color="auto" w:fill="auto"/>
            <w:vAlign w:val="center"/>
          </w:tcPr>
          <w:p w14:paraId="11B2E6A9">
            <w:pPr>
              <w:pStyle w:val="15"/>
              <w:widowControl/>
              <w:spacing w:line="240" w:lineRule="auto"/>
              <w:ind w:firstLine="0" w:firstLineChars="0"/>
              <w:jc w:val="center"/>
              <w:rPr>
                <w:rFonts w:cs="Times New Roman"/>
                <w:b/>
                <w:bCs w:val="0"/>
              </w:rPr>
            </w:pPr>
          </w:p>
        </w:tc>
        <w:tc>
          <w:tcPr>
            <w:tcW w:w="4627" w:type="dxa"/>
            <w:tcBorders>
              <w:bottom w:val="single" w:color="auto" w:sz="12" w:space="0"/>
            </w:tcBorders>
            <w:vAlign w:val="center"/>
          </w:tcPr>
          <w:p w14:paraId="5BDE591B">
            <w:pPr>
              <w:pStyle w:val="15"/>
              <w:widowControl/>
              <w:spacing w:line="240" w:lineRule="auto"/>
              <w:ind w:firstLine="0" w:firstLineChars="0"/>
              <w:rPr>
                <w:bCs w:val="0"/>
              </w:rPr>
            </w:pPr>
            <w:r>
              <w:rPr>
                <w:rFonts w:hint="eastAsia"/>
                <w:bCs w:val="0"/>
              </w:rPr>
              <w:t>3. 在国际商务谈判理论的指导下，熟练掌握并运用其它商务谈判技能比如商务沟通技能、让步技能、寻找并运用谈判力技能等等。</w:t>
            </w:r>
          </w:p>
        </w:tc>
        <w:tc>
          <w:tcPr>
            <w:tcW w:w="1161" w:type="dxa"/>
            <w:tcBorders>
              <w:bottom w:val="single" w:color="auto" w:sz="12" w:space="0"/>
              <w:right w:val="single" w:color="auto" w:sz="12" w:space="0"/>
            </w:tcBorders>
            <w:vAlign w:val="center"/>
          </w:tcPr>
          <w:p w14:paraId="01E858AA">
            <w:pPr>
              <w:pStyle w:val="15"/>
            </w:pPr>
            <w:r>
              <w:rPr>
                <w:rFonts w:hint="eastAsia"/>
              </w:rPr>
              <w:t>30%</w:t>
            </w:r>
          </w:p>
        </w:tc>
      </w:tr>
      <w:tr w14:paraId="02F4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0A08DF8">
            <w:pPr>
              <w:pStyle w:val="15"/>
              <w:widowControl/>
              <w:spacing w:line="240" w:lineRule="auto"/>
              <w:ind w:firstLine="0" w:firstLineChars="0"/>
              <w:jc w:val="center"/>
              <w:rPr>
                <w:rFonts w:cs="Times New Roman"/>
                <w:b/>
                <w:bCs w:val="0"/>
              </w:rPr>
            </w:pPr>
            <w:r>
              <w:rPr>
                <w:rFonts w:hint="eastAsia" w:cs="Times New Roman"/>
                <w:b/>
                <w:bCs w:val="0"/>
              </w:rPr>
              <w:t>LO3</w:t>
            </w:r>
          </w:p>
        </w:tc>
        <w:tc>
          <w:tcPr>
            <w:tcW w:w="992" w:type="dxa"/>
            <w:tcBorders>
              <w:left w:val="single" w:color="auto" w:sz="4" w:space="0"/>
              <w:bottom w:val="single" w:color="auto" w:sz="12" w:space="0"/>
            </w:tcBorders>
            <w:vAlign w:val="center"/>
          </w:tcPr>
          <w:p w14:paraId="6B8E7DDB">
            <w:pPr>
              <w:pStyle w:val="15"/>
              <w:widowControl/>
              <w:spacing w:line="240" w:lineRule="auto"/>
              <w:ind w:firstLine="0" w:firstLineChars="0"/>
              <w:jc w:val="center"/>
              <w:rPr>
                <w:rFonts w:cs="Times New Roman"/>
                <w:b/>
                <w:bCs w:val="0"/>
              </w:rPr>
            </w:pPr>
            <w:r>
              <w:rPr>
                <w:rFonts w:cs="Times New Roman"/>
                <w:b/>
                <w:bCs w:val="0"/>
              </w:rPr>
              <w:t>②</w:t>
            </w:r>
          </w:p>
        </w:tc>
        <w:tc>
          <w:tcPr>
            <w:tcW w:w="760" w:type="dxa"/>
            <w:tcBorders>
              <w:bottom w:val="single" w:color="auto" w:sz="12" w:space="0"/>
              <w:right w:val="double" w:color="auto" w:sz="4" w:space="0"/>
            </w:tcBorders>
            <w:shd w:val="clear" w:color="auto" w:fill="auto"/>
            <w:vAlign w:val="center"/>
          </w:tcPr>
          <w:p w14:paraId="0B232C1A">
            <w:pPr>
              <w:pStyle w:val="15"/>
              <w:widowControl/>
              <w:spacing w:line="240" w:lineRule="auto"/>
              <w:ind w:firstLine="0" w:firstLineChars="0"/>
              <w:jc w:val="center"/>
              <w:rPr>
                <w:rFonts w:cs="Times New Roman"/>
                <w:b/>
                <w:bCs w:val="0"/>
              </w:rPr>
            </w:pPr>
            <w:r>
              <w:rPr>
                <w:rFonts w:hint="eastAsia" w:cs="Times New Roman"/>
                <w:b/>
                <w:bCs w:val="0"/>
              </w:rPr>
              <w:t>L</w:t>
            </w:r>
          </w:p>
        </w:tc>
        <w:tc>
          <w:tcPr>
            <w:tcW w:w="4627" w:type="dxa"/>
            <w:tcBorders>
              <w:bottom w:val="single" w:color="auto" w:sz="12" w:space="0"/>
            </w:tcBorders>
            <w:vAlign w:val="center"/>
          </w:tcPr>
          <w:p w14:paraId="0EF98A7F">
            <w:pPr>
              <w:pStyle w:val="15"/>
              <w:widowControl/>
              <w:spacing w:line="240" w:lineRule="auto"/>
              <w:ind w:firstLine="0" w:firstLineChars="0"/>
              <w:rPr>
                <w:bCs w:val="0"/>
              </w:rPr>
            </w:pPr>
            <w:r>
              <w:rPr>
                <w:rFonts w:hint="eastAsia"/>
                <w:bCs w:val="0"/>
              </w:rPr>
              <w:t>4. 在国际商务谈判理论的指导下，熟练掌握并运用商务沟通技能，从而不断提高商务谈判的沟通效果。</w:t>
            </w:r>
          </w:p>
        </w:tc>
        <w:tc>
          <w:tcPr>
            <w:tcW w:w="1161" w:type="dxa"/>
            <w:tcBorders>
              <w:bottom w:val="single" w:color="auto" w:sz="12" w:space="0"/>
              <w:right w:val="single" w:color="auto" w:sz="12" w:space="0"/>
            </w:tcBorders>
            <w:vAlign w:val="center"/>
          </w:tcPr>
          <w:p w14:paraId="7EE1734D">
            <w:pPr>
              <w:pStyle w:val="15"/>
            </w:pPr>
            <w:r>
              <w:rPr>
                <w:rFonts w:hint="eastAsia"/>
              </w:rPr>
              <w:t>100%</w:t>
            </w:r>
          </w:p>
        </w:tc>
      </w:tr>
      <w:tr w14:paraId="7934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3662E5A">
            <w:pPr>
              <w:pStyle w:val="15"/>
              <w:widowControl/>
              <w:spacing w:line="240" w:lineRule="auto"/>
              <w:ind w:firstLine="0" w:firstLineChars="0"/>
              <w:jc w:val="center"/>
              <w:rPr>
                <w:rFonts w:cs="Times New Roman"/>
                <w:b/>
                <w:bCs w:val="0"/>
              </w:rPr>
            </w:pPr>
          </w:p>
          <w:p w14:paraId="320ED42B">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8</w:t>
            </w:r>
          </w:p>
        </w:tc>
        <w:tc>
          <w:tcPr>
            <w:tcW w:w="992" w:type="dxa"/>
            <w:tcBorders>
              <w:left w:val="single" w:color="auto" w:sz="4" w:space="0"/>
              <w:bottom w:val="single" w:color="auto" w:sz="12" w:space="0"/>
            </w:tcBorders>
            <w:vAlign w:val="center"/>
          </w:tcPr>
          <w:p w14:paraId="1BF6C4F3">
            <w:pPr>
              <w:pStyle w:val="15"/>
              <w:widowControl/>
              <w:spacing w:line="240" w:lineRule="auto"/>
              <w:ind w:firstLine="0" w:firstLineChars="0"/>
              <w:jc w:val="center"/>
              <w:rPr>
                <w:rFonts w:cs="Times New Roman"/>
                <w:b/>
                <w:bCs w:val="0"/>
              </w:rPr>
            </w:pPr>
            <w:r>
              <w:rPr>
                <w:rFonts w:cs="Times New Roman"/>
                <w:b/>
                <w:bCs w:val="0"/>
              </w:rPr>
              <w:t>③</w:t>
            </w:r>
          </w:p>
        </w:tc>
        <w:tc>
          <w:tcPr>
            <w:tcW w:w="760" w:type="dxa"/>
            <w:tcBorders>
              <w:bottom w:val="single" w:color="auto" w:sz="12" w:space="0"/>
              <w:right w:val="double" w:color="auto" w:sz="4" w:space="0"/>
            </w:tcBorders>
            <w:shd w:val="clear" w:color="auto" w:fill="auto"/>
            <w:vAlign w:val="center"/>
          </w:tcPr>
          <w:p w14:paraId="58013F02">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tcBorders>
              <w:bottom w:val="single" w:color="auto" w:sz="12" w:space="0"/>
            </w:tcBorders>
            <w:vAlign w:val="center"/>
          </w:tcPr>
          <w:p w14:paraId="3FBB352A">
            <w:pPr>
              <w:pStyle w:val="15"/>
              <w:widowControl/>
              <w:spacing w:line="240" w:lineRule="auto"/>
              <w:ind w:firstLine="0" w:firstLineChars="0"/>
              <w:rPr>
                <w:bCs w:val="0"/>
              </w:rPr>
            </w:pPr>
            <w:r>
              <w:rPr>
                <w:rFonts w:hint="eastAsia"/>
                <w:bCs w:val="0"/>
              </w:rPr>
              <w:t>5. 在国际商务谈判理论的指导下，熟练掌握并运用跨文化谈判的规律和特点，从而使不同文化背景的商务谈判能顺利进行，提高谈判成功的可能性。</w:t>
            </w:r>
          </w:p>
        </w:tc>
        <w:tc>
          <w:tcPr>
            <w:tcW w:w="1161" w:type="dxa"/>
            <w:tcBorders>
              <w:bottom w:val="single" w:color="auto" w:sz="12" w:space="0"/>
              <w:right w:val="single" w:color="auto" w:sz="12" w:space="0"/>
            </w:tcBorders>
            <w:vAlign w:val="center"/>
          </w:tcPr>
          <w:p w14:paraId="03D47285">
            <w:pPr>
              <w:pStyle w:val="15"/>
            </w:pPr>
            <w:r>
              <w:t>100%</w:t>
            </w:r>
          </w:p>
        </w:tc>
      </w:tr>
    </w:tbl>
    <w:p w14:paraId="79AEE982">
      <w:pPr>
        <w:pStyle w:val="17"/>
        <w:ind w:firstLine="560"/>
      </w:pPr>
      <w:r>
        <w:rPr>
          <w:rFonts w:hint="eastAsia"/>
        </w:rPr>
        <w:t>三、</w:t>
      </w:r>
      <w:r>
        <w:t>课程内容</w:t>
      </w:r>
      <w:r>
        <w:rPr>
          <w:rFonts w:hint="eastAsia"/>
        </w:rPr>
        <w:t>与教学设计</w:t>
      </w:r>
    </w:p>
    <w:p w14:paraId="2F4FFDF5">
      <w:pPr>
        <w:pStyle w:val="18"/>
        <w:spacing w:before="81" w:after="163"/>
        <w:ind w:firstLine="422"/>
        <w:rPr>
          <w:b/>
          <w:bCs w:val="0"/>
        </w:rPr>
      </w:pPr>
      <w:r>
        <w:rPr>
          <w:rFonts w:hint="eastAsia"/>
          <w:b/>
          <w:bCs w:val="0"/>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FE4D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48" w:hRule="atLeast"/>
        </w:trPr>
        <w:tc>
          <w:tcPr>
            <w:tcW w:w="8296" w:type="dxa"/>
          </w:tcPr>
          <w:p w14:paraId="3651F2E0">
            <w:pPr>
              <w:ind w:left="-50" w:right="-50"/>
              <w:jc w:val="both"/>
              <w:rPr>
                <w:rFonts w:cs="Times New Roman"/>
              </w:rPr>
            </w:pPr>
            <w:bookmarkStart w:id="0" w:name="OLE_LINK5"/>
            <w:bookmarkStart w:id="1" w:name="OLE_LINK6"/>
            <w:r>
              <w:rPr>
                <w:rFonts w:hint="eastAsia"/>
              </w:rPr>
              <w:t xml:space="preserve">第一单元 </w:t>
            </w:r>
            <w:r>
              <w:rPr>
                <w:rFonts w:ascii="Times New Roman" w:hAnsi="Times New Roman" w:eastAsia="仿宋_GB2312" w:cs="Times New Roman"/>
                <w:bCs w:val="0"/>
              </w:rPr>
              <w:t>International Business Negotiations-course introduction</w:t>
            </w:r>
          </w:p>
          <w:p w14:paraId="5610119C">
            <w:pPr>
              <w:pStyle w:val="15"/>
              <w:jc w:val="both"/>
            </w:pPr>
            <w:r>
              <w:rPr>
                <w:rFonts w:hint="eastAsia"/>
              </w:rPr>
              <w:t>知识点：</w:t>
            </w:r>
            <w:r>
              <w:rPr>
                <w:rFonts w:hint="eastAsia" w:hAnsi="宋体"/>
                <w:sz w:val="20"/>
                <w:szCs w:val="20"/>
              </w:rPr>
              <w:t>理解本课程的主要要求</w:t>
            </w:r>
            <w:r>
              <w:rPr>
                <w:rFonts w:hint="eastAsia"/>
              </w:rPr>
              <w:t>。</w:t>
            </w:r>
          </w:p>
          <w:p w14:paraId="2016C871">
            <w:pPr>
              <w:pStyle w:val="15"/>
              <w:jc w:val="both"/>
            </w:pPr>
            <w:r>
              <w:rPr>
                <w:rFonts w:hint="eastAsia"/>
              </w:rPr>
              <w:t>能力要求：</w:t>
            </w:r>
            <w:r>
              <w:rPr>
                <w:rFonts w:eastAsia="仿宋_GB2312" w:cs="Times New Roman"/>
                <w:bCs w:val="0"/>
              </w:rPr>
              <w:t>To understand the concept of International Business Negotiations</w:t>
            </w:r>
            <w:r>
              <w:rPr>
                <w:rFonts w:hint="eastAsia"/>
              </w:rPr>
              <w:t>。</w:t>
            </w:r>
          </w:p>
          <w:p w14:paraId="220A3C63">
            <w:pPr>
              <w:ind w:right="-50"/>
              <w:jc w:val="both"/>
              <w:rPr>
                <w:rFonts w:ascii="Times New Roman" w:hAnsi="Times New Roman" w:cs="Times New Roman"/>
              </w:rPr>
            </w:pPr>
            <w:r>
              <w:rPr>
                <w:rFonts w:hint="eastAsia"/>
              </w:rPr>
              <w:t>教学重点：</w:t>
            </w:r>
            <w:r>
              <w:rPr>
                <w:rFonts w:ascii="Times New Roman" w:hAnsi="Times New Roman" w:eastAsia="仿宋_GB2312" w:cs="Times New Roman"/>
                <w:bCs w:val="0"/>
              </w:rPr>
              <w:t>Procedure for Every Session&amp; Course Assessment</w:t>
            </w:r>
            <w:r>
              <w:rPr>
                <w:rFonts w:ascii="Times New Roman" w:hAnsi="Times New Roman" w:cs="Times New Roman"/>
              </w:rPr>
              <w:t>。</w:t>
            </w:r>
          </w:p>
          <w:p w14:paraId="70BEC6CD">
            <w:pPr>
              <w:pStyle w:val="15"/>
              <w:jc w:val="both"/>
              <w:rPr>
                <w:rFonts w:ascii="仿宋" w:hAnsi="仿宋" w:eastAsia="仿宋" w:cs="仿宋"/>
              </w:rPr>
            </w:pPr>
            <w:r>
              <w:rPr>
                <w:rFonts w:hint="eastAsia"/>
              </w:rPr>
              <w:t>教学难点：</w:t>
            </w:r>
            <w:r>
              <w:rPr>
                <w:rFonts w:eastAsia="仿宋_GB2312" w:cs="Times New Roman"/>
                <w:bCs w:val="0"/>
              </w:rPr>
              <w:t>Negotiation Case for Practicing</w:t>
            </w:r>
            <w:r>
              <w:rPr>
                <w:rFonts w:cs="Times New Roman"/>
              </w:rPr>
              <w:t>。</w:t>
            </w:r>
          </w:p>
        </w:tc>
      </w:tr>
      <w:tr w14:paraId="261C42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47F5EE4">
            <w:pPr>
              <w:pStyle w:val="15"/>
              <w:jc w:val="both"/>
              <w:rPr>
                <w:rFonts w:cs="Times New Roman"/>
              </w:rPr>
            </w:pPr>
            <w:r>
              <w:rPr>
                <w:rFonts w:hint="eastAsia" w:ascii="宋体" w:hAnsi="宋体"/>
              </w:rPr>
              <w:t>第二单元</w:t>
            </w:r>
            <w:r>
              <w:t xml:space="preserve"> </w:t>
            </w:r>
            <w:r>
              <w:rPr>
                <w:rFonts w:eastAsia="仿宋_GB2312" w:cs="Times New Roman"/>
                <w:bCs w:val="0"/>
              </w:rPr>
              <w:t>The Nature of Negotiation</w:t>
            </w:r>
          </w:p>
          <w:p w14:paraId="04687AAF">
            <w:pPr>
              <w:pStyle w:val="15"/>
              <w:jc w:val="both"/>
            </w:pPr>
            <w:r>
              <w:rPr>
                <w:rFonts w:hint="eastAsia"/>
              </w:rPr>
              <w:t>知识点：</w:t>
            </w:r>
            <w:r>
              <w:rPr>
                <w:rFonts w:hint="eastAsia" w:hAnsi="宋体"/>
                <w:sz w:val="20"/>
                <w:szCs w:val="20"/>
              </w:rPr>
              <w:t>理解商务洽谈的定义</w:t>
            </w:r>
            <w:r>
              <w:rPr>
                <w:rFonts w:hint="eastAsia"/>
              </w:rPr>
              <w:t>。</w:t>
            </w:r>
          </w:p>
          <w:p w14:paraId="35DE0366">
            <w:pPr>
              <w:pStyle w:val="15"/>
              <w:jc w:val="both"/>
              <w:rPr>
                <w:rFonts w:cs="Times New Roman"/>
              </w:rPr>
            </w:pPr>
            <w:r>
              <w:rPr>
                <w:rFonts w:hint="eastAsia"/>
              </w:rPr>
              <w:t>能力要求：</w:t>
            </w:r>
            <w:r>
              <w:rPr>
                <w:rFonts w:eastAsia="仿宋_GB2312" w:cs="Times New Roman"/>
                <w:bCs w:val="0"/>
              </w:rPr>
              <w:t>To understand the nature of business negotiation</w:t>
            </w:r>
            <w:r>
              <w:rPr>
                <w:rFonts w:cs="Times New Roman"/>
              </w:rPr>
              <w:t>。</w:t>
            </w:r>
          </w:p>
          <w:p w14:paraId="0DC8294F">
            <w:pPr>
              <w:ind w:right="-50"/>
              <w:jc w:val="both"/>
              <w:rPr>
                <w:rFonts w:ascii="Times New Roman" w:hAnsi="Times New Roman" w:cs="Times New Roman"/>
              </w:rPr>
            </w:pPr>
            <w:r>
              <w:rPr>
                <w:rFonts w:hint="eastAsia"/>
              </w:rPr>
              <w:t>教学重点：</w:t>
            </w:r>
            <w:r>
              <w:rPr>
                <w:rFonts w:ascii="Times New Roman" w:hAnsi="Times New Roman" w:eastAsia="仿宋_GB2312" w:cs="Times New Roman"/>
                <w:bCs w:val="0"/>
              </w:rPr>
              <w:t>Characteristics of Negotiation</w:t>
            </w:r>
            <w:r>
              <w:rPr>
                <w:rFonts w:ascii="Times New Roman" w:hAnsi="Times New Roman" w:cs="Times New Roman"/>
              </w:rPr>
              <w:t>。</w:t>
            </w:r>
          </w:p>
          <w:p w14:paraId="50C0B53C">
            <w:pPr>
              <w:pStyle w:val="15"/>
              <w:jc w:val="both"/>
              <w:rPr>
                <w:rFonts w:ascii="仿宋" w:hAnsi="仿宋" w:eastAsia="仿宋" w:cs="仿宋"/>
              </w:rPr>
            </w:pPr>
            <w:r>
              <w:rPr>
                <w:rFonts w:hint="eastAsia"/>
              </w:rPr>
              <w:t>教学难点：</w:t>
            </w:r>
            <w:r>
              <w:rPr>
                <w:rFonts w:eastAsia="仿宋_GB2312" w:cs="Times New Roman"/>
                <w:bCs w:val="0"/>
              </w:rPr>
              <w:t>Negotiation Strategies &amp; Tactics</w:t>
            </w:r>
            <w:r>
              <w:rPr>
                <w:rFonts w:cs="Times New Roman"/>
              </w:rPr>
              <w:t>。</w:t>
            </w:r>
          </w:p>
        </w:tc>
      </w:tr>
      <w:tr w14:paraId="232835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E84B9A1">
            <w:pPr>
              <w:autoSpaceDE w:val="0"/>
              <w:autoSpaceDN w:val="0"/>
              <w:adjustRightInd w:val="0"/>
              <w:snapToGrid w:val="0"/>
              <w:spacing w:before="32" w:beforeLines="10" w:after="32" w:afterLines="10"/>
              <w:jc w:val="left"/>
              <w:rPr>
                <w:rFonts w:ascii="Times New Roman" w:hAnsi="Times New Roman" w:cs="Times New Roman"/>
              </w:rPr>
            </w:pPr>
            <w:r>
              <w:rPr>
                <w:rFonts w:hint="eastAsia"/>
              </w:rPr>
              <w:t xml:space="preserve">第三单元 </w:t>
            </w:r>
            <w:r>
              <w:rPr>
                <w:rFonts w:ascii="Times New Roman" w:hAnsi="Times New Roman" w:cs="Times New Roman"/>
                <w:color w:val="000000"/>
                <w:sz w:val="18"/>
                <w:szCs w:val="18"/>
              </w:rPr>
              <w:t>Strategies and Tactics of Distributive Bargaining</w:t>
            </w:r>
          </w:p>
          <w:p w14:paraId="3BE4E738">
            <w:pPr>
              <w:pStyle w:val="15"/>
              <w:jc w:val="both"/>
            </w:pPr>
            <w:r>
              <w:rPr>
                <w:rFonts w:hint="eastAsia"/>
              </w:rPr>
              <w:t>知识点：</w:t>
            </w:r>
            <w:r>
              <w:rPr>
                <w:rFonts w:hint="eastAsia" w:hAnsi="宋体"/>
                <w:sz w:val="20"/>
                <w:szCs w:val="20"/>
              </w:rPr>
              <w:t>理解对立型谈判的定义</w:t>
            </w:r>
            <w:r>
              <w:rPr>
                <w:rFonts w:hint="eastAsia"/>
              </w:rPr>
              <w:t>。</w:t>
            </w:r>
          </w:p>
          <w:p w14:paraId="31893177">
            <w:pPr>
              <w:pStyle w:val="15"/>
              <w:jc w:val="both"/>
            </w:pPr>
            <w:r>
              <w:rPr>
                <w:rFonts w:hint="eastAsia"/>
              </w:rPr>
              <w:t>能力要求：</w:t>
            </w:r>
            <w:r>
              <w:rPr>
                <w:rFonts w:eastAsia="仿宋_GB2312" w:cs="Times New Roman"/>
                <w:bCs w:val="0"/>
              </w:rPr>
              <w:t>To learn the Strategy &amp; Tactics of Distributive Bargaining</w:t>
            </w:r>
            <w:r>
              <w:rPr>
                <w:rFonts w:cs="Times New Roman"/>
              </w:rPr>
              <w:t>。</w:t>
            </w:r>
          </w:p>
          <w:p w14:paraId="5FB6E45E">
            <w:pPr>
              <w:ind w:right="-50"/>
              <w:jc w:val="both"/>
            </w:pPr>
            <w:r>
              <w:rPr>
                <w:rFonts w:hint="eastAsia"/>
              </w:rPr>
              <w:t>教学重点：</w:t>
            </w:r>
            <w:r>
              <w:rPr>
                <w:rFonts w:ascii="Times New Roman" w:hAnsi="Times New Roman" w:eastAsia="仿宋_GB2312" w:cs="Times New Roman"/>
                <w:bCs w:val="0"/>
              </w:rPr>
              <w:t>Distributive Bargaining Situations; BATNA; The Bargaining Mix</w:t>
            </w:r>
            <w:r>
              <w:rPr>
                <w:rFonts w:ascii="Times New Roman" w:hAnsi="Times New Roman" w:cs="Times New Roman"/>
              </w:rPr>
              <w:t>。</w:t>
            </w:r>
          </w:p>
          <w:p w14:paraId="2ED8F770">
            <w:pPr>
              <w:pStyle w:val="15"/>
              <w:jc w:val="both"/>
            </w:pPr>
            <w:r>
              <w:rPr>
                <w:rFonts w:hint="eastAsia"/>
              </w:rPr>
              <w:t>教学难点：</w:t>
            </w:r>
            <w:r>
              <w:rPr>
                <w:rFonts w:eastAsia="仿宋_GB2312" w:cs="Times New Roman"/>
                <w:bCs w:val="0"/>
              </w:rPr>
              <w:t>Distributive Bargaining Situations</w:t>
            </w:r>
            <w:r>
              <w:rPr>
                <w:rFonts w:cs="Times New Roman"/>
              </w:rPr>
              <w:t>。</w:t>
            </w:r>
          </w:p>
        </w:tc>
      </w:tr>
      <w:tr w14:paraId="098708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BE875D4">
            <w:pPr>
              <w:pStyle w:val="15"/>
              <w:jc w:val="both"/>
              <w:rPr>
                <w:rFonts w:ascii="宋体" w:hAnsi="宋体"/>
              </w:rPr>
            </w:pPr>
            <w:r>
              <w:rPr>
                <w:rFonts w:hint="eastAsia" w:ascii="宋体" w:hAnsi="宋体"/>
              </w:rPr>
              <w:t xml:space="preserve">第四单元 </w:t>
            </w:r>
            <w:r>
              <w:rPr>
                <w:rFonts w:hint="eastAsia"/>
              </w:rPr>
              <w:t>Strategies and T</w:t>
            </w:r>
            <w:r>
              <w:t>a</w:t>
            </w:r>
            <w:r>
              <w:rPr>
                <w:rFonts w:hint="eastAsia"/>
              </w:rPr>
              <w:t>ctics of Integrative Negotiations</w:t>
            </w:r>
          </w:p>
          <w:p w14:paraId="38A7166C">
            <w:pPr>
              <w:pStyle w:val="15"/>
              <w:jc w:val="both"/>
            </w:pPr>
            <w:r>
              <w:rPr>
                <w:rFonts w:hint="eastAsia"/>
              </w:rPr>
              <w:t>知识点：</w:t>
            </w:r>
            <w:r>
              <w:rPr>
                <w:rFonts w:hint="eastAsia" w:hAnsi="宋体"/>
                <w:sz w:val="20"/>
                <w:szCs w:val="20"/>
              </w:rPr>
              <w:t>理解合作型谈判的定义</w:t>
            </w:r>
            <w:r>
              <w:rPr>
                <w:rFonts w:hint="eastAsia"/>
              </w:rPr>
              <w:t>。</w:t>
            </w:r>
          </w:p>
          <w:p w14:paraId="171DA3C0">
            <w:pPr>
              <w:ind w:left="-50" w:right="-50"/>
              <w:jc w:val="both"/>
            </w:pPr>
            <w:r>
              <w:rPr>
                <w:rFonts w:hint="eastAsia"/>
              </w:rPr>
              <w:t>能力要求：</w:t>
            </w:r>
            <w:r>
              <w:rPr>
                <w:rFonts w:ascii="Times New Roman" w:hAnsi="Times New Roman" w:eastAsia="仿宋_GB2312" w:cs="Times New Roman"/>
                <w:bCs w:val="0"/>
              </w:rPr>
              <w:t>To understand concept &amp;strategies of Integrative Negotiation</w:t>
            </w:r>
            <w:r>
              <w:rPr>
                <w:rFonts w:ascii="Times New Roman" w:hAnsi="Times New Roman" w:cs="Times New Roman"/>
              </w:rPr>
              <w:t>。</w:t>
            </w:r>
          </w:p>
          <w:p w14:paraId="76E4F0B8">
            <w:pPr>
              <w:numPr>
                <w:ilvl w:val="0"/>
                <w:numId w:val="1"/>
              </w:num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The Characteristics of Integrative Negotiation</w:t>
            </w:r>
            <w:r>
              <w:rPr>
                <w:rFonts w:ascii="Times New Roman" w:hAnsi="Times New Roman" w:cs="Times New Roman"/>
              </w:rPr>
              <w:t>。</w:t>
            </w:r>
          </w:p>
          <w:p w14:paraId="06A1CE30">
            <w:pPr>
              <w:numPr>
                <w:ilvl w:val="0"/>
                <w:numId w:val="1"/>
              </w:numPr>
              <w:tabs>
                <w:tab w:val="left" w:pos="720"/>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Value Creation in Integrative Negotiation</w:t>
            </w:r>
            <w:r>
              <w:rPr>
                <w:rFonts w:ascii="Times New Roman" w:hAnsi="Times New Roman" w:cs="Times New Roman"/>
              </w:rPr>
              <w:t>。</w:t>
            </w:r>
          </w:p>
        </w:tc>
      </w:tr>
      <w:tr w14:paraId="22E8D2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271CFB7">
            <w:pPr>
              <w:pStyle w:val="15"/>
              <w:jc w:val="both"/>
            </w:pPr>
            <w:r>
              <w:rPr>
                <w:rFonts w:hint="eastAsia" w:ascii="宋体" w:hAnsi="宋体"/>
              </w:rPr>
              <w:t xml:space="preserve">第五单元 </w:t>
            </w:r>
            <w:r>
              <w:rPr>
                <w:rFonts w:hint="eastAsia"/>
              </w:rPr>
              <w:t>Negotiation Preparation and Process</w:t>
            </w:r>
          </w:p>
          <w:p w14:paraId="407AFB36">
            <w:pPr>
              <w:pStyle w:val="15"/>
              <w:jc w:val="both"/>
            </w:pPr>
            <w:r>
              <w:rPr>
                <w:rFonts w:hint="eastAsia"/>
              </w:rPr>
              <w:t>知识点：</w:t>
            </w:r>
            <w:r>
              <w:rPr>
                <w:rFonts w:hint="eastAsia" w:hAnsi="宋体"/>
                <w:sz w:val="20"/>
                <w:szCs w:val="20"/>
              </w:rPr>
              <w:t>理解谈判前准备工作的重要性</w:t>
            </w:r>
            <w:r>
              <w:rPr>
                <w:rFonts w:hint="eastAsia"/>
              </w:rPr>
              <w:t>。</w:t>
            </w:r>
          </w:p>
          <w:p w14:paraId="0445626E">
            <w:pPr>
              <w:pStyle w:val="15"/>
              <w:jc w:val="both"/>
            </w:pPr>
            <w:r>
              <w:rPr>
                <w:rFonts w:hint="eastAsia"/>
              </w:rPr>
              <w:t>能力要求：</w:t>
            </w:r>
            <w:r>
              <w:rPr>
                <w:rFonts w:eastAsia="仿宋_GB2312" w:cs="Times New Roman"/>
                <w:bCs w:val="0"/>
              </w:rPr>
              <w:t>To learn the importance of negotiation preparations</w:t>
            </w:r>
            <w:r>
              <w:rPr>
                <w:rFonts w:cs="Times New Roman"/>
              </w:rPr>
              <w:t>。</w:t>
            </w:r>
          </w:p>
          <w:p w14:paraId="42DA3627">
            <w:pPr>
              <w:numPr>
                <w:ilvl w:val="0"/>
                <w:numId w:val="2"/>
              </w:num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Why Is Negotiation Preparation Needed</w:t>
            </w:r>
            <w:r>
              <w:rPr>
                <w:rFonts w:ascii="Times New Roman" w:hAnsi="Times New Roman" w:cs="Times New Roman"/>
              </w:rPr>
              <w:t>。</w:t>
            </w:r>
          </w:p>
          <w:p w14:paraId="6A7B04EC">
            <w:pPr>
              <w:numPr>
                <w:ilvl w:val="0"/>
                <w:numId w:val="2"/>
              </w:numPr>
              <w:tabs>
                <w:tab w:val="left" w:pos="720"/>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Guidelines: The Planning List</w:t>
            </w:r>
          </w:p>
        </w:tc>
      </w:tr>
      <w:tr w14:paraId="5A8494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06C3090">
            <w:pPr>
              <w:pStyle w:val="15"/>
              <w:jc w:val="both"/>
            </w:pPr>
            <w:r>
              <w:rPr>
                <w:rFonts w:hint="eastAsia" w:ascii="宋体" w:hAnsi="宋体"/>
              </w:rPr>
              <w:t xml:space="preserve">第六单元 </w:t>
            </w:r>
            <w:r>
              <w:rPr>
                <w:rFonts w:hint="eastAsia"/>
              </w:rPr>
              <w:t>Communications in Business Negotiations</w:t>
            </w:r>
          </w:p>
          <w:p w14:paraId="583EE0BC">
            <w:pPr>
              <w:pStyle w:val="15"/>
              <w:jc w:val="both"/>
            </w:pPr>
            <w:r>
              <w:rPr>
                <w:rFonts w:hint="eastAsia"/>
              </w:rPr>
              <w:t>知识点：</w:t>
            </w:r>
            <w:r>
              <w:rPr>
                <w:rFonts w:hint="eastAsia" w:hAnsi="宋体"/>
                <w:sz w:val="20"/>
                <w:szCs w:val="20"/>
              </w:rPr>
              <w:t>理解沟通的主要模式</w:t>
            </w:r>
            <w:r>
              <w:rPr>
                <w:rFonts w:hint="eastAsia"/>
              </w:rPr>
              <w:t>。</w:t>
            </w:r>
          </w:p>
          <w:p w14:paraId="587C162B">
            <w:pPr>
              <w:pStyle w:val="15"/>
              <w:jc w:val="both"/>
            </w:pPr>
            <w:r>
              <w:rPr>
                <w:rFonts w:hint="eastAsia"/>
              </w:rPr>
              <w:t>能力要求：</w:t>
            </w:r>
            <w:r>
              <w:rPr>
                <w:rFonts w:eastAsia="仿宋_GB2312" w:cs="Times New Roman"/>
                <w:bCs w:val="0"/>
              </w:rPr>
              <w:t>To learn the importance and methods of communication</w:t>
            </w:r>
            <w:r>
              <w:rPr>
                <w:rFonts w:cs="Times New Roman"/>
              </w:rPr>
              <w:t>。</w:t>
            </w:r>
          </w:p>
          <w:p w14:paraId="32354563">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bCs w:val="0"/>
              </w:rPr>
              <w:t xml:space="preserve"> Basic Models of Communication</w:t>
            </w:r>
            <w:r>
              <w:rPr>
                <w:rFonts w:ascii="Times New Roman" w:hAnsi="Times New Roman" w:cs="Times New Roman"/>
              </w:rPr>
              <w:t>。</w:t>
            </w:r>
          </w:p>
          <w:p w14:paraId="7233DDEC">
            <w:pPr>
              <w:numPr>
                <w:ilvl w:val="0"/>
                <w:numId w:val="3"/>
              </w:numPr>
              <w:tabs>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How to Improve Communication in Negotiation。</w:t>
            </w:r>
          </w:p>
        </w:tc>
      </w:tr>
      <w:tr w14:paraId="4727B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1DE9D5B">
            <w:pPr>
              <w:pStyle w:val="15"/>
              <w:jc w:val="both"/>
            </w:pPr>
            <w:r>
              <w:rPr>
                <w:rFonts w:hint="eastAsia" w:ascii="宋体" w:hAnsi="宋体"/>
              </w:rPr>
              <w:t xml:space="preserve">第七单元 </w:t>
            </w:r>
            <w:r>
              <w:t xml:space="preserve"> </w:t>
            </w:r>
            <w:r>
              <w:rPr>
                <w:rFonts w:hint="eastAsia"/>
              </w:rPr>
              <w:t>Finding and Using Negotiation Power</w:t>
            </w:r>
          </w:p>
          <w:p w14:paraId="4ABE519A">
            <w:pPr>
              <w:pStyle w:val="15"/>
              <w:jc w:val="both"/>
            </w:pPr>
            <w:r>
              <w:rPr>
                <w:rFonts w:hint="eastAsia"/>
              </w:rPr>
              <w:t>知识点：</w:t>
            </w:r>
            <w:r>
              <w:rPr>
                <w:rFonts w:hint="eastAsia" w:hAnsi="宋体"/>
                <w:sz w:val="20"/>
                <w:szCs w:val="20"/>
              </w:rPr>
              <w:t>理解谈判力的定义</w:t>
            </w:r>
            <w:r>
              <w:rPr>
                <w:rFonts w:hint="eastAsia"/>
              </w:rPr>
              <w:t>。</w:t>
            </w:r>
          </w:p>
          <w:p w14:paraId="25E3BA56">
            <w:pPr>
              <w:pStyle w:val="15"/>
              <w:jc w:val="both"/>
              <w:rPr>
                <w:rFonts w:cs="Times New Roman"/>
              </w:rPr>
            </w:pPr>
            <w:r>
              <w:rPr>
                <w:rFonts w:hint="eastAsia"/>
              </w:rPr>
              <w:t>能力要求：</w:t>
            </w:r>
            <w:r>
              <w:rPr>
                <w:rFonts w:eastAsia="仿宋_GB2312" w:cs="Times New Roman"/>
                <w:bCs w:val="0"/>
              </w:rPr>
              <w:t>To understand the concept of negotiation power and all the sources for negotiation power</w:t>
            </w:r>
            <w:r>
              <w:rPr>
                <w:rFonts w:cs="Times New Roman"/>
              </w:rPr>
              <w:t>。</w:t>
            </w:r>
          </w:p>
          <w:p w14:paraId="310EFDC8">
            <w:pPr>
              <w:pStyle w:val="15"/>
              <w:jc w:val="both"/>
            </w:pPr>
            <w:r>
              <w:rPr>
                <w:rFonts w:hint="eastAsia"/>
              </w:rPr>
              <w:t>教学重点：</w:t>
            </w:r>
            <w:r>
              <w:rPr>
                <w:rFonts w:eastAsia="仿宋_GB2312" w:cs="Times New Roman"/>
                <w:bCs w:val="0"/>
              </w:rPr>
              <w:t>What Are Negotiation Power &amp; Influence</w:t>
            </w:r>
            <w:r>
              <w:rPr>
                <w:rFonts w:cs="Times New Roman"/>
              </w:rPr>
              <w:t>。</w:t>
            </w:r>
          </w:p>
          <w:p w14:paraId="6E26CA44">
            <w:pPr>
              <w:pStyle w:val="15"/>
              <w:jc w:val="both"/>
            </w:pPr>
            <w:r>
              <w:rPr>
                <w:rFonts w:hint="eastAsia"/>
              </w:rPr>
              <w:t>教学难点：</w:t>
            </w:r>
            <w:r>
              <w:rPr>
                <w:rFonts w:eastAsia="仿宋_GB2312" w:cs="Times New Roman"/>
                <w:bCs w:val="0"/>
              </w:rPr>
              <w:t>How Do People Acquire Negotiation Power</w:t>
            </w:r>
            <w:r>
              <w:rPr>
                <w:rFonts w:cs="Times New Roman"/>
              </w:rPr>
              <w:t>。</w:t>
            </w:r>
          </w:p>
        </w:tc>
      </w:tr>
      <w:tr w14:paraId="0163A6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B0976A2">
            <w:pPr>
              <w:pStyle w:val="15"/>
              <w:jc w:val="both"/>
            </w:pPr>
            <w:r>
              <w:rPr>
                <w:rFonts w:hint="eastAsia" w:ascii="宋体" w:hAnsi="宋体"/>
              </w:rPr>
              <w:t xml:space="preserve">第八单元  </w:t>
            </w:r>
            <w:r>
              <w:t>T</w:t>
            </w:r>
            <w:r>
              <w:rPr>
                <w:rFonts w:hint="eastAsia"/>
              </w:rPr>
              <w:t>wo Negotiation Principles: Trust and Profit Distributions</w:t>
            </w:r>
          </w:p>
          <w:p w14:paraId="6DEB4A06">
            <w:pPr>
              <w:pStyle w:val="15"/>
              <w:jc w:val="both"/>
            </w:pPr>
            <w:r>
              <w:rPr>
                <w:rFonts w:hint="eastAsia"/>
              </w:rPr>
              <w:t>知识点：</w:t>
            </w:r>
            <w:r>
              <w:rPr>
                <w:rFonts w:hint="eastAsia" w:hAnsi="宋体"/>
                <w:sz w:val="20"/>
                <w:szCs w:val="20"/>
              </w:rPr>
              <w:t>理解信任的定义和标准</w:t>
            </w:r>
            <w:r>
              <w:rPr>
                <w:rFonts w:hint="eastAsia"/>
              </w:rPr>
              <w:t>。</w:t>
            </w:r>
          </w:p>
          <w:p w14:paraId="7211BF5D">
            <w:pPr>
              <w:pStyle w:val="15"/>
              <w:jc w:val="both"/>
              <w:rPr>
                <w:rFonts w:cs="Times New Roman"/>
              </w:rPr>
            </w:pPr>
            <w:r>
              <w:rPr>
                <w:rFonts w:hint="eastAsia"/>
              </w:rPr>
              <w:t>能力要求：</w:t>
            </w:r>
            <w:r>
              <w:rPr>
                <w:rFonts w:eastAsia="仿宋_GB2312" w:cs="Times New Roman"/>
                <w:bCs w:val="0"/>
              </w:rPr>
              <w:t>To learn the two negotiations principles: trust &amp; profit distribution</w:t>
            </w:r>
            <w:r>
              <w:rPr>
                <w:rFonts w:cs="Times New Roman"/>
              </w:rPr>
              <w:t>。</w:t>
            </w:r>
          </w:p>
          <w:p w14:paraId="7D1B592B">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Factors Affecting Trust</w:t>
            </w:r>
            <w:r>
              <w:rPr>
                <w:rFonts w:ascii="Times New Roman" w:hAnsi="Times New Roman" w:cs="Times New Roman"/>
              </w:rPr>
              <w:t>。</w:t>
            </w:r>
          </w:p>
          <w:p w14:paraId="30D7B1FE">
            <w:pPr>
              <w:pStyle w:val="15"/>
              <w:jc w:val="both"/>
            </w:pPr>
            <w:r>
              <w:rPr>
                <w:rFonts w:hint="eastAsia"/>
              </w:rPr>
              <w:t>教学难点：</w:t>
            </w:r>
            <w:r>
              <w:rPr>
                <w:rFonts w:eastAsia="仿宋_GB2312" w:cs="Times New Roman"/>
                <w:bCs w:val="0"/>
              </w:rPr>
              <w:t>Profit Distribution</w:t>
            </w:r>
            <w:r>
              <w:rPr>
                <w:rFonts w:cs="Times New Roman"/>
              </w:rPr>
              <w:t>。</w:t>
            </w:r>
          </w:p>
        </w:tc>
      </w:tr>
      <w:tr w14:paraId="3DBF26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A9D5A89">
            <w:pPr>
              <w:pStyle w:val="15"/>
              <w:jc w:val="both"/>
            </w:pPr>
            <w:r>
              <w:rPr>
                <w:rFonts w:hint="eastAsia" w:ascii="宋体" w:hAnsi="宋体"/>
              </w:rPr>
              <w:t xml:space="preserve">第九单元  </w:t>
            </w:r>
            <w:r>
              <w:rPr>
                <w:rFonts w:hint="eastAsia"/>
              </w:rPr>
              <w:t>Ethics in Business Negotiations</w:t>
            </w:r>
          </w:p>
          <w:p w14:paraId="6DD282B3">
            <w:pPr>
              <w:pStyle w:val="15"/>
              <w:jc w:val="both"/>
            </w:pPr>
            <w:r>
              <w:rPr>
                <w:rFonts w:hint="eastAsia"/>
              </w:rPr>
              <w:t>知识点：</w:t>
            </w:r>
            <w:r>
              <w:rPr>
                <w:rFonts w:hint="eastAsia" w:hAnsi="宋体"/>
                <w:sz w:val="20"/>
                <w:szCs w:val="20"/>
              </w:rPr>
              <w:t>理解道德的定义</w:t>
            </w:r>
            <w:r>
              <w:rPr>
                <w:rFonts w:hint="eastAsia"/>
              </w:rPr>
              <w:t>。</w:t>
            </w:r>
          </w:p>
          <w:p w14:paraId="2D5E16E5">
            <w:pPr>
              <w:pStyle w:val="15"/>
              <w:jc w:val="both"/>
              <w:rPr>
                <w:rFonts w:cs="Times New Roman"/>
              </w:rPr>
            </w:pPr>
            <w:r>
              <w:rPr>
                <w:rFonts w:hint="eastAsia"/>
              </w:rPr>
              <w:t>能力要求：</w:t>
            </w:r>
            <w:r>
              <w:rPr>
                <w:rFonts w:eastAsia="仿宋_GB2312" w:cs="Times New Roman"/>
                <w:bCs w:val="0"/>
              </w:rPr>
              <w:t>To understand the concept of ethics and its influence on business negotiations</w:t>
            </w:r>
            <w:r>
              <w:rPr>
                <w:rFonts w:cs="Times New Roman"/>
              </w:rPr>
              <w:t>。</w:t>
            </w:r>
          </w:p>
          <w:p w14:paraId="7CD662DB">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What Is Ethics</w:t>
            </w:r>
            <w:r>
              <w:rPr>
                <w:rFonts w:ascii="Times New Roman" w:hAnsi="Times New Roman" w:cs="Times New Roman"/>
              </w:rPr>
              <w:t>。</w:t>
            </w:r>
          </w:p>
          <w:p w14:paraId="05E45EF8">
            <w:pPr>
              <w:numPr>
                <w:ilvl w:val="0"/>
                <w:numId w:val="4"/>
              </w:numPr>
              <w:tabs>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Criteria for Ethical Behaviors</w:t>
            </w:r>
            <w:r>
              <w:rPr>
                <w:rFonts w:ascii="Times New Roman" w:hAnsi="Times New Roman" w:cs="Times New Roman"/>
              </w:rPr>
              <w:t>。</w:t>
            </w:r>
          </w:p>
        </w:tc>
      </w:tr>
      <w:tr w14:paraId="3DD1C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62FB5F4">
            <w:pPr>
              <w:pStyle w:val="15"/>
              <w:jc w:val="both"/>
            </w:pPr>
            <w:r>
              <w:rPr>
                <w:rFonts w:hint="eastAsia" w:ascii="宋体" w:hAnsi="宋体"/>
              </w:rPr>
              <w:t xml:space="preserve">第十单元 </w:t>
            </w:r>
            <w:r>
              <w:t xml:space="preserve"> </w:t>
            </w:r>
            <w:r>
              <w:rPr>
                <w:rFonts w:hint="eastAsia"/>
              </w:rPr>
              <w:t>Cross-cultural Business Negotiations</w:t>
            </w:r>
          </w:p>
          <w:p w14:paraId="703B72B2">
            <w:pPr>
              <w:pStyle w:val="15"/>
              <w:jc w:val="both"/>
            </w:pPr>
            <w:r>
              <w:rPr>
                <w:rFonts w:hint="eastAsia"/>
              </w:rPr>
              <w:t>知识点：</w:t>
            </w:r>
            <w:r>
              <w:rPr>
                <w:rFonts w:hint="eastAsia" w:hAnsi="宋体"/>
                <w:sz w:val="20"/>
                <w:szCs w:val="20"/>
              </w:rPr>
              <w:t>理解文化的定义</w:t>
            </w:r>
            <w:r>
              <w:rPr>
                <w:rFonts w:hint="eastAsia"/>
              </w:rPr>
              <w:t>。</w:t>
            </w:r>
          </w:p>
          <w:p w14:paraId="55AF4173">
            <w:pPr>
              <w:pStyle w:val="15"/>
              <w:jc w:val="both"/>
            </w:pPr>
            <w:r>
              <w:rPr>
                <w:rFonts w:hint="eastAsia"/>
              </w:rPr>
              <w:t>能力要求：</w:t>
            </w:r>
            <w:r>
              <w:rPr>
                <w:rFonts w:eastAsia="仿宋_GB2312" w:cs="Times New Roman"/>
                <w:bCs w:val="0"/>
              </w:rPr>
              <w:t>To learn the concept of culture and its influence on international business negotiations</w:t>
            </w:r>
            <w:r>
              <w:rPr>
                <w:rFonts w:cs="Times New Roman"/>
              </w:rPr>
              <w:t>。</w:t>
            </w:r>
          </w:p>
          <w:p w14:paraId="0A4FA9EE">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Cultural Factors Affecting Business Negotiation</w:t>
            </w:r>
            <w:r>
              <w:rPr>
                <w:rFonts w:ascii="Times New Roman" w:hAnsi="Times New Roman" w:cs="Times New Roman"/>
              </w:rPr>
              <w:t>。</w:t>
            </w:r>
          </w:p>
          <w:p w14:paraId="4B37DF21">
            <w:pPr>
              <w:pStyle w:val="15"/>
              <w:jc w:val="both"/>
            </w:pPr>
            <w:r>
              <w:rPr>
                <w:rFonts w:hint="eastAsia"/>
              </w:rPr>
              <w:t>教学难点：</w:t>
            </w:r>
            <w:r>
              <w:rPr>
                <w:rFonts w:eastAsia="仿宋_GB2312" w:cs="Times New Roman"/>
                <w:bCs w:val="0"/>
              </w:rPr>
              <w:t>How to Manage Cultural Differences</w:t>
            </w:r>
            <w:r>
              <w:rPr>
                <w:rFonts w:cs="Times New Roman"/>
              </w:rPr>
              <w:t>。</w:t>
            </w:r>
          </w:p>
        </w:tc>
      </w:tr>
      <w:tr w14:paraId="3A9CE3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CA37D0F">
            <w:pPr>
              <w:pStyle w:val="15"/>
              <w:jc w:val="both"/>
            </w:pPr>
            <w:r>
              <w:rPr>
                <w:rFonts w:hint="eastAsia" w:ascii="宋体" w:hAnsi="宋体"/>
              </w:rPr>
              <w:t xml:space="preserve">第十一单元  </w:t>
            </w:r>
            <w:r>
              <w:rPr>
                <w:rFonts w:hint="eastAsia"/>
              </w:rPr>
              <w:t>Managing Negotiation Impasses</w:t>
            </w:r>
          </w:p>
          <w:p w14:paraId="04F7C6B5">
            <w:pPr>
              <w:pStyle w:val="15"/>
              <w:jc w:val="both"/>
            </w:pPr>
            <w:r>
              <w:rPr>
                <w:rFonts w:hint="eastAsia"/>
              </w:rPr>
              <w:t>知识点：</w:t>
            </w:r>
            <w:r>
              <w:rPr>
                <w:rFonts w:hint="eastAsia"/>
                <w:sz w:val="20"/>
                <w:szCs w:val="20"/>
              </w:rPr>
              <w:t>理解商务谈判中僵局的定义</w:t>
            </w:r>
            <w:r>
              <w:rPr>
                <w:rFonts w:hint="eastAsia"/>
              </w:rPr>
              <w:t>。</w:t>
            </w:r>
          </w:p>
          <w:p w14:paraId="7DDB020A">
            <w:pPr>
              <w:pStyle w:val="15"/>
              <w:jc w:val="both"/>
              <w:rPr>
                <w:rFonts w:cs="Times New Roman"/>
              </w:rPr>
            </w:pPr>
            <w:r>
              <w:rPr>
                <w:rFonts w:hint="eastAsia"/>
              </w:rPr>
              <w:t>能力要求：</w:t>
            </w:r>
            <w:r>
              <w:rPr>
                <w:rFonts w:eastAsia="仿宋_GB2312" w:cs="Times New Roman"/>
                <w:bCs w:val="0"/>
              </w:rPr>
              <w:t>To learn the Strategy &amp; Tactics of dealing with negotiation impasses</w:t>
            </w:r>
            <w:r>
              <w:rPr>
                <w:rFonts w:cs="Times New Roman"/>
              </w:rPr>
              <w:t>。</w:t>
            </w:r>
          </w:p>
          <w:p w14:paraId="78C58E9D">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Common Causes of Impasses</w:t>
            </w:r>
            <w:r>
              <w:rPr>
                <w:rFonts w:ascii="Times New Roman" w:hAnsi="Times New Roman" w:cs="Times New Roman"/>
              </w:rPr>
              <w:t>。</w:t>
            </w:r>
          </w:p>
          <w:p w14:paraId="13F3E593">
            <w:pPr>
              <w:tabs>
                <w:tab w:val="clear" w:pos="4200"/>
              </w:tabs>
              <w:spacing w:line="240" w:lineRule="auto"/>
              <w:ind w:right="-50" w:firstLineChars="0"/>
              <w:jc w:val="both"/>
              <w:rPr>
                <w:rFonts w:hint="eastAsia" w:eastAsia="仿宋_GB2312"/>
                <w:lang w:eastAsia="zh-CN"/>
              </w:rPr>
            </w:pPr>
            <w:r>
              <w:rPr>
                <w:rFonts w:hint="eastAsia"/>
              </w:rPr>
              <w:t>教学难点：</w:t>
            </w:r>
            <w:r>
              <w:rPr>
                <w:rFonts w:ascii="Times New Roman" w:hAnsi="Times New Roman" w:eastAsia="仿宋_GB2312" w:cs="Times New Roman"/>
                <w:bCs w:val="0"/>
              </w:rPr>
              <w:t>How to Resolve Negotiation Impasses</w:t>
            </w:r>
            <w:r>
              <w:rPr>
                <w:rFonts w:hint="eastAsia" w:ascii="Times New Roman" w:hAnsi="Times New Roman" w:eastAsia="仿宋_GB2312" w:cs="Times New Roman"/>
                <w:bCs w:val="0"/>
                <w:lang w:eastAsia="zh-CN"/>
              </w:rPr>
              <w:t>。</w:t>
            </w:r>
          </w:p>
        </w:tc>
      </w:tr>
      <w:tr w14:paraId="489BAA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B72DD27">
            <w:pPr>
              <w:pStyle w:val="15"/>
              <w:jc w:val="both"/>
              <w:rPr>
                <w:rFonts w:hint="default"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 xml:space="preserve">单元  </w:t>
            </w:r>
            <w:r>
              <w:rPr>
                <w:rFonts w:hint="eastAsia" w:ascii="宋体" w:hAnsi="宋体"/>
                <w:lang w:val="en-US" w:eastAsia="zh-CN"/>
              </w:rPr>
              <w:t>Quiz</w:t>
            </w:r>
          </w:p>
          <w:p w14:paraId="5123D6A7">
            <w:pPr>
              <w:pStyle w:val="15"/>
              <w:jc w:val="both"/>
            </w:pPr>
            <w:r>
              <w:rPr>
                <w:rFonts w:hint="eastAsia"/>
              </w:rPr>
              <w:t>知识点：</w:t>
            </w:r>
            <w:r>
              <w:rPr>
                <w:rFonts w:hint="eastAsia"/>
                <w:lang w:eastAsia="zh-CN"/>
              </w:rPr>
              <w:t>随堂测试</w:t>
            </w:r>
            <w:r>
              <w:rPr>
                <w:rFonts w:hint="eastAsia"/>
              </w:rPr>
              <w:t>。</w:t>
            </w:r>
          </w:p>
          <w:p w14:paraId="4C48A1F6">
            <w:pPr>
              <w:tabs>
                <w:tab w:val="clear" w:pos="4200"/>
              </w:tabs>
              <w:spacing w:line="240" w:lineRule="auto"/>
              <w:ind w:right="-50" w:firstLineChars="0"/>
              <w:jc w:val="both"/>
              <w:rPr>
                <w:rFonts w:hint="eastAsia"/>
              </w:rPr>
            </w:pPr>
            <w:r>
              <w:rPr>
                <w:rFonts w:hint="eastAsia" w:ascii="Times New Roman" w:hAnsi="Times New Roman" w:eastAsia="仿宋_GB2312" w:cs="Times New Roman"/>
                <w:bCs w:val="0"/>
                <w:lang w:eastAsia="zh-CN"/>
              </w:rPr>
              <w:t>。</w:t>
            </w:r>
          </w:p>
        </w:tc>
      </w:tr>
      <w:bookmarkEnd w:id="0"/>
      <w:bookmarkEnd w:id="1"/>
    </w:tbl>
    <w:p w14:paraId="28966F09">
      <w:pPr>
        <w:pStyle w:val="18"/>
        <w:numPr>
          <w:ilvl w:val="0"/>
          <w:numId w:val="5"/>
        </w:numPr>
        <w:spacing w:before="81" w:after="163"/>
        <w:ind w:firstLine="422"/>
        <w:rPr>
          <w:b/>
          <w:bCs w:val="0"/>
        </w:rPr>
      </w:pPr>
      <w:r>
        <w:rPr>
          <w:rFonts w:hint="eastAsia"/>
          <w:b/>
          <w:bCs w:val="0"/>
        </w:rPr>
        <w:t>教学单元对课程目标的支撑关系</w:t>
      </w:r>
    </w:p>
    <w:tbl>
      <w:tblPr>
        <w:tblStyle w:val="8"/>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59"/>
        <w:gridCol w:w="1169"/>
        <w:gridCol w:w="1161"/>
        <w:gridCol w:w="1180"/>
        <w:gridCol w:w="1120"/>
        <w:gridCol w:w="1000"/>
        <w:gridCol w:w="1143"/>
      </w:tblGrid>
      <w:tr w14:paraId="7F9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1759" w:type="dxa"/>
            <w:tcBorders>
              <w:top w:val="single" w:color="auto" w:sz="12" w:space="0"/>
              <w:left w:val="single" w:color="auto" w:sz="12" w:space="0"/>
              <w:tl2br w:val="single" w:color="auto" w:sz="4" w:space="0"/>
            </w:tcBorders>
          </w:tcPr>
          <w:p w14:paraId="6178ECBC">
            <w:pPr>
              <w:pStyle w:val="14"/>
              <w:jc w:val="right"/>
              <w:rPr>
                <w:szCs w:val="16"/>
              </w:rPr>
            </w:pPr>
            <w:r>
              <w:rPr>
                <w:rFonts w:hint="eastAsia"/>
                <w:szCs w:val="16"/>
              </w:rPr>
              <w:t>课程目标</w:t>
            </w:r>
          </w:p>
          <w:p w14:paraId="6458497E">
            <w:pPr>
              <w:pStyle w:val="14"/>
              <w:ind w:right="210"/>
              <w:rPr>
                <w:szCs w:val="16"/>
              </w:rPr>
            </w:pPr>
          </w:p>
          <w:p w14:paraId="680936AE">
            <w:pPr>
              <w:pStyle w:val="14"/>
              <w:ind w:right="210" w:firstLine="0" w:firstLineChars="0"/>
            </w:pPr>
            <w:r>
              <w:rPr>
                <w:rFonts w:hint="eastAsia"/>
                <w:szCs w:val="16"/>
              </w:rPr>
              <w:t>教学单元</w:t>
            </w:r>
          </w:p>
        </w:tc>
        <w:tc>
          <w:tcPr>
            <w:tcW w:w="1169" w:type="dxa"/>
            <w:tcBorders>
              <w:top w:val="single" w:color="auto" w:sz="12" w:space="0"/>
            </w:tcBorders>
            <w:vAlign w:val="center"/>
          </w:tcPr>
          <w:p w14:paraId="14346860">
            <w:pPr>
              <w:pStyle w:val="14"/>
            </w:pPr>
            <w:r>
              <w:rPr>
                <w:szCs w:val="16"/>
              </w:rPr>
              <w:t>1</w:t>
            </w:r>
          </w:p>
        </w:tc>
        <w:tc>
          <w:tcPr>
            <w:tcW w:w="1161" w:type="dxa"/>
            <w:tcBorders>
              <w:top w:val="single" w:color="auto" w:sz="12" w:space="0"/>
            </w:tcBorders>
            <w:vAlign w:val="center"/>
          </w:tcPr>
          <w:p w14:paraId="5915F250">
            <w:pPr>
              <w:pStyle w:val="14"/>
            </w:pPr>
            <w:r>
              <w:rPr>
                <w:szCs w:val="16"/>
              </w:rPr>
              <w:t>2</w:t>
            </w:r>
          </w:p>
        </w:tc>
        <w:tc>
          <w:tcPr>
            <w:tcW w:w="1180" w:type="dxa"/>
            <w:tcBorders>
              <w:top w:val="single" w:color="auto" w:sz="12" w:space="0"/>
            </w:tcBorders>
            <w:vAlign w:val="center"/>
          </w:tcPr>
          <w:p w14:paraId="71C08254">
            <w:pPr>
              <w:pStyle w:val="14"/>
            </w:pPr>
            <w:r>
              <w:rPr>
                <w:szCs w:val="16"/>
              </w:rPr>
              <w:t>3</w:t>
            </w:r>
          </w:p>
        </w:tc>
        <w:tc>
          <w:tcPr>
            <w:tcW w:w="1120" w:type="dxa"/>
            <w:tcBorders>
              <w:top w:val="single" w:color="auto" w:sz="12" w:space="0"/>
            </w:tcBorders>
            <w:vAlign w:val="center"/>
          </w:tcPr>
          <w:p w14:paraId="13183AE5">
            <w:pPr>
              <w:pStyle w:val="14"/>
            </w:pPr>
            <w:r>
              <w:rPr>
                <w:rFonts w:hint="eastAsia"/>
                <w:szCs w:val="16"/>
              </w:rPr>
              <w:t>4</w:t>
            </w:r>
          </w:p>
        </w:tc>
        <w:tc>
          <w:tcPr>
            <w:tcW w:w="1000" w:type="dxa"/>
            <w:tcBorders>
              <w:top w:val="single" w:color="auto" w:sz="12" w:space="0"/>
            </w:tcBorders>
            <w:vAlign w:val="center"/>
          </w:tcPr>
          <w:p w14:paraId="19B0A101">
            <w:pPr>
              <w:pStyle w:val="14"/>
            </w:pPr>
            <w:r>
              <w:rPr>
                <w:rFonts w:hint="eastAsia"/>
                <w:szCs w:val="16"/>
              </w:rPr>
              <w:t>5</w:t>
            </w:r>
          </w:p>
        </w:tc>
        <w:tc>
          <w:tcPr>
            <w:tcW w:w="1143" w:type="dxa"/>
            <w:tcBorders>
              <w:top w:val="single" w:color="auto" w:sz="12" w:space="0"/>
              <w:right w:val="single" w:color="auto" w:sz="12" w:space="0"/>
            </w:tcBorders>
            <w:vAlign w:val="center"/>
          </w:tcPr>
          <w:p w14:paraId="2D17BF0E">
            <w:pPr>
              <w:pStyle w:val="14"/>
            </w:pPr>
            <w:r>
              <w:rPr>
                <w:rFonts w:hint="eastAsia"/>
                <w:szCs w:val="16"/>
              </w:rPr>
              <w:t>6</w:t>
            </w:r>
          </w:p>
        </w:tc>
      </w:tr>
      <w:tr w14:paraId="3C3B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3D8FBB7E">
            <w:pPr>
              <w:pStyle w:val="15"/>
              <w:ind w:firstLine="0" w:firstLineChars="0"/>
            </w:pPr>
            <w:r>
              <w:rPr>
                <w:rFonts w:hint="eastAsia"/>
              </w:rPr>
              <w:t xml:space="preserve">第一单元 </w:t>
            </w:r>
            <w:r>
              <w:rPr>
                <w:rFonts w:eastAsia="仿宋_GB2312" w:cs="Times New Roman"/>
                <w:bCs w:val="0"/>
              </w:rPr>
              <w:t>International Business Negotiations-course introduction</w:t>
            </w:r>
          </w:p>
        </w:tc>
        <w:tc>
          <w:tcPr>
            <w:tcW w:w="1169" w:type="dxa"/>
            <w:vAlign w:val="center"/>
          </w:tcPr>
          <w:p w14:paraId="22A015FF">
            <w:pPr>
              <w:pStyle w:val="15"/>
            </w:pPr>
            <w:r>
              <w:t>√</w:t>
            </w:r>
          </w:p>
        </w:tc>
        <w:tc>
          <w:tcPr>
            <w:tcW w:w="1161" w:type="dxa"/>
            <w:vAlign w:val="center"/>
          </w:tcPr>
          <w:p w14:paraId="2F1DB0AC">
            <w:pPr>
              <w:pStyle w:val="15"/>
            </w:pPr>
            <w:r>
              <w:t>√</w:t>
            </w:r>
          </w:p>
        </w:tc>
        <w:tc>
          <w:tcPr>
            <w:tcW w:w="1180" w:type="dxa"/>
            <w:vAlign w:val="center"/>
          </w:tcPr>
          <w:p w14:paraId="33A0532F">
            <w:pPr>
              <w:pStyle w:val="15"/>
            </w:pPr>
            <w:r>
              <w:t>√</w:t>
            </w:r>
          </w:p>
        </w:tc>
        <w:tc>
          <w:tcPr>
            <w:tcW w:w="1120" w:type="dxa"/>
          </w:tcPr>
          <w:p w14:paraId="22CBD409">
            <w:pPr>
              <w:pStyle w:val="15"/>
            </w:pPr>
          </w:p>
          <w:p w14:paraId="5DC3B359">
            <w:pPr>
              <w:pStyle w:val="15"/>
            </w:pPr>
          </w:p>
          <w:p w14:paraId="72E85F53">
            <w:pPr>
              <w:pStyle w:val="15"/>
            </w:pPr>
            <w:r>
              <w:t>√</w:t>
            </w:r>
          </w:p>
        </w:tc>
        <w:tc>
          <w:tcPr>
            <w:tcW w:w="1000" w:type="dxa"/>
          </w:tcPr>
          <w:p w14:paraId="138CF233">
            <w:pPr>
              <w:pStyle w:val="15"/>
            </w:pPr>
          </w:p>
          <w:p w14:paraId="2369A0DF">
            <w:pPr>
              <w:pStyle w:val="15"/>
            </w:pPr>
          </w:p>
          <w:p w14:paraId="69A3AC47">
            <w:pPr>
              <w:pStyle w:val="15"/>
            </w:pPr>
            <w:r>
              <w:t>√</w:t>
            </w:r>
          </w:p>
        </w:tc>
        <w:tc>
          <w:tcPr>
            <w:tcW w:w="1143" w:type="dxa"/>
            <w:tcBorders>
              <w:right w:val="single" w:color="auto" w:sz="12" w:space="0"/>
            </w:tcBorders>
            <w:vAlign w:val="center"/>
          </w:tcPr>
          <w:p w14:paraId="3E892722">
            <w:pPr>
              <w:pStyle w:val="15"/>
            </w:pPr>
            <w:r>
              <w:t>√</w:t>
            </w:r>
          </w:p>
        </w:tc>
      </w:tr>
      <w:tr w14:paraId="66F4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9F69086">
            <w:pPr>
              <w:pStyle w:val="15"/>
              <w:ind w:firstLine="0" w:firstLineChars="0"/>
            </w:pPr>
            <w:r>
              <w:rPr>
                <w:rFonts w:hint="eastAsia" w:ascii="宋体" w:hAnsi="宋体"/>
              </w:rPr>
              <w:t>第二单元</w:t>
            </w:r>
            <w:r>
              <w:t xml:space="preserve"> </w:t>
            </w:r>
            <w:r>
              <w:rPr>
                <w:rFonts w:eastAsia="仿宋_GB2312" w:cs="Times New Roman"/>
                <w:bCs w:val="0"/>
              </w:rPr>
              <w:t>The Nature of Negotiation</w:t>
            </w:r>
          </w:p>
        </w:tc>
        <w:tc>
          <w:tcPr>
            <w:tcW w:w="1169" w:type="dxa"/>
            <w:vAlign w:val="center"/>
          </w:tcPr>
          <w:p w14:paraId="7482C85E">
            <w:pPr>
              <w:pStyle w:val="15"/>
            </w:pPr>
            <w:r>
              <w:t>√</w:t>
            </w:r>
          </w:p>
        </w:tc>
        <w:tc>
          <w:tcPr>
            <w:tcW w:w="1161" w:type="dxa"/>
            <w:vAlign w:val="center"/>
          </w:tcPr>
          <w:p w14:paraId="0001ACB3">
            <w:pPr>
              <w:pStyle w:val="15"/>
            </w:pPr>
            <w:r>
              <w:t>√</w:t>
            </w:r>
          </w:p>
        </w:tc>
        <w:tc>
          <w:tcPr>
            <w:tcW w:w="1180" w:type="dxa"/>
            <w:vAlign w:val="center"/>
          </w:tcPr>
          <w:p w14:paraId="30A45480">
            <w:pPr>
              <w:pStyle w:val="15"/>
            </w:pPr>
            <w:r>
              <w:t>√</w:t>
            </w:r>
          </w:p>
        </w:tc>
        <w:tc>
          <w:tcPr>
            <w:tcW w:w="1120" w:type="dxa"/>
          </w:tcPr>
          <w:p w14:paraId="2301F765">
            <w:pPr>
              <w:pStyle w:val="15"/>
            </w:pPr>
          </w:p>
        </w:tc>
        <w:tc>
          <w:tcPr>
            <w:tcW w:w="1000" w:type="dxa"/>
          </w:tcPr>
          <w:p w14:paraId="2AAF898D">
            <w:pPr>
              <w:pStyle w:val="15"/>
            </w:pPr>
          </w:p>
          <w:p w14:paraId="0A49F706">
            <w:pPr>
              <w:pStyle w:val="15"/>
            </w:pPr>
            <w:r>
              <w:t>√</w:t>
            </w:r>
          </w:p>
        </w:tc>
        <w:tc>
          <w:tcPr>
            <w:tcW w:w="1143" w:type="dxa"/>
            <w:tcBorders>
              <w:right w:val="single" w:color="auto" w:sz="12" w:space="0"/>
            </w:tcBorders>
            <w:vAlign w:val="center"/>
          </w:tcPr>
          <w:p w14:paraId="7B42EC5C">
            <w:pPr>
              <w:pStyle w:val="15"/>
            </w:pPr>
          </w:p>
        </w:tc>
      </w:tr>
      <w:tr w14:paraId="76DC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3523B079">
            <w:pPr>
              <w:pStyle w:val="15"/>
              <w:ind w:firstLine="0" w:firstLineChars="0"/>
            </w:pPr>
            <w:r>
              <w:rPr>
                <w:rFonts w:hint="eastAsia" w:ascii="宋体" w:hAnsi="宋体"/>
              </w:rPr>
              <w:t>第三单元</w:t>
            </w:r>
            <w:r>
              <w:rPr>
                <w:rFonts w:cs="Times New Roman"/>
              </w:rPr>
              <w:t xml:space="preserve"> Strategies and Tactics of Distributive Bargaining</w:t>
            </w:r>
          </w:p>
        </w:tc>
        <w:tc>
          <w:tcPr>
            <w:tcW w:w="1169" w:type="dxa"/>
            <w:vAlign w:val="center"/>
          </w:tcPr>
          <w:p w14:paraId="14F73BA1">
            <w:pPr>
              <w:pStyle w:val="15"/>
            </w:pPr>
            <w:r>
              <w:t>√</w:t>
            </w:r>
          </w:p>
        </w:tc>
        <w:tc>
          <w:tcPr>
            <w:tcW w:w="1161" w:type="dxa"/>
            <w:vAlign w:val="center"/>
          </w:tcPr>
          <w:p w14:paraId="3082D6B6">
            <w:pPr>
              <w:pStyle w:val="15"/>
            </w:pPr>
            <w:r>
              <w:t>√</w:t>
            </w:r>
          </w:p>
        </w:tc>
        <w:tc>
          <w:tcPr>
            <w:tcW w:w="1180" w:type="dxa"/>
            <w:vAlign w:val="center"/>
          </w:tcPr>
          <w:p w14:paraId="5CEF5417">
            <w:pPr>
              <w:pStyle w:val="15"/>
            </w:pPr>
            <w:r>
              <w:t>√</w:t>
            </w:r>
          </w:p>
        </w:tc>
        <w:tc>
          <w:tcPr>
            <w:tcW w:w="1120" w:type="dxa"/>
          </w:tcPr>
          <w:p w14:paraId="37FA5A81">
            <w:pPr>
              <w:pStyle w:val="15"/>
            </w:pPr>
          </w:p>
          <w:p w14:paraId="30761FCE">
            <w:pPr>
              <w:pStyle w:val="15"/>
            </w:pPr>
            <w:r>
              <w:t>√</w:t>
            </w:r>
          </w:p>
        </w:tc>
        <w:tc>
          <w:tcPr>
            <w:tcW w:w="1000" w:type="dxa"/>
          </w:tcPr>
          <w:p w14:paraId="311E8F6E">
            <w:pPr>
              <w:pStyle w:val="15"/>
            </w:pPr>
          </w:p>
        </w:tc>
        <w:tc>
          <w:tcPr>
            <w:tcW w:w="1143" w:type="dxa"/>
            <w:tcBorders>
              <w:right w:val="single" w:color="auto" w:sz="12" w:space="0"/>
            </w:tcBorders>
            <w:vAlign w:val="center"/>
          </w:tcPr>
          <w:p w14:paraId="538C0B28">
            <w:pPr>
              <w:pStyle w:val="15"/>
            </w:pPr>
            <w:r>
              <w:t>√</w:t>
            </w:r>
          </w:p>
        </w:tc>
      </w:tr>
      <w:tr w14:paraId="6B18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0C989E60">
            <w:pPr>
              <w:pStyle w:val="15"/>
              <w:ind w:firstLine="0" w:firstLineChars="0"/>
            </w:pPr>
            <w:r>
              <w:rPr>
                <w:rFonts w:hint="eastAsia" w:ascii="宋体" w:hAnsi="宋体"/>
              </w:rPr>
              <w:t xml:space="preserve">第四单元 </w:t>
            </w:r>
            <w:r>
              <w:rPr>
                <w:rFonts w:hint="eastAsia"/>
              </w:rPr>
              <w:t>Strategies and T</w:t>
            </w:r>
            <w:r>
              <w:t>a</w:t>
            </w:r>
            <w:r>
              <w:rPr>
                <w:rFonts w:hint="eastAsia"/>
              </w:rPr>
              <w:t>ctics of Integrative Negotiations</w:t>
            </w:r>
          </w:p>
        </w:tc>
        <w:tc>
          <w:tcPr>
            <w:tcW w:w="1169" w:type="dxa"/>
            <w:vAlign w:val="center"/>
          </w:tcPr>
          <w:p w14:paraId="4D2B621B">
            <w:pPr>
              <w:pStyle w:val="15"/>
            </w:pPr>
            <w:r>
              <w:t>√</w:t>
            </w:r>
          </w:p>
        </w:tc>
        <w:tc>
          <w:tcPr>
            <w:tcW w:w="1161" w:type="dxa"/>
            <w:vAlign w:val="center"/>
          </w:tcPr>
          <w:p w14:paraId="3E77D6D8">
            <w:pPr>
              <w:pStyle w:val="15"/>
            </w:pPr>
            <w:r>
              <w:t>√</w:t>
            </w:r>
          </w:p>
        </w:tc>
        <w:tc>
          <w:tcPr>
            <w:tcW w:w="1180" w:type="dxa"/>
            <w:vAlign w:val="center"/>
          </w:tcPr>
          <w:p w14:paraId="6CD4F368">
            <w:pPr>
              <w:pStyle w:val="15"/>
            </w:pPr>
            <w:r>
              <w:t>√</w:t>
            </w:r>
          </w:p>
        </w:tc>
        <w:tc>
          <w:tcPr>
            <w:tcW w:w="1120" w:type="dxa"/>
          </w:tcPr>
          <w:p w14:paraId="49A4C742">
            <w:pPr>
              <w:pStyle w:val="15"/>
            </w:pPr>
          </w:p>
          <w:p w14:paraId="1F1DCDCA">
            <w:pPr>
              <w:pStyle w:val="15"/>
            </w:pPr>
          </w:p>
          <w:p w14:paraId="72B258E1">
            <w:pPr>
              <w:pStyle w:val="15"/>
            </w:pPr>
            <w:r>
              <w:t>√</w:t>
            </w:r>
          </w:p>
        </w:tc>
        <w:tc>
          <w:tcPr>
            <w:tcW w:w="1000" w:type="dxa"/>
          </w:tcPr>
          <w:p w14:paraId="5320E2B7">
            <w:pPr>
              <w:pStyle w:val="15"/>
            </w:pPr>
          </w:p>
        </w:tc>
        <w:tc>
          <w:tcPr>
            <w:tcW w:w="1143" w:type="dxa"/>
            <w:tcBorders>
              <w:right w:val="single" w:color="auto" w:sz="12" w:space="0"/>
            </w:tcBorders>
            <w:vAlign w:val="center"/>
          </w:tcPr>
          <w:p w14:paraId="0AB98C4C">
            <w:pPr>
              <w:pStyle w:val="15"/>
            </w:pPr>
            <w:r>
              <w:t>√</w:t>
            </w:r>
          </w:p>
        </w:tc>
      </w:tr>
      <w:tr w14:paraId="271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4A2A2BBA">
            <w:pPr>
              <w:pStyle w:val="15"/>
              <w:ind w:firstLine="0" w:firstLineChars="0"/>
            </w:pPr>
            <w:r>
              <w:rPr>
                <w:rFonts w:hint="eastAsia" w:ascii="宋体" w:hAnsi="宋体"/>
              </w:rPr>
              <w:t xml:space="preserve">第五单元 </w:t>
            </w:r>
            <w:r>
              <w:rPr>
                <w:rFonts w:hint="eastAsia"/>
              </w:rPr>
              <w:t>Negotiation Preparation and Process</w:t>
            </w:r>
          </w:p>
        </w:tc>
        <w:tc>
          <w:tcPr>
            <w:tcW w:w="1169" w:type="dxa"/>
            <w:vAlign w:val="center"/>
          </w:tcPr>
          <w:p w14:paraId="28F70E38">
            <w:pPr>
              <w:pStyle w:val="15"/>
            </w:pPr>
            <w:r>
              <w:t>√</w:t>
            </w:r>
          </w:p>
        </w:tc>
        <w:tc>
          <w:tcPr>
            <w:tcW w:w="1161" w:type="dxa"/>
            <w:vAlign w:val="center"/>
          </w:tcPr>
          <w:p w14:paraId="14CC732C">
            <w:pPr>
              <w:pStyle w:val="15"/>
            </w:pPr>
            <w:r>
              <w:t>√</w:t>
            </w:r>
          </w:p>
        </w:tc>
        <w:tc>
          <w:tcPr>
            <w:tcW w:w="1180" w:type="dxa"/>
            <w:vAlign w:val="center"/>
          </w:tcPr>
          <w:p w14:paraId="5D4C5F71">
            <w:pPr>
              <w:pStyle w:val="15"/>
            </w:pPr>
          </w:p>
        </w:tc>
        <w:tc>
          <w:tcPr>
            <w:tcW w:w="1120" w:type="dxa"/>
          </w:tcPr>
          <w:p w14:paraId="7FE2CF7C">
            <w:pPr>
              <w:pStyle w:val="15"/>
            </w:pPr>
          </w:p>
        </w:tc>
        <w:tc>
          <w:tcPr>
            <w:tcW w:w="1000" w:type="dxa"/>
          </w:tcPr>
          <w:p w14:paraId="02BC1CF7">
            <w:pPr>
              <w:pStyle w:val="15"/>
            </w:pPr>
          </w:p>
          <w:p w14:paraId="083434AE">
            <w:pPr>
              <w:pStyle w:val="15"/>
            </w:pPr>
          </w:p>
          <w:p w14:paraId="6109B5C8">
            <w:pPr>
              <w:pStyle w:val="15"/>
            </w:pPr>
            <w:r>
              <w:t>√</w:t>
            </w:r>
          </w:p>
        </w:tc>
        <w:tc>
          <w:tcPr>
            <w:tcW w:w="1143" w:type="dxa"/>
            <w:tcBorders>
              <w:right w:val="single" w:color="auto" w:sz="12" w:space="0"/>
            </w:tcBorders>
            <w:vAlign w:val="center"/>
          </w:tcPr>
          <w:p w14:paraId="43F9586F">
            <w:pPr>
              <w:pStyle w:val="15"/>
            </w:pPr>
          </w:p>
        </w:tc>
      </w:tr>
      <w:tr w14:paraId="770D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4A0CFEF">
            <w:pPr>
              <w:pStyle w:val="15"/>
              <w:ind w:firstLine="0" w:firstLineChars="0"/>
            </w:pPr>
            <w:r>
              <w:rPr>
                <w:rFonts w:hint="eastAsia" w:ascii="宋体" w:hAnsi="宋体"/>
              </w:rPr>
              <w:t xml:space="preserve">第六单元 </w:t>
            </w:r>
            <w:r>
              <w:rPr>
                <w:rFonts w:hint="eastAsia"/>
              </w:rPr>
              <w:t>Communications in Business Negotiations</w:t>
            </w:r>
          </w:p>
        </w:tc>
        <w:tc>
          <w:tcPr>
            <w:tcW w:w="1169" w:type="dxa"/>
            <w:vAlign w:val="center"/>
          </w:tcPr>
          <w:p w14:paraId="5D0D6E02">
            <w:pPr>
              <w:pStyle w:val="15"/>
            </w:pPr>
            <w:r>
              <w:t>√</w:t>
            </w:r>
          </w:p>
        </w:tc>
        <w:tc>
          <w:tcPr>
            <w:tcW w:w="1161" w:type="dxa"/>
            <w:vAlign w:val="center"/>
          </w:tcPr>
          <w:p w14:paraId="4E694588">
            <w:pPr>
              <w:pStyle w:val="15"/>
            </w:pPr>
            <w:r>
              <w:t>√</w:t>
            </w:r>
          </w:p>
        </w:tc>
        <w:tc>
          <w:tcPr>
            <w:tcW w:w="1180" w:type="dxa"/>
            <w:vAlign w:val="center"/>
          </w:tcPr>
          <w:p w14:paraId="4B9B185D">
            <w:pPr>
              <w:pStyle w:val="15"/>
            </w:pPr>
            <w:r>
              <w:t>√</w:t>
            </w:r>
          </w:p>
        </w:tc>
        <w:tc>
          <w:tcPr>
            <w:tcW w:w="1120" w:type="dxa"/>
          </w:tcPr>
          <w:p w14:paraId="4FEC0C9B">
            <w:pPr>
              <w:pStyle w:val="15"/>
              <w:ind w:firstLine="0" w:firstLineChars="0"/>
            </w:pPr>
          </w:p>
          <w:p w14:paraId="71CEF1D5">
            <w:pPr>
              <w:pStyle w:val="15"/>
              <w:ind w:firstLine="0" w:firstLineChars="0"/>
              <w:jc w:val="center"/>
            </w:pPr>
            <w:r>
              <w:t>√</w:t>
            </w:r>
          </w:p>
        </w:tc>
        <w:tc>
          <w:tcPr>
            <w:tcW w:w="1000" w:type="dxa"/>
          </w:tcPr>
          <w:p w14:paraId="179CF9B4">
            <w:pPr>
              <w:pStyle w:val="15"/>
            </w:pPr>
          </w:p>
          <w:p w14:paraId="781D8321">
            <w:pPr>
              <w:pStyle w:val="15"/>
            </w:pPr>
            <w:r>
              <w:t>√</w:t>
            </w:r>
          </w:p>
        </w:tc>
        <w:tc>
          <w:tcPr>
            <w:tcW w:w="1143" w:type="dxa"/>
            <w:tcBorders>
              <w:right w:val="single" w:color="auto" w:sz="12" w:space="0"/>
            </w:tcBorders>
            <w:vAlign w:val="center"/>
          </w:tcPr>
          <w:p w14:paraId="0CAC5BAA">
            <w:pPr>
              <w:pStyle w:val="15"/>
            </w:pPr>
          </w:p>
        </w:tc>
      </w:tr>
      <w:tr w14:paraId="67E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62A130A7">
            <w:pPr>
              <w:pStyle w:val="15"/>
              <w:ind w:firstLine="0" w:firstLineChars="0"/>
            </w:pPr>
            <w:r>
              <w:rPr>
                <w:rFonts w:hint="eastAsia" w:ascii="宋体" w:hAnsi="宋体"/>
              </w:rPr>
              <w:t xml:space="preserve">第七单元 </w:t>
            </w:r>
            <w:r>
              <w:rPr>
                <w:rFonts w:hint="eastAsia"/>
              </w:rPr>
              <w:t>Finding and Using Negotiation Power</w:t>
            </w:r>
          </w:p>
        </w:tc>
        <w:tc>
          <w:tcPr>
            <w:tcW w:w="1169" w:type="dxa"/>
            <w:vAlign w:val="center"/>
          </w:tcPr>
          <w:p w14:paraId="68E2B8C0">
            <w:pPr>
              <w:pStyle w:val="15"/>
            </w:pPr>
            <w:r>
              <w:t>√</w:t>
            </w:r>
          </w:p>
        </w:tc>
        <w:tc>
          <w:tcPr>
            <w:tcW w:w="1161" w:type="dxa"/>
            <w:vAlign w:val="center"/>
          </w:tcPr>
          <w:p w14:paraId="70EBD403">
            <w:pPr>
              <w:pStyle w:val="15"/>
            </w:pPr>
            <w:r>
              <w:t>√</w:t>
            </w:r>
          </w:p>
        </w:tc>
        <w:tc>
          <w:tcPr>
            <w:tcW w:w="1180" w:type="dxa"/>
            <w:vAlign w:val="center"/>
          </w:tcPr>
          <w:p w14:paraId="4339DB64">
            <w:pPr>
              <w:pStyle w:val="15"/>
            </w:pPr>
            <w:r>
              <w:t>√</w:t>
            </w:r>
          </w:p>
        </w:tc>
        <w:tc>
          <w:tcPr>
            <w:tcW w:w="1120" w:type="dxa"/>
          </w:tcPr>
          <w:p w14:paraId="093B79A9">
            <w:pPr>
              <w:pStyle w:val="15"/>
            </w:pPr>
          </w:p>
        </w:tc>
        <w:tc>
          <w:tcPr>
            <w:tcW w:w="1000" w:type="dxa"/>
          </w:tcPr>
          <w:p w14:paraId="6ADE5919">
            <w:pPr>
              <w:pStyle w:val="15"/>
            </w:pPr>
          </w:p>
          <w:p w14:paraId="2597CE60">
            <w:pPr>
              <w:pStyle w:val="15"/>
            </w:pPr>
            <w:r>
              <w:t>√</w:t>
            </w:r>
          </w:p>
        </w:tc>
        <w:tc>
          <w:tcPr>
            <w:tcW w:w="1143" w:type="dxa"/>
            <w:tcBorders>
              <w:right w:val="single" w:color="auto" w:sz="12" w:space="0"/>
            </w:tcBorders>
            <w:vAlign w:val="center"/>
          </w:tcPr>
          <w:p w14:paraId="671A8FAF">
            <w:pPr>
              <w:pStyle w:val="15"/>
            </w:pPr>
          </w:p>
        </w:tc>
      </w:tr>
      <w:tr w14:paraId="365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5623B7EA">
            <w:pPr>
              <w:pStyle w:val="15"/>
              <w:ind w:firstLine="0" w:firstLineChars="0"/>
            </w:pPr>
            <w:r>
              <w:rPr>
                <w:rFonts w:hint="eastAsia" w:ascii="宋体" w:hAnsi="宋体"/>
              </w:rPr>
              <w:t xml:space="preserve">第八单元 </w:t>
            </w:r>
            <w:r>
              <w:t>T</w:t>
            </w:r>
            <w:r>
              <w:rPr>
                <w:rFonts w:hint="eastAsia"/>
              </w:rPr>
              <w:t>wo Negotiation Principles: Trust and Profit Distributions</w:t>
            </w:r>
          </w:p>
        </w:tc>
        <w:tc>
          <w:tcPr>
            <w:tcW w:w="1169" w:type="dxa"/>
            <w:vAlign w:val="center"/>
          </w:tcPr>
          <w:p w14:paraId="0EF01D04">
            <w:pPr>
              <w:pStyle w:val="15"/>
            </w:pPr>
            <w:r>
              <w:t>√</w:t>
            </w:r>
          </w:p>
        </w:tc>
        <w:tc>
          <w:tcPr>
            <w:tcW w:w="1161" w:type="dxa"/>
            <w:vAlign w:val="center"/>
          </w:tcPr>
          <w:p w14:paraId="3A3E0E55">
            <w:pPr>
              <w:pStyle w:val="15"/>
            </w:pPr>
            <w:r>
              <w:t>√</w:t>
            </w:r>
          </w:p>
        </w:tc>
        <w:tc>
          <w:tcPr>
            <w:tcW w:w="1180" w:type="dxa"/>
            <w:vAlign w:val="center"/>
          </w:tcPr>
          <w:p w14:paraId="754D1E1C">
            <w:pPr>
              <w:pStyle w:val="15"/>
            </w:pPr>
            <w:r>
              <w:t>√</w:t>
            </w:r>
          </w:p>
        </w:tc>
        <w:tc>
          <w:tcPr>
            <w:tcW w:w="1120" w:type="dxa"/>
          </w:tcPr>
          <w:p w14:paraId="2D32B208">
            <w:pPr>
              <w:pStyle w:val="15"/>
            </w:pPr>
          </w:p>
          <w:p w14:paraId="4BA52C3D">
            <w:pPr>
              <w:pStyle w:val="15"/>
            </w:pPr>
          </w:p>
          <w:p w14:paraId="5E85BF42">
            <w:pPr>
              <w:pStyle w:val="15"/>
            </w:pPr>
            <w:r>
              <w:t>√</w:t>
            </w:r>
          </w:p>
        </w:tc>
        <w:tc>
          <w:tcPr>
            <w:tcW w:w="1000" w:type="dxa"/>
          </w:tcPr>
          <w:p w14:paraId="3768A19F">
            <w:pPr>
              <w:pStyle w:val="15"/>
            </w:pPr>
          </w:p>
        </w:tc>
        <w:tc>
          <w:tcPr>
            <w:tcW w:w="1143" w:type="dxa"/>
            <w:tcBorders>
              <w:right w:val="single" w:color="auto" w:sz="12" w:space="0"/>
            </w:tcBorders>
            <w:vAlign w:val="center"/>
          </w:tcPr>
          <w:p w14:paraId="5FBB7716">
            <w:pPr>
              <w:pStyle w:val="15"/>
            </w:pPr>
            <w:r>
              <w:t>√</w:t>
            </w:r>
          </w:p>
        </w:tc>
      </w:tr>
      <w:tr w14:paraId="6C75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06F8090C">
            <w:pPr>
              <w:pStyle w:val="15"/>
              <w:ind w:firstLine="0" w:firstLineChars="0"/>
            </w:pPr>
            <w:r>
              <w:rPr>
                <w:rFonts w:hint="eastAsia" w:ascii="宋体" w:hAnsi="宋体"/>
              </w:rPr>
              <w:t>第九单元</w:t>
            </w:r>
            <w:r>
              <w:rPr>
                <w:rFonts w:hint="eastAsia"/>
              </w:rPr>
              <w:t>Ethics in Business Negotiations</w:t>
            </w:r>
          </w:p>
        </w:tc>
        <w:tc>
          <w:tcPr>
            <w:tcW w:w="1169" w:type="dxa"/>
            <w:vAlign w:val="center"/>
          </w:tcPr>
          <w:p w14:paraId="3F9C50FA">
            <w:pPr>
              <w:pStyle w:val="15"/>
            </w:pPr>
            <w:r>
              <w:t>√</w:t>
            </w:r>
          </w:p>
        </w:tc>
        <w:tc>
          <w:tcPr>
            <w:tcW w:w="1161" w:type="dxa"/>
            <w:vAlign w:val="center"/>
          </w:tcPr>
          <w:p w14:paraId="5FE8F198">
            <w:pPr>
              <w:pStyle w:val="15"/>
            </w:pPr>
            <w:r>
              <w:t>√</w:t>
            </w:r>
          </w:p>
        </w:tc>
        <w:tc>
          <w:tcPr>
            <w:tcW w:w="1180" w:type="dxa"/>
            <w:vAlign w:val="center"/>
          </w:tcPr>
          <w:p w14:paraId="32557131">
            <w:pPr>
              <w:pStyle w:val="15"/>
            </w:pPr>
            <w:r>
              <w:t>√</w:t>
            </w:r>
          </w:p>
        </w:tc>
        <w:tc>
          <w:tcPr>
            <w:tcW w:w="1120" w:type="dxa"/>
          </w:tcPr>
          <w:p w14:paraId="70E8EDE7">
            <w:pPr>
              <w:pStyle w:val="15"/>
            </w:pPr>
          </w:p>
          <w:p w14:paraId="77078303">
            <w:pPr>
              <w:pStyle w:val="15"/>
            </w:pPr>
            <w:r>
              <w:t>√</w:t>
            </w:r>
          </w:p>
        </w:tc>
        <w:tc>
          <w:tcPr>
            <w:tcW w:w="1000" w:type="dxa"/>
          </w:tcPr>
          <w:p w14:paraId="3CBAA1FE">
            <w:pPr>
              <w:pStyle w:val="15"/>
            </w:pPr>
          </w:p>
          <w:p w14:paraId="4C7AA676">
            <w:pPr>
              <w:pStyle w:val="15"/>
            </w:pPr>
            <w:r>
              <w:t>√</w:t>
            </w:r>
          </w:p>
        </w:tc>
        <w:tc>
          <w:tcPr>
            <w:tcW w:w="1143" w:type="dxa"/>
            <w:tcBorders>
              <w:right w:val="single" w:color="auto" w:sz="12" w:space="0"/>
            </w:tcBorders>
            <w:vAlign w:val="center"/>
          </w:tcPr>
          <w:p w14:paraId="74099240">
            <w:pPr>
              <w:pStyle w:val="15"/>
            </w:pPr>
            <w:r>
              <w:t>√</w:t>
            </w:r>
          </w:p>
        </w:tc>
      </w:tr>
      <w:tr w14:paraId="4AC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59" w:type="dxa"/>
            <w:tcBorders>
              <w:left w:val="single" w:color="auto" w:sz="12" w:space="0"/>
            </w:tcBorders>
          </w:tcPr>
          <w:p w14:paraId="771E277A">
            <w:pPr>
              <w:pStyle w:val="15"/>
              <w:ind w:firstLine="0" w:firstLineChars="0"/>
            </w:pPr>
            <w:r>
              <w:rPr>
                <w:rFonts w:hint="eastAsia" w:ascii="宋体" w:hAnsi="宋体"/>
              </w:rPr>
              <w:t xml:space="preserve">第十单元 </w:t>
            </w:r>
            <w:r>
              <w:rPr>
                <w:rFonts w:hint="eastAsia"/>
              </w:rPr>
              <w:t>Cross-cultural Business Negotiations</w:t>
            </w:r>
          </w:p>
        </w:tc>
        <w:tc>
          <w:tcPr>
            <w:tcW w:w="1169" w:type="dxa"/>
            <w:vAlign w:val="center"/>
          </w:tcPr>
          <w:p w14:paraId="459BC250">
            <w:pPr>
              <w:pStyle w:val="15"/>
            </w:pPr>
            <w:r>
              <w:t>√</w:t>
            </w:r>
          </w:p>
        </w:tc>
        <w:tc>
          <w:tcPr>
            <w:tcW w:w="1161" w:type="dxa"/>
            <w:vAlign w:val="center"/>
          </w:tcPr>
          <w:p w14:paraId="570A3A3B">
            <w:pPr>
              <w:pStyle w:val="15"/>
            </w:pPr>
            <w:r>
              <w:t>√</w:t>
            </w:r>
          </w:p>
        </w:tc>
        <w:tc>
          <w:tcPr>
            <w:tcW w:w="1180" w:type="dxa"/>
            <w:vAlign w:val="center"/>
          </w:tcPr>
          <w:p w14:paraId="1F1E329B">
            <w:pPr>
              <w:pStyle w:val="15"/>
            </w:pPr>
            <w:r>
              <w:t>√</w:t>
            </w:r>
          </w:p>
        </w:tc>
        <w:tc>
          <w:tcPr>
            <w:tcW w:w="1120" w:type="dxa"/>
          </w:tcPr>
          <w:p w14:paraId="573E84F1">
            <w:pPr>
              <w:pStyle w:val="15"/>
            </w:pPr>
          </w:p>
          <w:p w14:paraId="08A189E5">
            <w:pPr>
              <w:pStyle w:val="15"/>
            </w:pPr>
            <w:r>
              <w:t>√</w:t>
            </w:r>
          </w:p>
        </w:tc>
        <w:tc>
          <w:tcPr>
            <w:tcW w:w="1000" w:type="dxa"/>
          </w:tcPr>
          <w:p w14:paraId="4AF66BF0">
            <w:pPr>
              <w:pStyle w:val="15"/>
            </w:pPr>
          </w:p>
          <w:p w14:paraId="633790CE">
            <w:pPr>
              <w:pStyle w:val="15"/>
            </w:pPr>
            <w:r>
              <w:t>√</w:t>
            </w:r>
          </w:p>
        </w:tc>
        <w:tc>
          <w:tcPr>
            <w:tcW w:w="1143" w:type="dxa"/>
            <w:tcBorders>
              <w:right w:val="single" w:color="auto" w:sz="12" w:space="0"/>
            </w:tcBorders>
            <w:vAlign w:val="center"/>
          </w:tcPr>
          <w:p w14:paraId="3F12CC95">
            <w:pPr>
              <w:pStyle w:val="15"/>
            </w:pPr>
          </w:p>
        </w:tc>
      </w:tr>
      <w:tr w14:paraId="19E5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94" w:hRule="atLeast"/>
          <w:jc w:val="center"/>
        </w:trPr>
        <w:tc>
          <w:tcPr>
            <w:tcW w:w="1759" w:type="dxa"/>
            <w:tcBorders>
              <w:left w:val="single" w:color="auto" w:sz="12" w:space="0"/>
            </w:tcBorders>
          </w:tcPr>
          <w:p w14:paraId="14F8FB12">
            <w:pPr>
              <w:pStyle w:val="15"/>
              <w:ind w:firstLine="0" w:firstLineChars="0"/>
            </w:pPr>
            <w:r>
              <w:rPr>
                <w:rFonts w:hint="eastAsia" w:ascii="宋体" w:hAnsi="宋体"/>
              </w:rPr>
              <w:t>第十一单元</w:t>
            </w:r>
            <w:r>
              <w:rPr>
                <w:rFonts w:hint="eastAsia"/>
              </w:rPr>
              <w:t>Managing Negotiation Impasses</w:t>
            </w:r>
          </w:p>
        </w:tc>
        <w:tc>
          <w:tcPr>
            <w:tcW w:w="1169" w:type="dxa"/>
            <w:vAlign w:val="center"/>
          </w:tcPr>
          <w:p w14:paraId="20B82FB6">
            <w:pPr>
              <w:pStyle w:val="15"/>
            </w:pPr>
            <w:r>
              <w:t>√</w:t>
            </w:r>
          </w:p>
        </w:tc>
        <w:tc>
          <w:tcPr>
            <w:tcW w:w="1161" w:type="dxa"/>
            <w:vAlign w:val="center"/>
          </w:tcPr>
          <w:p w14:paraId="1026DD28">
            <w:pPr>
              <w:pStyle w:val="15"/>
            </w:pPr>
            <w:r>
              <w:t>√</w:t>
            </w:r>
          </w:p>
        </w:tc>
        <w:tc>
          <w:tcPr>
            <w:tcW w:w="1180" w:type="dxa"/>
            <w:vAlign w:val="center"/>
          </w:tcPr>
          <w:p w14:paraId="1B33BBDE">
            <w:pPr>
              <w:pStyle w:val="15"/>
            </w:pPr>
            <w:r>
              <w:t>√</w:t>
            </w:r>
          </w:p>
        </w:tc>
        <w:tc>
          <w:tcPr>
            <w:tcW w:w="1120" w:type="dxa"/>
          </w:tcPr>
          <w:p w14:paraId="6494997A">
            <w:pPr>
              <w:pStyle w:val="15"/>
            </w:pPr>
          </w:p>
        </w:tc>
        <w:tc>
          <w:tcPr>
            <w:tcW w:w="1000" w:type="dxa"/>
          </w:tcPr>
          <w:p w14:paraId="04FC1FB4">
            <w:pPr>
              <w:pStyle w:val="15"/>
            </w:pPr>
          </w:p>
        </w:tc>
        <w:tc>
          <w:tcPr>
            <w:tcW w:w="1143" w:type="dxa"/>
            <w:tcBorders>
              <w:right w:val="single" w:color="auto" w:sz="12" w:space="0"/>
            </w:tcBorders>
            <w:vAlign w:val="center"/>
          </w:tcPr>
          <w:p w14:paraId="4849001D">
            <w:pPr>
              <w:pStyle w:val="15"/>
            </w:pPr>
          </w:p>
        </w:tc>
      </w:tr>
      <w:tr w14:paraId="241A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4" w:hRule="atLeast"/>
          <w:jc w:val="center"/>
        </w:trPr>
        <w:tc>
          <w:tcPr>
            <w:tcW w:w="1759" w:type="dxa"/>
            <w:tcBorders>
              <w:left w:val="single" w:color="auto" w:sz="12" w:space="0"/>
              <w:bottom w:val="single" w:color="auto" w:sz="12" w:space="0"/>
            </w:tcBorders>
          </w:tcPr>
          <w:p w14:paraId="0C38A60E">
            <w:pPr>
              <w:pStyle w:val="15"/>
              <w:ind w:firstLine="0" w:firstLineChars="0"/>
              <w:rPr>
                <w:rFonts w:hint="default" w:ascii="宋体" w:hAnsi="宋体"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单元</w:t>
            </w:r>
            <w:r>
              <w:rPr>
                <w:rFonts w:hint="eastAsia"/>
                <w:lang w:val="en-US" w:eastAsia="zh-CN"/>
              </w:rPr>
              <w:t>quiz</w:t>
            </w:r>
          </w:p>
        </w:tc>
        <w:tc>
          <w:tcPr>
            <w:tcW w:w="1169" w:type="dxa"/>
            <w:tcBorders>
              <w:bottom w:val="single" w:color="auto" w:sz="12" w:space="0"/>
            </w:tcBorders>
            <w:vAlign w:val="center"/>
          </w:tcPr>
          <w:p w14:paraId="728C47DD">
            <w:pPr>
              <w:pStyle w:val="15"/>
              <w:ind w:firstLine="420" w:firstLineChars="200"/>
            </w:pPr>
            <w:r>
              <w:t>√</w:t>
            </w:r>
          </w:p>
        </w:tc>
        <w:tc>
          <w:tcPr>
            <w:tcW w:w="1161" w:type="dxa"/>
            <w:tcBorders>
              <w:bottom w:val="single" w:color="auto" w:sz="12" w:space="0"/>
            </w:tcBorders>
            <w:vAlign w:val="center"/>
          </w:tcPr>
          <w:p w14:paraId="644C5D63">
            <w:pPr>
              <w:pStyle w:val="15"/>
              <w:ind w:firstLine="420" w:firstLineChars="200"/>
            </w:pPr>
            <w:r>
              <w:t>√</w:t>
            </w:r>
          </w:p>
        </w:tc>
        <w:tc>
          <w:tcPr>
            <w:tcW w:w="1180" w:type="dxa"/>
            <w:tcBorders>
              <w:bottom w:val="single" w:color="auto" w:sz="12" w:space="0"/>
            </w:tcBorders>
            <w:vAlign w:val="center"/>
          </w:tcPr>
          <w:p w14:paraId="4A32D231">
            <w:pPr>
              <w:pStyle w:val="15"/>
              <w:ind w:firstLine="420" w:firstLineChars="200"/>
            </w:pPr>
            <w:r>
              <w:t>√</w:t>
            </w:r>
          </w:p>
        </w:tc>
        <w:tc>
          <w:tcPr>
            <w:tcW w:w="1120" w:type="dxa"/>
            <w:tcBorders>
              <w:bottom w:val="single" w:color="auto" w:sz="12" w:space="0"/>
            </w:tcBorders>
          </w:tcPr>
          <w:p w14:paraId="7589DF87">
            <w:pPr>
              <w:pStyle w:val="15"/>
            </w:pPr>
            <w:r>
              <w:t>√</w:t>
            </w:r>
          </w:p>
        </w:tc>
        <w:tc>
          <w:tcPr>
            <w:tcW w:w="1000" w:type="dxa"/>
            <w:tcBorders>
              <w:bottom w:val="single" w:color="auto" w:sz="12" w:space="0"/>
            </w:tcBorders>
          </w:tcPr>
          <w:p w14:paraId="3E69A7D6">
            <w:pPr>
              <w:pStyle w:val="15"/>
            </w:pPr>
            <w:r>
              <w:t>√</w:t>
            </w:r>
          </w:p>
        </w:tc>
        <w:tc>
          <w:tcPr>
            <w:tcW w:w="1143" w:type="dxa"/>
            <w:tcBorders>
              <w:bottom w:val="single" w:color="auto" w:sz="12" w:space="0"/>
              <w:right w:val="single" w:color="auto" w:sz="12" w:space="0"/>
            </w:tcBorders>
            <w:vAlign w:val="center"/>
          </w:tcPr>
          <w:p w14:paraId="3FE3535E">
            <w:pPr>
              <w:pStyle w:val="15"/>
            </w:pPr>
            <w:r>
              <w:t>√</w:t>
            </w:r>
          </w:p>
        </w:tc>
      </w:tr>
    </w:tbl>
    <w:p w14:paraId="7488503E">
      <w:pPr>
        <w:pStyle w:val="18"/>
        <w:spacing w:before="81" w:after="163"/>
        <w:ind w:firstLine="422"/>
        <w:rPr>
          <w:b/>
          <w:bCs w:val="0"/>
        </w:rPr>
      </w:pPr>
      <w:r>
        <w:rPr>
          <w:rFonts w:hint="eastAsia"/>
          <w:b/>
          <w:bCs w:val="0"/>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62"/>
        <w:gridCol w:w="2690"/>
        <w:gridCol w:w="1707"/>
        <w:gridCol w:w="722"/>
        <w:gridCol w:w="695"/>
        <w:gridCol w:w="800"/>
      </w:tblGrid>
      <w:tr w14:paraId="5158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restart"/>
            <w:tcBorders>
              <w:top w:val="single" w:color="auto" w:sz="12" w:space="0"/>
              <w:left w:val="single" w:color="auto" w:sz="12" w:space="0"/>
            </w:tcBorders>
            <w:vAlign w:val="center"/>
          </w:tcPr>
          <w:p w14:paraId="245277D0">
            <w:pPr>
              <w:jc w:val="both"/>
            </w:pPr>
            <w:r>
              <w:rPr>
                <w:rFonts w:hint="eastAsia"/>
              </w:rPr>
              <w:t>教学单元</w:t>
            </w:r>
          </w:p>
        </w:tc>
        <w:tc>
          <w:tcPr>
            <w:tcW w:w="2841" w:type="dxa"/>
            <w:vMerge w:val="restart"/>
            <w:tcBorders>
              <w:top w:val="single" w:color="auto" w:sz="12" w:space="0"/>
            </w:tcBorders>
            <w:vAlign w:val="center"/>
          </w:tcPr>
          <w:p w14:paraId="1DBBA7C0">
            <w:pPr>
              <w:pStyle w:val="14"/>
              <w:jc w:val="both"/>
            </w:pPr>
            <w:r>
              <w:rPr>
                <w:rFonts w:hint="eastAsia"/>
              </w:rPr>
              <w:t>教与学方式</w:t>
            </w:r>
          </w:p>
        </w:tc>
        <w:tc>
          <w:tcPr>
            <w:tcW w:w="1738" w:type="dxa"/>
            <w:vMerge w:val="restart"/>
            <w:tcBorders>
              <w:top w:val="single" w:color="auto" w:sz="12" w:space="0"/>
            </w:tcBorders>
            <w:vAlign w:val="center"/>
          </w:tcPr>
          <w:p w14:paraId="560389A9">
            <w:pPr>
              <w:pStyle w:val="14"/>
              <w:jc w:val="both"/>
            </w:pPr>
            <w:r>
              <w:rPr>
                <w:rFonts w:hint="eastAsia"/>
              </w:rPr>
              <w:t>考核方式</w:t>
            </w:r>
          </w:p>
        </w:tc>
        <w:tc>
          <w:tcPr>
            <w:tcW w:w="2111" w:type="dxa"/>
            <w:gridSpan w:val="3"/>
            <w:tcBorders>
              <w:top w:val="single" w:color="auto" w:sz="12" w:space="0"/>
              <w:right w:val="single" w:color="auto" w:sz="12" w:space="0"/>
            </w:tcBorders>
            <w:vAlign w:val="center"/>
          </w:tcPr>
          <w:p w14:paraId="1008C892">
            <w:pPr>
              <w:pStyle w:val="14"/>
              <w:jc w:val="both"/>
            </w:pPr>
            <w:r>
              <w:rPr>
                <w:rFonts w:hint="eastAsia"/>
              </w:rPr>
              <w:t>学时分配</w:t>
            </w:r>
          </w:p>
        </w:tc>
      </w:tr>
      <w:tr w14:paraId="4DF7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continue"/>
            <w:tcBorders>
              <w:left w:val="single" w:color="auto" w:sz="12" w:space="0"/>
            </w:tcBorders>
          </w:tcPr>
          <w:p w14:paraId="10C68CB1">
            <w:pPr>
              <w:jc w:val="both"/>
            </w:pPr>
          </w:p>
        </w:tc>
        <w:tc>
          <w:tcPr>
            <w:tcW w:w="2841" w:type="dxa"/>
            <w:vMerge w:val="continue"/>
          </w:tcPr>
          <w:p w14:paraId="03348DE3">
            <w:pPr>
              <w:jc w:val="both"/>
            </w:pPr>
          </w:p>
        </w:tc>
        <w:tc>
          <w:tcPr>
            <w:tcW w:w="1738" w:type="dxa"/>
            <w:vMerge w:val="continue"/>
          </w:tcPr>
          <w:p w14:paraId="48DC639F">
            <w:pPr>
              <w:jc w:val="both"/>
            </w:pPr>
          </w:p>
        </w:tc>
        <w:tc>
          <w:tcPr>
            <w:tcW w:w="725" w:type="dxa"/>
            <w:vAlign w:val="center"/>
          </w:tcPr>
          <w:p w14:paraId="588A8A36">
            <w:pPr>
              <w:ind w:firstLine="0" w:firstLineChars="0"/>
              <w:jc w:val="both"/>
            </w:pPr>
            <w:r>
              <w:rPr>
                <w:rFonts w:hint="eastAsia"/>
              </w:rPr>
              <w:t>理论</w:t>
            </w:r>
          </w:p>
        </w:tc>
        <w:tc>
          <w:tcPr>
            <w:tcW w:w="669" w:type="dxa"/>
            <w:vAlign w:val="center"/>
          </w:tcPr>
          <w:p w14:paraId="3899064C">
            <w:pPr>
              <w:ind w:firstLine="0" w:firstLineChars="0"/>
              <w:jc w:val="both"/>
            </w:pPr>
            <w:r>
              <w:rPr>
                <w:rFonts w:hint="eastAsia"/>
              </w:rPr>
              <w:t>实践</w:t>
            </w:r>
          </w:p>
        </w:tc>
        <w:tc>
          <w:tcPr>
            <w:tcW w:w="717" w:type="dxa"/>
            <w:tcBorders>
              <w:right w:val="single" w:color="auto" w:sz="12" w:space="0"/>
            </w:tcBorders>
            <w:vAlign w:val="center"/>
          </w:tcPr>
          <w:p w14:paraId="39AC3FD7">
            <w:pPr>
              <w:ind w:firstLine="0" w:firstLineChars="0"/>
              <w:jc w:val="both"/>
            </w:pPr>
            <w:r>
              <w:rPr>
                <w:rFonts w:hint="eastAsia"/>
              </w:rPr>
              <w:t>小计</w:t>
            </w:r>
          </w:p>
        </w:tc>
      </w:tr>
      <w:tr w14:paraId="4816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7CB5AE64">
            <w:pPr>
              <w:pStyle w:val="15"/>
              <w:jc w:val="both"/>
            </w:pPr>
            <w:r>
              <w:rPr>
                <w:rFonts w:hint="eastAsia"/>
              </w:rPr>
              <w:t xml:space="preserve">第一单元 </w:t>
            </w:r>
            <w:r>
              <w:rPr>
                <w:rFonts w:eastAsia="仿宋_GB2312" w:cs="Times New Roman"/>
                <w:bCs w:val="0"/>
              </w:rPr>
              <w:t>International Business Negotiations-course introduction</w:t>
            </w:r>
          </w:p>
        </w:tc>
        <w:tc>
          <w:tcPr>
            <w:tcW w:w="2841" w:type="dxa"/>
            <w:vAlign w:val="center"/>
          </w:tcPr>
          <w:p w14:paraId="0E9054C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83E50D8">
            <w:pPr>
              <w:ind w:firstLine="0" w:firstLineChars="0"/>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907335D">
            <w:pPr>
              <w:jc w:val="both"/>
            </w:pPr>
            <w:r>
              <w:rPr>
                <w:rFonts w:hint="eastAsia"/>
              </w:rPr>
              <w:t>2</w:t>
            </w:r>
          </w:p>
        </w:tc>
        <w:tc>
          <w:tcPr>
            <w:tcW w:w="669" w:type="dxa"/>
            <w:vAlign w:val="center"/>
          </w:tcPr>
          <w:p w14:paraId="01EDD3B5">
            <w:pPr>
              <w:jc w:val="both"/>
            </w:pPr>
            <w:r>
              <w:rPr>
                <w:rFonts w:hint="eastAsia"/>
              </w:rPr>
              <w:t>0</w:t>
            </w:r>
          </w:p>
        </w:tc>
        <w:tc>
          <w:tcPr>
            <w:tcW w:w="717" w:type="dxa"/>
            <w:tcBorders>
              <w:right w:val="single" w:color="auto" w:sz="12" w:space="0"/>
            </w:tcBorders>
            <w:vAlign w:val="center"/>
          </w:tcPr>
          <w:p w14:paraId="67685223">
            <w:pPr>
              <w:jc w:val="both"/>
            </w:pPr>
            <w:r>
              <w:rPr>
                <w:rFonts w:hint="eastAsia"/>
              </w:rPr>
              <w:t>2</w:t>
            </w:r>
          </w:p>
        </w:tc>
      </w:tr>
      <w:tr w14:paraId="2546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592AD7A0">
            <w:pPr>
              <w:pStyle w:val="15"/>
              <w:jc w:val="both"/>
            </w:pPr>
            <w:r>
              <w:rPr>
                <w:rFonts w:hint="eastAsia" w:ascii="宋体" w:hAnsi="宋体"/>
              </w:rPr>
              <w:t>第二单元</w:t>
            </w:r>
            <w:r>
              <w:t xml:space="preserve"> </w:t>
            </w:r>
            <w:r>
              <w:rPr>
                <w:rFonts w:eastAsia="仿宋_GB2312" w:cs="Times New Roman"/>
                <w:bCs w:val="0"/>
              </w:rPr>
              <w:t>The Nature of Negotiation</w:t>
            </w:r>
          </w:p>
        </w:tc>
        <w:tc>
          <w:tcPr>
            <w:tcW w:w="2841" w:type="dxa"/>
            <w:vAlign w:val="center"/>
          </w:tcPr>
          <w:p w14:paraId="4F913F0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1A266427">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465CCE11">
            <w:pPr>
              <w:jc w:val="both"/>
            </w:pPr>
            <w:r>
              <w:rPr>
                <w:rFonts w:hint="eastAsia"/>
              </w:rPr>
              <w:t>2</w:t>
            </w:r>
          </w:p>
        </w:tc>
        <w:tc>
          <w:tcPr>
            <w:tcW w:w="669" w:type="dxa"/>
            <w:vAlign w:val="center"/>
          </w:tcPr>
          <w:p w14:paraId="60E658F1">
            <w:pPr>
              <w:jc w:val="both"/>
            </w:pPr>
            <w:r>
              <w:rPr>
                <w:rFonts w:hint="eastAsia"/>
              </w:rPr>
              <w:t>0</w:t>
            </w:r>
          </w:p>
        </w:tc>
        <w:tc>
          <w:tcPr>
            <w:tcW w:w="717" w:type="dxa"/>
            <w:tcBorders>
              <w:right w:val="single" w:color="auto" w:sz="12" w:space="0"/>
            </w:tcBorders>
            <w:vAlign w:val="center"/>
          </w:tcPr>
          <w:p w14:paraId="5970A871">
            <w:pPr>
              <w:jc w:val="both"/>
            </w:pPr>
            <w:r>
              <w:rPr>
                <w:rFonts w:hint="eastAsia"/>
              </w:rPr>
              <w:t>2</w:t>
            </w:r>
          </w:p>
        </w:tc>
      </w:tr>
      <w:tr w14:paraId="741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F1FD52D">
            <w:pPr>
              <w:pStyle w:val="15"/>
              <w:jc w:val="both"/>
            </w:pPr>
            <w:r>
              <w:rPr>
                <w:rFonts w:hint="eastAsia" w:ascii="宋体" w:hAnsi="宋体"/>
              </w:rPr>
              <w:t xml:space="preserve">第三单元 </w:t>
            </w:r>
            <w:r>
              <w:rPr>
                <w:rFonts w:hint="eastAsia"/>
              </w:rPr>
              <w:t>Strategies and T</w:t>
            </w:r>
            <w:r>
              <w:t>a</w:t>
            </w:r>
            <w:r>
              <w:rPr>
                <w:rFonts w:hint="eastAsia"/>
              </w:rPr>
              <w:t>ctics of Distributive Bargaining</w:t>
            </w:r>
          </w:p>
        </w:tc>
        <w:tc>
          <w:tcPr>
            <w:tcW w:w="2841" w:type="dxa"/>
            <w:vAlign w:val="center"/>
          </w:tcPr>
          <w:p w14:paraId="462BBB9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7FFCCF5">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A272BF">
            <w:pPr>
              <w:jc w:val="both"/>
            </w:pPr>
            <w:r>
              <w:rPr>
                <w:rFonts w:hint="eastAsia"/>
              </w:rPr>
              <w:t>2</w:t>
            </w:r>
          </w:p>
        </w:tc>
        <w:tc>
          <w:tcPr>
            <w:tcW w:w="669" w:type="dxa"/>
            <w:vAlign w:val="center"/>
          </w:tcPr>
          <w:p w14:paraId="1D9073AD">
            <w:pPr>
              <w:jc w:val="both"/>
            </w:pPr>
            <w:r>
              <w:rPr>
                <w:rFonts w:hint="eastAsia"/>
              </w:rPr>
              <w:t>0</w:t>
            </w:r>
          </w:p>
        </w:tc>
        <w:tc>
          <w:tcPr>
            <w:tcW w:w="717" w:type="dxa"/>
            <w:tcBorders>
              <w:right w:val="single" w:color="auto" w:sz="12" w:space="0"/>
            </w:tcBorders>
            <w:vAlign w:val="center"/>
          </w:tcPr>
          <w:p w14:paraId="6C4424F1">
            <w:pPr>
              <w:jc w:val="both"/>
            </w:pPr>
            <w:r>
              <w:rPr>
                <w:rFonts w:hint="eastAsia"/>
              </w:rPr>
              <w:t>2</w:t>
            </w:r>
          </w:p>
        </w:tc>
      </w:tr>
      <w:tr w14:paraId="6887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5931B51">
            <w:pPr>
              <w:pStyle w:val="15"/>
              <w:jc w:val="both"/>
            </w:pPr>
            <w:r>
              <w:rPr>
                <w:rFonts w:hint="eastAsia" w:ascii="宋体" w:hAnsi="宋体"/>
              </w:rPr>
              <w:t xml:space="preserve">第四单元 </w:t>
            </w:r>
            <w:r>
              <w:rPr>
                <w:rFonts w:hint="eastAsia"/>
              </w:rPr>
              <w:t>Strategies and T</w:t>
            </w:r>
            <w:r>
              <w:t>a</w:t>
            </w:r>
            <w:r>
              <w:rPr>
                <w:rFonts w:hint="eastAsia"/>
              </w:rPr>
              <w:t>ctics of Integrative Negotiations</w:t>
            </w:r>
          </w:p>
        </w:tc>
        <w:tc>
          <w:tcPr>
            <w:tcW w:w="2841" w:type="dxa"/>
            <w:vAlign w:val="center"/>
          </w:tcPr>
          <w:p w14:paraId="11F5EB5C">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78E16196">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1F6D1E94">
            <w:pPr>
              <w:jc w:val="both"/>
              <w:rPr>
                <w:rFonts w:hint="eastAsia" w:eastAsia="宋体"/>
                <w:lang w:eastAsia="zh-CN"/>
              </w:rPr>
            </w:pPr>
            <w:r>
              <w:rPr>
                <w:rFonts w:hint="eastAsia"/>
                <w:lang w:val="en-US" w:eastAsia="zh-CN"/>
              </w:rPr>
              <w:t>2</w:t>
            </w:r>
          </w:p>
        </w:tc>
        <w:tc>
          <w:tcPr>
            <w:tcW w:w="669" w:type="dxa"/>
            <w:vAlign w:val="center"/>
          </w:tcPr>
          <w:p w14:paraId="3579E0CA">
            <w:pPr>
              <w:jc w:val="both"/>
            </w:pPr>
            <w:r>
              <w:rPr>
                <w:rFonts w:hint="eastAsia"/>
              </w:rPr>
              <w:t>0</w:t>
            </w:r>
          </w:p>
        </w:tc>
        <w:tc>
          <w:tcPr>
            <w:tcW w:w="717" w:type="dxa"/>
            <w:tcBorders>
              <w:right w:val="single" w:color="auto" w:sz="12" w:space="0"/>
            </w:tcBorders>
            <w:vAlign w:val="center"/>
          </w:tcPr>
          <w:p w14:paraId="4B264D90">
            <w:pPr>
              <w:jc w:val="both"/>
              <w:rPr>
                <w:rFonts w:hint="eastAsia" w:eastAsia="宋体"/>
                <w:lang w:eastAsia="zh-CN"/>
              </w:rPr>
            </w:pPr>
            <w:r>
              <w:rPr>
                <w:rFonts w:hint="eastAsia"/>
                <w:lang w:val="en-US" w:eastAsia="zh-CN"/>
              </w:rPr>
              <w:t>2</w:t>
            </w:r>
          </w:p>
        </w:tc>
      </w:tr>
      <w:tr w14:paraId="7882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3CD3B77C">
            <w:pPr>
              <w:pStyle w:val="15"/>
              <w:jc w:val="both"/>
            </w:pPr>
            <w:r>
              <w:rPr>
                <w:rFonts w:hint="eastAsia" w:ascii="宋体" w:hAnsi="宋体"/>
              </w:rPr>
              <w:t xml:space="preserve">第五单元 </w:t>
            </w:r>
            <w:r>
              <w:rPr>
                <w:rFonts w:hint="eastAsia"/>
              </w:rPr>
              <w:t>Negotiation Preparation and Process</w:t>
            </w:r>
          </w:p>
        </w:tc>
        <w:tc>
          <w:tcPr>
            <w:tcW w:w="2841" w:type="dxa"/>
            <w:vAlign w:val="center"/>
          </w:tcPr>
          <w:p w14:paraId="39F309F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347F2F0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65A76509">
            <w:pPr>
              <w:jc w:val="both"/>
            </w:pPr>
            <w:r>
              <w:rPr>
                <w:rFonts w:hint="eastAsia"/>
              </w:rPr>
              <w:t>2</w:t>
            </w:r>
          </w:p>
        </w:tc>
        <w:tc>
          <w:tcPr>
            <w:tcW w:w="669" w:type="dxa"/>
            <w:vAlign w:val="center"/>
          </w:tcPr>
          <w:p w14:paraId="3DB217D8">
            <w:pPr>
              <w:jc w:val="both"/>
            </w:pPr>
            <w:r>
              <w:rPr>
                <w:rFonts w:hint="eastAsia"/>
              </w:rPr>
              <w:t>0</w:t>
            </w:r>
          </w:p>
        </w:tc>
        <w:tc>
          <w:tcPr>
            <w:tcW w:w="717" w:type="dxa"/>
            <w:tcBorders>
              <w:right w:val="single" w:color="auto" w:sz="12" w:space="0"/>
            </w:tcBorders>
            <w:vAlign w:val="center"/>
          </w:tcPr>
          <w:p w14:paraId="60E55E12">
            <w:pPr>
              <w:jc w:val="both"/>
            </w:pPr>
            <w:r>
              <w:rPr>
                <w:rFonts w:hint="eastAsia"/>
              </w:rPr>
              <w:t>2</w:t>
            </w:r>
          </w:p>
        </w:tc>
      </w:tr>
      <w:tr w14:paraId="538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CD20198">
            <w:pPr>
              <w:pStyle w:val="15"/>
              <w:jc w:val="both"/>
            </w:pPr>
            <w:r>
              <w:rPr>
                <w:rFonts w:hint="eastAsia" w:ascii="宋体" w:hAnsi="宋体"/>
              </w:rPr>
              <w:t xml:space="preserve">第六单元 </w:t>
            </w:r>
            <w:r>
              <w:rPr>
                <w:rFonts w:hint="eastAsia"/>
              </w:rPr>
              <w:t>Communications in Business Negotiations</w:t>
            </w:r>
          </w:p>
        </w:tc>
        <w:tc>
          <w:tcPr>
            <w:tcW w:w="2841" w:type="dxa"/>
            <w:vAlign w:val="center"/>
          </w:tcPr>
          <w:p w14:paraId="53446888">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72BE951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8B44138">
            <w:pPr>
              <w:jc w:val="both"/>
            </w:pPr>
            <w:r>
              <w:rPr>
                <w:rFonts w:hint="eastAsia"/>
              </w:rPr>
              <w:t>2</w:t>
            </w:r>
          </w:p>
        </w:tc>
        <w:tc>
          <w:tcPr>
            <w:tcW w:w="669" w:type="dxa"/>
            <w:vAlign w:val="center"/>
          </w:tcPr>
          <w:p w14:paraId="5216D209">
            <w:pPr>
              <w:jc w:val="both"/>
            </w:pPr>
            <w:r>
              <w:rPr>
                <w:rFonts w:hint="eastAsia"/>
              </w:rPr>
              <w:t>0</w:t>
            </w:r>
          </w:p>
        </w:tc>
        <w:tc>
          <w:tcPr>
            <w:tcW w:w="717" w:type="dxa"/>
            <w:tcBorders>
              <w:right w:val="single" w:color="auto" w:sz="12" w:space="0"/>
            </w:tcBorders>
            <w:vAlign w:val="center"/>
          </w:tcPr>
          <w:p w14:paraId="7283901B">
            <w:pPr>
              <w:jc w:val="both"/>
            </w:pPr>
            <w:r>
              <w:rPr>
                <w:rFonts w:hint="eastAsia"/>
              </w:rPr>
              <w:t>2</w:t>
            </w:r>
          </w:p>
        </w:tc>
      </w:tr>
      <w:tr w14:paraId="5EB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2D4C5B30">
            <w:pPr>
              <w:pStyle w:val="15"/>
              <w:jc w:val="both"/>
            </w:pPr>
            <w:r>
              <w:rPr>
                <w:rFonts w:hint="eastAsia" w:ascii="宋体" w:hAnsi="宋体"/>
              </w:rPr>
              <w:t xml:space="preserve">第七单元 </w:t>
            </w:r>
            <w:r>
              <w:rPr>
                <w:rFonts w:hint="eastAsia"/>
              </w:rPr>
              <w:t>Finding and Using Negotiation Power</w:t>
            </w:r>
          </w:p>
        </w:tc>
        <w:tc>
          <w:tcPr>
            <w:tcW w:w="2841" w:type="dxa"/>
            <w:vAlign w:val="center"/>
          </w:tcPr>
          <w:p w14:paraId="1F40262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523F88C3">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30F38A">
            <w:pPr>
              <w:jc w:val="both"/>
            </w:pPr>
            <w:r>
              <w:rPr>
                <w:rFonts w:hint="eastAsia"/>
              </w:rPr>
              <w:t>2</w:t>
            </w:r>
          </w:p>
        </w:tc>
        <w:tc>
          <w:tcPr>
            <w:tcW w:w="669" w:type="dxa"/>
            <w:vAlign w:val="center"/>
          </w:tcPr>
          <w:p w14:paraId="2234EF4C">
            <w:pPr>
              <w:jc w:val="both"/>
            </w:pPr>
            <w:r>
              <w:rPr>
                <w:rFonts w:hint="eastAsia"/>
              </w:rPr>
              <w:t>0</w:t>
            </w:r>
          </w:p>
        </w:tc>
        <w:tc>
          <w:tcPr>
            <w:tcW w:w="717" w:type="dxa"/>
            <w:tcBorders>
              <w:right w:val="single" w:color="auto" w:sz="12" w:space="0"/>
            </w:tcBorders>
            <w:vAlign w:val="center"/>
          </w:tcPr>
          <w:p w14:paraId="70E7C6CC">
            <w:pPr>
              <w:jc w:val="both"/>
            </w:pPr>
            <w:r>
              <w:rPr>
                <w:rFonts w:hint="eastAsia"/>
              </w:rPr>
              <w:t>2</w:t>
            </w:r>
          </w:p>
        </w:tc>
      </w:tr>
      <w:tr w14:paraId="4B0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8C148CE">
            <w:pPr>
              <w:pStyle w:val="15"/>
              <w:jc w:val="both"/>
            </w:pPr>
            <w:r>
              <w:rPr>
                <w:rFonts w:hint="eastAsia" w:ascii="宋体" w:hAnsi="宋体"/>
              </w:rPr>
              <w:t xml:space="preserve">第八单元 </w:t>
            </w:r>
            <w:r>
              <w:t>T</w:t>
            </w:r>
            <w:r>
              <w:rPr>
                <w:rFonts w:hint="eastAsia"/>
              </w:rPr>
              <w:t>wo Negotiation Principles: Trust and Profit Distributions</w:t>
            </w:r>
            <w:r>
              <w:t xml:space="preserve"> </w:t>
            </w:r>
          </w:p>
        </w:tc>
        <w:tc>
          <w:tcPr>
            <w:tcW w:w="2841" w:type="dxa"/>
            <w:vAlign w:val="center"/>
          </w:tcPr>
          <w:p w14:paraId="6FDED942">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47A5149A">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5185F2FB">
            <w:pPr>
              <w:jc w:val="both"/>
            </w:pPr>
            <w:r>
              <w:rPr>
                <w:rFonts w:hint="eastAsia"/>
              </w:rPr>
              <w:t>2</w:t>
            </w:r>
          </w:p>
        </w:tc>
        <w:tc>
          <w:tcPr>
            <w:tcW w:w="669" w:type="dxa"/>
            <w:vAlign w:val="center"/>
          </w:tcPr>
          <w:p w14:paraId="6B98EF6B">
            <w:pPr>
              <w:jc w:val="both"/>
            </w:pPr>
            <w:r>
              <w:rPr>
                <w:rFonts w:hint="eastAsia"/>
              </w:rPr>
              <w:t>0</w:t>
            </w:r>
          </w:p>
        </w:tc>
        <w:tc>
          <w:tcPr>
            <w:tcW w:w="717" w:type="dxa"/>
            <w:tcBorders>
              <w:right w:val="single" w:color="auto" w:sz="12" w:space="0"/>
            </w:tcBorders>
            <w:vAlign w:val="center"/>
          </w:tcPr>
          <w:p w14:paraId="2138F4EE">
            <w:pPr>
              <w:jc w:val="both"/>
            </w:pPr>
            <w:r>
              <w:rPr>
                <w:rFonts w:hint="eastAsia"/>
              </w:rPr>
              <w:t>2</w:t>
            </w:r>
          </w:p>
        </w:tc>
      </w:tr>
      <w:tr w14:paraId="0A8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44CE14D6">
            <w:pPr>
              <w:pStyle w:val="15"/>
              <w:jc w:val="both"/>
            </w:pPr>
            <w:r>
              <w:rPr>
                <w:rFonts w:hint="eastAsia" w:ascii="宋体" w:hAnsi="宋体"/>
              </w:rPr>
              <w:t>第九单元</w:t>
            </w:r>
            <w:r>
              <w:rPr>
                <w:rFonts w:hint="eastAsia"/>
              </w:rPr>
              <w:t>Ethics in Business Negotiations</w:t>
            </w:r>
          </w:p>
        </w:tc>
        <w:tc>
          <w:tcPr>
            <w:tcW w:w="2841" w:type="dxa"/>
            <w:vAlign w:val="center"/>
          </w:tcPr>
          <w:p w14:paraId="64459786">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06E31B91">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A6330EB">
            <w:pPr>
              <w:jc w:val="both"/>
            </w:pPr>
            <w:r>
              <w:rPr>
                <w:rFonts w:hint="eastAsia"/>
              </w:rPr>
              <w:t>2</w:t>
            </w:r>
          </w:p>
        </w:tc>
        <w:tc>
          <w:tcPr>
            <w:tcW w:w="669" w:type="dxa"/>
            <w:vAlign w:val="center"/>
          </w:tcPr>
          <w:p w14:paraId="5409AFE7">
            <w:pPr>
              <w:jc w:val="both"/>
            </w:pPr>
            <w:r>
              <w:rPr>
                <w:rFonts w:hint="eastAsia"/>
              </w:rPr>
              <w:t>0</w:t>
            </w:r>
          </w:p>
        </w:tc>
        <w:tc>
          <w:tcPr>
            <w:tcW w:w="717" w:type="dxa"/>
            <w:tcBorders>
              <w:right w:val="single" w:color="auto" w:sz="12" w:space="0"/>
            </w:tcBorders>
            <w:vAlign w:val="center"/>
          </w:tcPr>
          <w:p w14:paraId="17C56F89">
            <w:pPr>
              <w:jc w:val="both"/>
            </w:pPr>
            <w:r>
              <w:rPr>
                <w:rFonts w:hint="eastAsia"/>
              </w:rPr>
              <w:t>2</w:t>
            </w:r>
          </w:p>
        </w:tc>
      </w:tr>
      <w:tr w14:paraId="273F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3C6DA4DE">
            <w:pPr>
              <w:pStyle w:val="15"/>
              <w:jc w:val="both"/>
            </w:pPr>
            <w:r>
              <w:rPr>
                <w:rFonts w:hint="eastAsia" w:ascii="宋体" w:hAnsi="宋体"/>
              </w:rPr>
              <w:t xml:space="preserve">第十单元 </w:t>
            </w:r>
            <w:r>
              <w:rPr>
                <w:rFonts w:hint="eastAsia"/>
              </w:rPr>
              <w:t>Cross-cultural Business Negotiations</w:t>
            </w:r>
          </w:p>
        </w:tc>
        <w:tc>
          <w:tcPr>
            <w:tcW w:w="2841" w:type="dxa"/>
            <w:vAlign w:val="center"/>
          </w:tcPr>
          <w:p w14:paraId="3F5E4A71">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2D17C2E7">
            <w:pPr>
              <w:jc w:val="both"/>
              <w:rPr>
                <w:rFonts w:ascii="Times New Roman" w:hAnsi="Times New Roman" w:cs="Times New Roman"/>
              </w:rPr>
            </w:pPr>
            <w:r>
              <w:rPr>
                <w:rFonts w:ascii="Times New Roman" w:hAnsi="Times New Roman" w:cs="Times New Roman"/>
              </w:rPr>
              <w:t>Q&amp;A; Presentation</w:t>
            </w:r>
            <w:r>
              <w:rPr>
                <w:rFonts w:hint="eastAsia" w:ascii="Times New Roman" w:hAnsi="Times New Roman" w:cs="Times New Roman"/>
              </w:rPr>
              <w:t>；Report</w:t>
            </w:r>
          </w:p>
        </w:tc>
        <w:tc>
          <w:tcPr>
            <w:tcW w:w="725" w:type="dxa"/>
            <w:vAlign w:val="center"/>
          </w:tcPr>
          <w:p w14:paraId="2B9488D2">
            <w:pPr>
              <w:jc w:val="both"/>
            </w:pPr>
            <w:r>
              <w:rPr>
                <w:rFonts w:hint="eastAsia"/>
              </w:rPr>
              <w:t>2</w:t>
            </w:r>
          </w:p>
        </w:tc>
        <w:tc>
          <w:tcPr>
            <w:tcW w:w="669" w:type="dxa"/>
            <w:vAlign w:val="center"/>
          </w:tcPr>
          <w:p w14:paraId="63C3A71D">
            <w:pPr>
              <w:jc w:val="both"/>
            </w:pPr>
            <w:r>
              <w:rPr>
                <w:rFonts w:hint="eastAsia"/>
              </w:rPr>
              <w:t>8</w:t>
            </w:r>
          </w:p>
        </w:tc>
        <w:tc>
          <w:tcPr>
            <w:tcW w:w="717" w:type="dxa"/>
            <w:tcBorders>
              <w:right w:val="single" w:color="auto" w:sz="12" w:space="0"/>
            </w:tcBorders>
            <w:vAlign w:val="center"/>
          </w:tcPr>
          <w:p w14:paraId="283FE2C7">
            <w:pPr>
              <w:jc w:val="both"/>
            </w:pPr>
            <w:r>
              <w:rPr>
                <w:rFonts w:hint="eastAsia"/>
              </w:rPr>
              <w:t>10</w:t>
            </w:r>
          </w:p>
        </w:tc>
      </w:tr>
      <w:tr w14:paraId="148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7C481105">
            <w:pPr>
              <w:pStyle w:val="15"/>
              <w:jc w:val="both"/>
            </w:pPr>
            <w:r>
              <w:rPr>
                <w:rFonts w:hint="eastAsia" w:ascii="宋体" w:hAnsi="宋体"/>
              </w:rPr>
              <w:t>第十一单元</w:t>
            </w:r>
            <w:r>
              <w:rPr>
                <w:rFonts w:hint="eastAsia"/>
              </w:rPr>
              <w:t>Managing Negotiation Impasses</w:t>
            </w:r>
            <w:r>
              <w:t xml:space="preserve"> </w:t>
            </w:r>
          </w:p>
        </w:tc>
        <w:tc>
          <w:tcPr>
            <w:tcW w:w="2841" w:type="dxa"/>
            <w:vAlign w:val="center"/>
          </w:tcPr>
          <w:p w14:paraId="1FDD6E67">
            <w:pPr>
              <w:jc w:val="both"/>
              <w:rPr>
                <w:rFonts w:ascii="Times New Roman" w:hAnsi="Times New Roman" w:cs="Times New Roman"/>
              </w:rPr>
            </w:pPr>
            <w:r>
              <w:rPr>
                <w:rFonts w:ascii="Times New Roman" w:hAnsi="Times New Roman" w:cs="Times New Roman"/>
              </w:rPr>
              <w:t>Lecture, Discussion, Negotiation Practice &amp; Case study。</w:t>
            </w:r>
          </w:p>
        </w:tc>
        <w:tc>
          <w:tcPr>
            <w:tcW w:w="1738" w:type="dxa"/>
            <w:vAlign w:val="center"/>
          </w:tcPr>
          <w:p w14:paraId="4E79D5C0">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0E3D1C7">
            <w:pPr>
              <w:jc w:val="both"/>
            </w:pPr>
            <w:r>
              <w:rPr>
                <w:rFonts w:hint="eastAsia"/>
              </w:rPr>
              <w:t>2</w:t>
            </w:r>
          </w:p>
        </w:tc>
        <w:tc>
          <w:tcPr>
            <w:tcW w:w="669" w:type="dxa"/>
            <w:vAlign w:val="center"/>
          </w:tcPr>
          <w:p w14:paraId="3E902ABD">
            <w:pPr>
              <w:jc w:val="both"/>
            </w:pPr>
            <w:r>
              <w:rPr>
                <w:rFonts w:hint="eastAsia"/>
              </w:rPr>
              <w:t>0</w:t>
            </w:r>
          </w:p>
        </w:tc>
        <w:tc>
          <w:tcPr>
            <w:tcW w:w="717" w:type="dxa"/>
            <w:tcBorders>
              <w:right w:val="single" w:color="auto" w:sz="12" w:space="0"/>
            </w:tcBorders>
            <w:vAlign w:val="center"/>
          </w:tcPr>
          <w:p w14:paraId="10738368">
            <w:pPr>
              <w:jc w:val="both"/>
            </w:pPr>
            <w:r>
              <w:rPr>
                <w:rFonts w:hint="eastAsia"/>
              </w:rPr>
              <w:t>2</w:t>
            </w:r>
          </w:p>
        </w:tc>
      </w:tr>
      <w:tr w14:paraId="4863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tcPr>
          <w:p w14:paraId="1088B97A">
            <w:pPr>
              <w:pStyle w:val="15"/>
              <w:jc w:val="both"/>
              <w:rPr>
                <w:rFonts w:hint="eastAsia" w:ascii="宋体" w:hAnsi="宋体"/>
              </w:rPr>
            </w:pPr>
            <w:r>
              <w:rPr>
                <w:rFonts w:hint="eastAsia" w:ascii="宋体" w:hAnsi="宋体"/>
              </w:rPr>
              <w:t>第十</w:t>
            </w:r>
            <w:r>
              <w:rPr>
                <w:rFonts w:hint="eastAsia" w:ascii="宋体" w:hAnsi="宋体"/>
                <w:lang w:val="en-US" w:eastAsia="zh-CN"/>
              </w:rPr>
              <w:t>二</w:t>
            </w:r>
            <w:r>
              <w:rPr>
                <w:rFonts w:hint="eastAsia" w:ascii="宋体" w:hAnsi="宋体"/>
              </w:rPr>
              <w:t>单元</w:t>
            </w:r>
            <w:r>
              <w:rPr>
                <w:rFonts w:hint="eastAsia"/>
                <w:lang w:val="en-US" w:eastAsia="zh-CN"/>
              </w:rPr>
              <w:t xml:space="preserve">Quiz </w:t>
            </w:r>
            <w:r>
              <w:rPr>
                <w:rFonts w:hint="eastAsia"/>
              </w:rPr>
              <w:t xml:space="preserve"> </w:t>
            </w:r>
          </w:p>
        </w:tc>
        <w:tc>
          <w:tcPr>
            <w:tcW w:w="2841" w:type="dxa"/>
            <w:vAlign w:val="center"/>
          </w:tcPr>
          <w:p w14:paraId="12D81EF3">
            <w:pPr>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Quiz。</w:t>
            </w:r>
          </w:p>
        </w:tc>
        <w:tc>
          <w:tcPr>
            <w:tcW w:w="1738" w:type="dxa"/>
            <w:vAlign w:val="center"/>
          </w:tcPr>
          <w:p w14:paraId="1C87E2DA">
            <w:pPr>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Quiz</w:t>
            </w:r>
          </w:p>
        </w:tc>
        <w:tc>
          <w:tcPr>
            <w:tcW w:w="725" w:type="dxa"/>
            <w:vAlign w:val="center"/>
          </w:tcPr>
          <w:p w14:paraId="5E0D13CE">
            <w:pPr>
              <w:jc w:val="both"/>
              <w:rPr>
                <w:rFonts w:hint="eastAsia" w:eastAsia="宋体"/>
                <w:lang w:val="en-US" w:eastAsia="zh-CN"/>
              </w:rPr>
            </w:pPr>
            <w:r>
              <w:rPr>
                <w:rFonts w:hint="eastAsia"/>
                <w:lang w:val="en-US" w:eastAsia="zh-CN"/>
              </w:rPr>
              <w:t>2</w:t>
            </w:r>
          </w:p>
        </w:tc>
        <w:tc>
          <w:tcPr>
            <w:tcW w:w="669" w:type="dxa"/>
            <w:vAlign w:val="center"/>
          </w:tcPr>
          <w:p w14:paraId="203215A0">
            <w:pPr>
              <w:jc w:val="both"/>
              <w:rPr>
                <w:rFonts w:hint="eastAsia" w:eastAsia="宋体"/>
                <w:lang w:val="en-US" w:eastAsia="zh-CN"/>
              </w:rPr>
            </w:pPr>
            <w:r>
              <w:rPr>
                <w:rFonts w:hint="eastAsia"/>
                <w:lang w:val="en-US" w:eastAsia="zh-CN"/>
              </w:rPr>
              <w:t>0</w:t>
            </w:r>
          </w:p>
        </w:tc>
        <w:tc>
          <w:tcPr>
            <w:tcW w:w="717" w:type="dxa"/>
            <w:tcBorders>
              <w:right w:val="single" w:color="auto" w:sz="12" w:space="0"/>
            </w:tcBorders>
            <w:vAlign w:val="center"/>
          </w:tcPr>
          <w:p w14:paraId="2B6354A1">
            <w:pPr>
              <w:jc w:val="both"/>
              <w:rPr>
                <w:rFonts w:hint="eastAsia" w:eastAsia="宋体"/>
                <w:lang w:val="en-US" w:eastAsia="zh-CN"/>
              </w:rPr>
            </w:pPr>
            <w:r>
              <w:rPr>
                <w:rFonts w:hint="eastAsia"/>
                <w:lang w:val="en-US" w:eastAsia="zh-CN"/>
              </w:rPr>
              <w:t>2</w:t>
            </w:r>
          </w:p>
        </w:tc>
      </w:tr>
      <w:tr w14:paraId="2EC7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3DBC0D5">
            <w:pPr>
              <w:pStyle w:val="14"/>
              <w:jc w:val="both"/>
            </w:pPr>
            <w:r>
              <w:rPr>
                <w:rFonts w:hint="eastAsia"/>
              </w:rPr>
              <w:t>合计</w:t>
            </w:r>
          </w:p>
        </w:tc>
        <w:tc>
          <w:tcPr>
            <w:tcW w:w="725" w:type="dxa"/>
            <w:tcBorders>
              <w:bottom w:val="single" w:color="auto" w:sz="12" w:space="0"/>
            </w:tcBorders>
            <w:vAlign w:val="center"/>
          </w:tcPr>
          <w:p w14:paraId="523E487F">
            <w:pPr>
              <w:ind w:firstLine="210" w:firstLineChars="100"/>
              <w:jc w:val="both"/>
            </w:pPr>
            <w:r>
              <w:rPr>
                <w:rFonts w:hint="eastAsia"/>
              </w:rPr>
              <w:t>24</w:t>
            </w:r>
          </w:p>
        </w:tc>
        <w:tc>
          <w:tcPr>
            <w:tcW w:w="669" w:type="dxa"/>
            <w:tcBorders>
              <w:bottom w:val="single" w:color="auto" w:sz="12" w:space="0"/>
            </w:tcBorders>
            <w:vAlign w:val="center"/>
          </w:tcPr>
          <w:p w14:paraId="100805DE">
            <w:pPr>
              <w:jc w:val="both"/>
            </w:pPr>
            <w:r>
              <w:rPr>
                <w:rFonts w:hint="eastAsia"/>
              </w:rPr>
              <w:t>8</w:t>
            </w:r>
          </w:p>
        </w:tc>
        <w:tc>
          <w:tcPr>
            <w:tcW w:w="717" w:type="dxa"/>
            <w:tcBorders>
              <w:bottom w:val="single" w:color="auto" w:sz="12" w:space="0"/>
              <w:right w:val="single" w:color="auto" w:sz="12" w:space="0"/>
            </w:tcBorders>
            <w:vAlign w:val="center"/>
          </w:tcPr>
          <w:p w14:paraId="7121A917">
            <w:pPr>
              <w:ind w:firstLine="210" w:firstLineChars="100"/>
              <w:jc w:val="both"/>
            </w:pPr>
            <w:r>
              <w:rPr>
                <w:rFonts w:hint="eastAsia"/>
              </w:rPr>
              <w:t>32</w:t>
            </w:r>
          </w:p>
        </w:tc>
      </w:tr>
    </w:tbl>
    <w:p w14:paraId="0E8C8C3F">
      <w:pPr>
        <w:pStyle w:val="18"/>
        <w:spacing w:before="81" w:after="163"/>
        <w:ind w:firstLine="422"/>
        <w:rPr>
          <w:b/>
          <w:bCs w:val="0"/>
        </w:rPr>
      </w:pPr>
      <w:r>
        <w:rPr>
          <w:rFonts w:hint="eastAsia"/>
          <w:b/>
          <w:bCs w:val="0"/>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529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D7138A1">
            <w:pPr>
              <w:pStyle w:val="14"/>
              <w:ind w:firstLine="0" w:firstLineChars="0"/>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DE87CB5">
            <w:pPr>
              <w:pStyle w:val="14"/>
            </w:pPr>
            <w:r>
              <w:rPr>
                <w:rFonts w:hint="eastAsia"/>
              </w:rPr>
              <w:t>实验项目名称</w:t>
            </w:r>
          </w:p>
        </w:tc>
        <w:tc>
          <w:tcPr>
            <w:tcW w:w="4060" w:type="dxa"/>
            <w:tcBorders>
              <w:top w:val="single" w:color="auto" w:sz="12" w:space="0"/>
              <w:left w:val="single" w:color="auto" w:sz="4" w:space="0"/>
              <w:bottom w:val="single" w:color="auto" w:sz="4" w:space="0"/>
              <w:right w:val="single" w:color="auto" w:sz="4" w:space="0"/>
            </w:tcBorders>
            <w:vAlign w:val="center"/>
          </w:tcPr>
          <w:p w14:paraId="60CE62F6">
            <w:pPr>
              <w:pStyle w:val="14"/>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4FE5309">
            <w:pPr>
              <w:pStyle w:val="14"/>
              <w:ind w:firstLine="0" w:firstLineChars="0"/>
            </w:pPr>
            <w:r>
              <w:rPr>
                <w:rFonts w:hint="eastAsia"/>
              </w:rPr>
              <w:t>实验</w:t>
            </w:r>
          </w:p>
          <w:p w14:paraId="69789369">
            <w:pPr>
              <w:pStyle w:val="14"/>
              <w:ind w:firstLine="0" w:firstLineChars="0"/>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2A2F4E2A">
            <w:pPr>
              <w:pStyle w:val="14"/>
              <w:ind w:firstLine="0" w:firstLineChars="0"/>
            </w:pPr>
            <w:r>
              <w:rPr>
                <w:rFonts w:hint="eastAsia"/>
              </w:rPr>
              <w:t>实验</w:t>
            </w:r>
          </w:p>
          <w:p w14:paraId="79BE9586">
            <w:pPr>
              <w:pStyle w:val="14"/>
              <w:ind w:firstLine="0" w:firstLineChars="0"/>
            </w:pPr>
            <w:r>
              <w:rPr>
                <w:rFonts w:hint="eastAsia"/>
              </w:rPr>
              <w:t>类型</w:t>
            </w:r>
          </w:p>
        </w:tc>
      </w:tr>
      <w:tr w14:paraId="6E3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A7C1A4">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8E0723C">
            <w:pPr>
              <w:pStyle w:val="15"/>
              <w:ind w:firstLine="0" w:firstLineChars="0"/>
            </w:pPr>
            <w:r>
              <w:rPr>
                <w:rFonts w:hint="eastAsia"/>
              </w:rPr>
              <w:t>小论文写作实践</w:t>
            </w:r>
          </w:p>
        </w:tc>
        <w:tc>
          <w:tcPr>
            <w:tcW w:w="4060" w:type="dxa"/>
            <w:tcBorders>
              <w:top w:val="single" w:color="auto" w:sz="4" w:space="0"/>
              <w:left w:val="single" w:color="auto" w:sz="4" w:space="0"/>
              <w:bottom w:val="single" w:color="auto" w:sz="4" w:space="0"/>
              <w:right w:val="single" w:color="auto" w:sz="4" w:space="0"/>
            </w:tcBorders>
            <w:vAlign w:val="center"/>
          </w:tcPr>
          <w:p w14:paraId="7BE17550">
            <w:pPr>
              <w:pStyle w:val="15"/>
              <w:spacing w:line="240" w:lineRule="auto"/>
              <w:ind w:firstLine="0" w:firstLineChars="0"/>
            </w:pPr>
            <w:r>
              <w:rPr>
                <w:rFonts w:hint="eastAsia"/>
              </w:rPr>
              <w:t>要求学生结合第十单元跨文化商务谈判的主要内容，深刻理解文化的定义和内容，认识到文化差异对商务谈判的影响非常重要，重点了解中美文化的差异。用英语写出一篇实践论文报告，介绍中美文化的主要差异以及在商务谈判实践中如何克服这些文化差异对商务谈判的影响。</w:t>
            </w:r>
          </w:p>
        </w:tc>
        <w:tc>
          <w:tcPr>
            <w:tcW w:w="862" w:type="dxa"/>
            <w:tcBorders>
              <w:left w:val="single" w:color="auto" w:sz="4" w:space="0"/>
              <w:bottom w:val="single" w:color="auto" w:sz="4" w:space="0"/>
              <w:right w:val="single" w:color="auto" w:sz="4" w:space="0"/>
            </w:tcBorders>
            <w:shd w:val="clear" w:color="auto" w:fill="auto"/>
            <w:vAlign w:val="center"/>
          </w:tcPr>
          <w:p w14:paraId="65887035">
            <w:pPr>
              <w:pStyle w:val="15"/>
            </w:pPr>
            <w:r>
              <w:rPr>
                <w:rFonts w:hint="eastAsia"/>
              </w:rPr>
              <w:t>8</w:t>
            </w:r>
          </w:p>
        </w:tc>
        <w:tc>
          <w:tcPr>
            <w:tcW w:w="950" w:type="dxa"/>
            <w:tcBorders>
              <w:left w:val="single" w:color="auto" w:sz="4" w:space="0"/>
              <w:bottom w:val="single" w:color="auto" w:sz="4" w:space="0"/>
              <w:right w:val="single" w:color="auto" w:sz="12" w:space="0"/>
            </w:tcBorders>
            <w:shd w:val="clear" w:color="auto" w:fill="auto"/>
            <w:vAlign w:val="center"/>
          </w:tcPr>
          <w:p w14:paraId="1C10EB9A">
            <w:pPr>
              <w:pStyle w:val="15"/>
            </w:pPr>
            <w:r>
              <w:rPr>
                <w:rFonts w:hint="eastAsia"/>
              </w:rPr>
              <w:t>④</w:t>
            </w:r>
          </w:p>
        </w:tc>
      </w:tr>
      <w:tr w14:paraId="31AC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58344BF4">
            <w:pPr>
              <w:pStyle w:val="14"/>
            </w:pPr>
            <w:r>
              <w:rPr>
                <w:rFonts w:hint="eastAsia"/>
              </w:rPr>
              <w:t>实验类型：①演示型 ②验证型 ③设计型 ④综合型</w:t>
            </w:r>
          </w:p>
        </w:tc>
      </w:tr>
    </w:tbl>
    <w:p w14:paraId="095FBC21">
      <w:pPr>
        <w:pStyle w:val="17"/>
        <w:ind w:firstLine="560"/>
      </w:pPr>
      <w:bookmarkStart w:id="2" w:name="OLE_LINK1"/>
      <w:bookmarkStart w:id="3" w:name="OLE_LINK2"/>
      <w:r>
        <w:rPr>
          <w:rFonts w:hint="eastAsia"/>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54E6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F4C843A">
            <w:pPr>
              <w:pStyle w:val="15"/>
              <w:spacing w:line="240" w:lineRule="auto"/>
              <w:ind w:firstLine="0" w:firstLineChars="0"/>
              <w:jc w:val="left"/>
              <w:rPr>
                <w:bCs w:val="0"/>
              </w:rPr>
            </w:pPr>
            <w:r>
              <w:rPr>
                <w:rFonts w:hint="eastAsia"/>
                <w:bCs w:val="0"/>
              </w:rPr>
              <w:t>本科程思政建设以课堂教学为抓手，在传授知识的同时，进行价值引领，课堂授课加强核心价值观教育引领作用，在教育中根植理想信念，在知识传授中强调价值观的同频共振，最终实现课堂育人，立德树人。</w:t>
            </w:r>
          </w:p>
          <w:p w14:paraId="020C16F4">
            <w:pPr>
              <w:pStyle w:val="15"/>
              <w:spacing w:line="240" w:lineRule="auto"/>
              <w:ind w:firstLine="0" w:firstLineChars="0"/>
              <w:jc w:val="left"/>
            </w:pPr>
            <w:r>
              <w:rPr>
                <w:rFonts w:hint="eastAsia"/>
              </w:rPr>
              <w:t>本课程思政将显性的商务</w:t>
            </w:r>
            <w:r>
              <w:rPr>
                <w:rFonts w:hint="eastAsia"/>
                <w:lang w:val="en-US" w:eastAsia="zh-CN"/>
              </w:rPr>
              <w:t>谈判</w:t>
            </w:r>
            <w:r>
              <w:rPr>
                <w:rFonts w:hint="eastAsia"/>
              </w:rPr>
              <w:t>领域知识点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tc>
      </w:tr>
    </w:tbl>
    <w:p w14:paraId="55272299">
      <w:pPr>
        <w:pStyle w:val="17"/>
        <w:numPr>
          <w:ilvl w:val="0"/>
          <w:numId w:val="6"/>
        </w:numPr>
        <w:ind w:firstLine="560" w:firstLineChars="0"/>
      </w:pPr>
      <w:r>
        <w:rPr>
          <w:rFonts w:hint="eastAsia"/>
        </w:rPr>
        <w:t>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38"/>
        <w:gridCol w:w="1950"/>
        <w:gridCol w:w="705"/>
        <w:gridCol w:w="705"/>
        <w:gridCol w:w="705"/>
        <w:gridCol w:w="687"/>
        <w:gridCol w:w="687"/>
        <w:gridCol w:w="660"/>
        <w:gridCol w:w="689"/>
      </w:tblGrid>
      <w:tr w14:paraId="7529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3E0A7FC5">
            <w:pPr>
              <w:ind w:firstLine="0" w:firstLineChars="0"/>
              <w:jc w:val="both"/>
              <w:rPr>
                <w:b/>
              </w:rPr>
            </w:pPr>
            <w:r>
              <w:rPr>
                <w:rFonts w:hint="eastAsia"/>
                <w:b/>
              </w:rPr>
              <w:t>总评构 成</w:t>
            </w:r>
          </w:p>
        </w:tc>
        <w:tc>
          <w:tcPr>
            <w:tcW w:w="938" w:type="dxa"/>
            <w:vMerge w:val="restart"/>
            <w:tcBorders>
              <w:top w:val="single" w:color="auto" w:sz="12" w:space="0"/>
            </w:tcBorders>
            <w:vAlign w:val="center"/>
          </w:tcPr>
          <w:p w14:paraId="14D77670">
            <w:pPr>
              <w:pStyle w:val="17"/>
              <w:ind w:firstLine="0" w:firstLineChars="0"/>
              <w:jc w:val="both"/>
              <w:rPr>
                <w:rFonts w:hAnsi="宋体"/>
                <w:sz w:val="21"/>
              </w:rPr>
            </w:pPr>
            <w:r>
              <w:rPr>
                <w:rFonts w:hint="eastAsia"/>
                <w:sz w:val="21"/>
              </w:rPr>
              <w:t>占比</w:t>
            </w:r>
          </w:p>
        </w:tc>
        <w:tc>
          <w:tcPr>
            <w:tcW w:w="1950" w:type="dxa"/>
            <w:vMerge w:val="restart"/>
            <w:tcBorders>
              <w:top w:val="single" w:color="auto" w:sz="12" w:space="0"/>
              <w:right w:val="double" w:color="auto" w:sz="4" w:space="0"/>
            </w:tcBorders>
            <w:vAlign w:val="center"/>
          </w:tcPr>
          <w:p w14:paraId="4E7BF559">
            <w:pPr>
              <w:pStyle w:val="17"/>
              <w:jc w:val="both"/>
              <w:rPr>
                <w:sz w:val="21"/>
              </w:rPr>
            </w:pPr>
            <w:r>
              <w:rPr>
                <w:rFonts w:hint="eastAsia"/>
                <w:sz w:val="21"/>
              </w:rPr>
              <w:t>考核方式</w:t>
            </w:r>
          </w:p>
        </w:tc>
        <w:tc>
          <w:tcPr>
            <w:tcW w:w="3489" w:type="dxa"/>
            <w:gridSpan w:val="5"/>
            <w:tcBorders>
              <w:top w:val="single" w:color="auto" w:sz="12" w:space="0"/>
              <w:left w:val="double" w:color="auto" w:sz="4" w:space="0"/>
            </w:tcBorders>
            <w:vAlign w:val="center"/>
          </w:tcPr>
          <w:p w14:paraId="3D113FA6">
            <w:pPr>
              <w:pStyle w:val="17"/>
              <w:jc w:val="both"/>
              <w:rPr>
                <w:rFonts w:hAnsi="宋体"/>
                <w:sz w:val="21"/>
              </w:rPr>
            </w:pPr>
            <w:r>
              <w:rPr>
                <w:rFonts w:hint="eastAsia"/>
                <w:sz w:val="21"/>
              </w:rPr>
              <w:t>课程目标</w:t>
            </w:r>
          </w:p>
        </w:tc>
        <w:tc>
          <w:tcPr>
            <w:tcW w:w="660" w:type="dxa"/>
            <w:tcBorders>
              <w:top w:val="single" w:color="auto" w:sz="12" w:space="0"/>
            </w:tcBorders>
          </w:tcPr>
          <w:p w14:paraId="234CFA5F">
            <w:pPr>
              <w:pStyle w:val="17"/>
              <w:ind w:firstLine="0" w:firstLineChars="0"/>
              <w:jc w:val="both"/>
              <w:rPr>
                <w:sz w:val="21"/>
              </w:rPr>
            </w:pPr>
          </w:p>
        </w:tc>
        <w:tc>
          <w:tcPr>
            <w:tcW w:w="689" w:type="dxa"/>
            <w:vMerge w:val="restart"/>
            <w:tcBorders>
              <w:top w:val="single" w:color="auto" w:sz="12" w:space="0"/>
              <w:right w:val="single" w:color="auto" w:sz="12" w:space="0"/>
            </w:tcBorders>
            <w:vAlign w:val="center"/>
          </w:tcPr>
          <w:p w14:paraId="630B51C3">
            <w:pPr>
              <w:pStyle w:val="17"/>
              <w:ind w:firstLine="0" w:firstLineChars="0"/>
              <w:jc w:val="both"/>
              <w:rPr>
                <w:sz w:val="21"/>
              </w:rPr>
            </w:pPr>
            <w:r>
              <w:rPr>
                <w:rFonts w:hint="eastAsia"/>
                <w:sz w:val="21"/>
              </w:rPr>
              <w:t>合计</w:t>
            </w:r>
          </w:p>
        </w:tc>
      </w:tr>
      <w:tr w14:paraId="62B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96" w:type="dxa"/>
            <w:vMerge w:val="continue"/>
            <w:tcBorders>
              <w:left w:val="single" w:color="auto" w:sz="12" w:space="0"/>
            </w:tcBorders>
          </w:tcPr>
          <w:p w14:paraId="4563FAEE">
            <w:pPr>
              <w:jc w:val="both"/>
            </w:pPr>
          </w:p>
        </w:tc>
        <w:tc>
          <w:tcPr>
            <w:tcW w:w="938" w:type="dxa"/>
            <w:vMerge w:val="continue"/>
          </w:tcPr>
          <w:p w14:paraId="6745F95A">
            <w:pPr>
              <w:pStyle w:val="17"/>
              <w:ind w:firstLine="560"/>
              <w:jc w:val="both"/>
            </w:pPr>
          </w:p>
        </w:tc>
        <w:tc>
          <w:tcPr>
            <w:tcW w:w="1950" w:type="dxa"/>
            <w:vMerge w:val="continue"/>
            <w:tcBorders>
              <w:right w:val="double" w:color="auto" w:sz="4" w:space="0"/>
            </w:tcBorders>
          </w:tcPr>
          <w:p w14:paraId="33F4BAE8">
            <w:pPr>
              <w:pStyle w:val="17"/>
              <w:ind w:firstLine="560"/>
              <w:jc w:val="both"/>
            </w:pPr>
          </w:p>
        </w:tc>
        <w:tc>
          <w:tcPr>
            <w:tcW w:w="705" w:type="dxa"/>
            <w:tcBorders>
              <w:left w:val="double" w:color="auto" w:sz="4" w:space="0"/>
            </w:tcBorders>
            <w:vAlign w:val="center"/>
          </w:tcPr>
          <w:p w14:paraId="28F5C002">
            <w:pPr>
              <w:pStyle w:val="17"/>
              <w:ind w:firstLine="0" w:firstLineChars="0"/>
              <w:jc w:val="both"/>
              <w:rPr>
                <w:b/>
                <w:bCs w:val="0"/>
                <w:sz w:val="21"/>
                <w:szCs w:val="21"/>
              </w:rPr>
            </w:pPr>
            <w:r>
              <w:rPr>
                <w:rFonts w:hint="eastAsia"/>
                <w:b/>
                <w:bCs w:val="0"/>
                <w:sz w:val="21"/>
                <w:szCs w:val="21"/>
              </w:rPr>
              <w:t>1</w:t>
            </w:r>
          </w:p>
        </w:tc>
        <w:tc>
          <w:tcPr>
            <w:tcW w:w="705" w:type="dxa"/>
            <w:tcBorders>
              <w:left w:val="double" w:color="auto" w:sz="4" w:space="0"/>
            </w:tcBorders>
            <w:vAlign w:val="center"/>
          </w:tcPr>
          <w:p w14:paraId="3F660B41">
            <w:pPr>
              <w:pStyle w:val="17"/>
              <w:ind w:firstLine="0" w:firstLineChars="0"/>
              <w:jc w:val="both"/>
              <w:rPr>
                <w:b/>
                <w:bCs w:val="0"/>
                <w:sz w:val="21"/>
                <w:szCs w:val="21"/>
              </w:rPr>
            </w:pPr>
            <w:r>
              <w:rPr>
                <w:rFonts w:hint="eastAsia"/>
                <w:b/>
                <w:bCs w:val="0"/>
                <w:sz w:val="21"/>
                <w:szCs w:val="21"/>
              </w:rPr>
              <w:t>2</w:t>
            </w:r>
          </w:p>
        </w:tc>
        <w:tc>
          <w:tcPr>
            <w:tcW w:w="705" w:type="dxa"/>
            <w:tcBorders>
              <w:left w:val="double" w:color="auto" w:sz="4" w:space="0"/>
            </w:tcBorders>
            <w:vAlign w:val="center"/>
          </w:tcPr>
          <w:p w14:paraId="1E86DE1E">
            <w:pPr>
              <w:pStyle w:val="17"/>
              <w:ind w:firstLine="0" w:firstLineChars="0"/>
              <w:jc w:val="both"/>
              <w:rPr>
                <w:b/>
                <w:bCs w:val="0"/>
                <w:sz w:val="21"/>
                <w:szCs w:val="21"/>
              </w:rPr>
            </w:pPr>
            <w:r>
              <w:rPr>
                <w:rFonts w:hint="eastAsia"/>
                <w:b/>
                <w:bCs w:val="0"/>
                <w:sz w:val="21"/>
                <w:szCs w:val="21"/>
              </w:rPr>
              <w:t>3</w:t>
            </w:r>
          </w:p>
        </w:tc>
        <w:tc>
          <w:tcPr>
            <w:tcW w:w="687" w:type="dxa"/>
            <w:tcBorders>
              <w:left w:val="double" w:color="auto" w:sz="4" w:space="0"/>
            </w:tcBorders>
            <w:vAlign w:val="center"/>
          </w:tcPr>
          <w:p w14:paraId="31B9A17B">
            <w:pPr>
              <w:pStyle w:val="17"/>
              <w:ind w:firstLine="0" w:firstLineChars="0"/>
              <w:jc w:val="both"/>
              <w:rPr>
                <w:b/>
                <w:bCs w:val="0"/>
                <w:sz w:val="21"/>
                <w:szCs w:val="21"/>
              </w:rPr>
            </w:pPr>
            <w:r>
              <w:rPr>
                <w:rFonts w:hint="eastAsia"/>
                <w:b/>
                <w:bCs w:val="0"/>
                <w:sz w:val="21"/>
                <w:szCs w:val="21"/>
              </w:rPr>
              <w:t>4</w:t>
            </w:r>
          </w:p>
        </w:tc>
        <w:tc>
          <w:tcPr>
            <w:tcW w:w="687" w:type="dxa"/>
            <w:tcBorders>
              <w:left w:val="double" w:color="auto" w:sz="4" w:space="0"/>
            </w:tcBorders>
            <w:vAlign w:val="center"/>
          </w:tcPr>
          <w:p w14:paraId="0A18E9A9">
            <w:pPr>
              <w:pStyle w:val="17"/>
              <w:ind w:firstLine="0" w:firstLineChars="0"/>
              <w:jc w:val="both"/>
              <w:rPr>
                <w:b/>
                <w:bCs w:val="0"/>
                <w:sz w:val="21"/>
                <w:szCs w:val="21"/>
              </w:rPr>
            </w:pPr>
            <w:r>
              <w:rPr>
                <w:rFonts w:hint="eastAsia"/>
                <w:b/>
                <w:bCs w:val="0"/>
                <w:sz w:val="21"/>
                <w:szCs w:val="21"/>
              </w:rPr>
              <w:t>5</w:t>
            </w:r>
          </w:p>
        </w:tc>
        <w:tc>
          <w:tcPr>
            <w:tcW w:w="660" w:type="dxa"/>
          </w:tcPr>
          <w:p w14:paraId="28E38C8B">
            <w:pPr>
              <w:pStyle w:val="17"/>
              <w:ind w:firstLine="0" w:firstLineChars="0"/>
              <w:jc w:val="both"/>
              <w:rPr>
                <w:b/>
                <w:bCs w:val="0"/>
                <w:sz w:val="21"/>
                <w:szCs w:val="21"/>
              </w:rPr>
            </w:pPr>
            <w:r>
              <w:rPr>
                <w:rFonts w:hint="eastAsia"/>
                <w:b/>
                <w:bCs w:val="0"/>
                <w:sz w:val="21"/>
                <w:szCs w:val="21"/>
              </w:rPr>
              <w:t>6</w:t>
            </w:r>
          </w:p>
        </w:tc>
        <w:tc>
          <w:tcPr>
            <w:tcW w:w="689" w:type="dxa"/>
            <w:vMerge w:val="continue"/>
            <w:tcBorders>
              <w:right w:val="single" w:color="auto" w:sz="12" w:space="0"/>
            </w:tcBorders>
          </w:tcPr>
          <w:p w14:paraId="1B38FEDB">
            <w:pPr>
              <w:pStyle w:val="17"/>
              <w:ind w:firstLine="560"/>
              <w:jc w:val="both"/>
            </w:pPr>
          </w:p>
        </w:tc>
      </w:tr>
      <w:tr w14:paraId="592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6" w:type="dxa"/>
            <w:tcBorders>
              <w:left w:val="single" w:color="auto" w:sz="12" w:space="0"/>
            </w:tcBorders>
            <w:vAlign w:val="center"/>
          </w:tcPr>
          <w:p w14:paraId="319205F1">
            <w:pPr>
              <w:ind w:firstLine="0" w:firstLineChars="0"/>
              <w:jc w:val="both"/>
            </w:pPr>
            <w:r>
              <w:t>X1</w:t>
            </w:r>
          </w:p>
        </w:tc>
        <w:tc>
          <w:tcPr>
            <w:tcW w:w="938" w:type="dxa"/>
            <w:vAlign w:val="center"/>
          </w:tcPr>
          <w:p w14:paraId="7E6B4F0F">
            <w:pPr>
              <w:pStyle w:val="15"/>
              <w:ind w:firstLine="0" w:firstLineChars="0"/>
              <w:jc w:val="both"/>
            </w:pPr>
            <w:r>
              <w:rPr>
                <w:rFonts w:hint="eastAsia"/>
              </w:rPr>
              <w:t>10</w:t>
            </w:r>
            <w:r>
              <w:t>%</w:t>
            </w:r>
          </w:p>
        </w:tc>
        <w:tc>
          <w:tcPr>
            <w:tcW w:w="1950" w:type="dxa"/>
            <w:tcBorders>
              <w:right w:val="double" w:color="auto" w:sz="4" w:space="0"/>
            </w:tcBorders>
            <w:vAlign w:val="center"/>
          </w:tcPr>
          <w:p w14:paraId="0E718200">
            <w:pPr>
              <w:pStyle w:val="15"/>
              <w:jc w:val="both"/>
            </w:pPr>
            <w:r>
              <w:rPr>
                <w:rFonts w:hint="eastAsia"/>
                <w:lang w:val="en-US" w:eastAsia="zh-CN"/>
              </w:rPr>
              <w:t>阶段性</w:t>
            </w:r>
            <w:r>
              <w:rPr>
                <w:rFonts w:hint="eastAsia"/>
              </w:rPr>
              <w:t>测试</w:t>
            </w:r>
          </w:p>
        </w:tc>
        <w:tc>
          <w:tcPr>
            <w:tcW w:w="705" w:type="dxa"/>
            <w:tcBorders>
              <w:left w:val="double" w:color="auto" w:sz="4" w:space="0"/>
            </w:tcBorders>
            <w:vAlign w:val="center"/>
          </w:tcPr>
          <w:p w14:paraId="6423E544">
            <w:pPr>
              <w:pStyle w:val="15"/>
              <w:ind w:firstLine="0" w:firstLineChars="0"/>
              <w:jc w:val="both"/>
            </w:pPr>
            <w:r>
              <w:t>40</w:t>
            </w:r>
          </w:p>
        </w:tc>
        <w:tc>
          <w:tcPr>
            <w:tcW w:w="705" w:type="dxa"/>
            <w:tcBorders>
              <w:left w:val="double" w:color="auto" w:sz="4" w:space="0"/>
            </w:tcBorders>
            <w:vAlign w:val="center"/>
          </w:tcPr>
          <w:p w14:paraId="70B421D6">
            <w:pPr>
              <w:pStyle w:val="15"/>
              <w:ind w:firstLine="0" w:firstLineChars="0"/>
              <w:jc w:val="both"/>
            </w:pPr>
            <w:r>
              <w:t>20</w:t>
            </w:r>
          </w:p>
        </w:tc>
        <w:tc>
          <w:tcPr>
            <w:tcW w:w="705" w:type="dxa"/>
            <w:tcBorders>
              <w:left w:val="double" w:color="auto" w:sz="4" w:space="0"/>
            </w:tcBorders>
            <w:vAlign w:val="center"/>
          </w:tcPr>
          <w:p w14:paraId="5A582F71">
            <w:pPr>
              <w:pStyle w:val="15"/>
              <w:ind w:firstLine="0" w:firstLineChars="0"/>
              <w:jc w:val="both"/>
            </w:pPr>
            <w:r>
              <w:t>20</w:t>
            </w:r>
          </w:p>
        </w:tc>
        <w:tc>
          <w:tcPr>
            <w:tcW w:w="687" w:type="dxa"/>
            <w:tcBorders>
              <w:left w:val="double" w:color="auto" w:sz="4" w:space="0"/>
            </w:tcBorders>
            <w:vAlign w:val="center"/>
          </w:tcPr>
          <w:p w14:paraId="70CA4B51">
            <w:pPr>
              <w:pStyle w:val="15"/>
              <w:ind w:firstLine="0" w:firstLineChars="0"/>
              <w:jc w:val="both"/>
            </w:pPr>
            <w:r>
              <w:t>10</w:t>
            </w:r>
          </w:p>
        </w:tc>
        <w:tc>
          <w:tcPr>
            <w:tcW w:w="687" w:type="dxa"/>
            <w:tcBorders>
              <w:left w:val="double" w:color="auto" w:sz="4" w:space="0"/>
            </w:tcBorders>
            <w:vAlign w:val="center"/>
          </w:tcPr>
          <w:p w14:paraId="36AA6CBA">
            <w:pPr>
              <w:pStyle w:val="15"/>
              <w:ind w:firstLine="0" w:firstLineChars="0"/>
              <w:jc w:val="both"/>
            </w:pPr>
            <w:r>
              <w:t>10</w:t>
            </w:r>
          </w:p>
        </w:tc>
        <w:tc>
          <w:tcPr>
            <w:tcW w:w="660" w:type="dxa"/>
          </w:tcPr>
          <w:p w14:paraId="5739B0D6">
            <w:pPr>
              <w:pStyle w:val="15"/>
              <w:ind w:firstLine="0" w:firstLineChars="0"/>
              <w:jc w:val="both"/>
            </w:pPr>
          </w:p>
          <w:p w14:paraId="72AE9853">
            <w:pPr>
              <w:pStyle w:val="15"/>
              <w:ind w:firstLine="0" w:firstLineChars="0"/>
              <w:jc w:val="both"/>
            </w:pPr>
          </w:p>
        </w:tc>
        <w:tc>
          <w:tcPr>
            <w:tcW w:w="689" w:type="dxa"/>
            <w:tcBorders>
              <w:right w:val="single" w:color="auto" w:sz="12" w:space="0"/>
            </w:tcBorders>
            <w:vAlign w:val="center"/>
          </w:tcPr>
          <w:p w14:paraId="3255AA7F">
            <w:pPr>
              <w:pStyle w:val="15"/>
              <w:ind w:firstLine="0" w:firstLineChars="0"/>
              <w:jc w:val="both"/>
            </w:pPr>
            <w:r>
              <w:rPr>
                <w:rFonts w:hint="eastAsia"/>
              </w:rPr>
              <w:t>1</w:t>
            </w:r>
            <w:r>
              <w:t>00</w:t>
            </w:r>
          </w:p>
        </w:tc>
      </w:tr>
      <w:tr w14:paraId="288F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4640CDAE">
            <w:pPr>
              <w:ind w:firstLine="0" w:firstLineChars="0"/>
              <w:jc w:val="both"/>
            </w:pPr>
            <w:r>
              <w:t>X2</w:t>
            </w:r>
          </w:p>
        </w:tc>
        <w:tc>
          <w:tcPr>
            <w:tcW w:w="938" w:type="dxa"/>
            <w:vAlign w:val="center"/>
          </w:tcPr>
          <w:p w14:paraId="12304CF3">
            <w:pPr>
              <w:pStyle w:val="15"/>
              <w:ind w:firstLine="0" w:firstLineChars="0"/>
              <w:jc w:val="both"/>
            </w:pPr>
            <w:r>
              <w:rPr>
                <w:rFonts w:hint="eastAsia"/>
              </w:rPr>
              <w:t>20</w:t>
            </w:r>
            <w:r>
              <w:t>%</w:t>
            </w:r>
          </w:p>
        </w:tc>
        <w:tc>
          <w:tcPr>
            <w:tcW w:w="1950" w:type="dxa"/>
            <w:tcBorders>
              <w:right w:val="double" w:color="auto" w:sz="4" w:space="0"/>
            </w:tcBorders>
            <w:vAlign w:val="center"/>
          </w:tcPr>
          <w:p w14:paraId="1617F78C">
            <w:pPr>
              <w:pStyle w:val="15"/>
              <w:jc w:val="both"/>
            </w:pPr>
            <w:r>
              <w:rPr>
                <w:rFonts w:hint="eastAsia"/>
              </w:rPr>
              <w:t>项目报告</w:t>
            </w:r>
          </w:p>
        </w:tc>
        <w:tc>
          <w:tcPr>
            <w:tcW w:w="705" w:type="dxa"/>
            <w:tcBorders>
              <w:left w:val="double" w:color="auto" w:sz="4" w:space="0"/>
            </w:tcBorders>
            <w:vAlign w:val="center"/>
          </w:tcPr>
          <w:p w14:paraId="232F6CB9">
            <w:pPr>
              <w:pStyle w:val="15"/>
              <w:ind w:firstLine="0" w:firstLineChars="0"/>
              <w:jc w:val="both"/>
            </w:pPr>
            <w:r>
              <w:t>40</w:t>
            </w:r>
          </w:p>
        </w:tc>
        <w:tc>
          <w:tcPr>
            <w:tcW w:w="705" w:type="dxa"/>
            <w:tcBorders>
              <w:left w:val="double" w:color="auto" w:sz="4" w:space="0"/>
            </w:tcBorders>
            <w:vAlign w:val="center"/>
          </w:tcPr>
          <w:p w14:paraId="1B25CD6C">
            <w:pPr>
              <w:pStyle w:val="15"/>
              <w:ind w:firstLine="0" w:firstLineChars="0"/>
              <w:jc w:val="both"/>
            </w:pPr>
            <w:r>
              <w:t>20</w:t>
            </w:r>
          </w:p>
        </w:tc>
        <w:tc>
          <w:tcPr>
            <w:tcW w:w="705" w:type="dxa"/>
            <w:tcBorders>
              <w:left w:val="double" w:color="auto" w:sz="4" w:space="0"/>
            </w:tcBorders>
            <w:vAlign w:val="center"/>
          </w:tcPr>
          <w:p w14:paraId="1B1B7C44">
            <w:pPr>
              <w:pStyle w:val="15"/>
              <w:ind w:firstLine="0" w:firstLineChars="0"/>
              <w:jc w:val="both"/>
            </w:pPr>
            <w:r>
              <w:rPr>
                <w:rFonts w:hint="eastAsia"/>
              </w:rPr>
              <w:t>10</w:t>
            </w:r>
          </w:p>
        </w:tc>
        <w:tc>
          <w:tcPr>
            <w:tcW w:w="687" w:type="dxa"/>
            <w:tcBorders>
              <w:left w:val="double" w:color="auto" w:sz="4" w:space="0"/>
            </w:tcBorders>
            <w:vAlign w:val="center"/>
          </w:tcPr>
          <w:p w14:paraId="7129D99C">
            <w:pPr>
              <w:pStyle w:val="15"/>
              <w:ind w:firstLine="0" w:firstLineChars="0"/>
              <w:jc w:val="both"/>
            </w:pPr>
            <w:r>
              <w:t>10</w:t>
            </w:r>
          </w:p>
        </w:tc>
        <w:tc>
          <w:tcPr>
            <w:tcW w:w="687" w:type="dxa"/>
            <w:tcBorders>
              <w:left w:val="double" w:color="auto" w:sz="4" w:space="0"/>
            </w:tcBorders>
            <w:vAlign w:val="center"/>
          </w:tcPr>
          <w:p w14:paraId="31170364">
            <w:pPr>
              <w:pStyle w:val="15"/>
              <w:ind w:firstLine="0" w:firstLineChars="0"/>
              <w:jc w:val="both"/>
            </w:pPr>
            <w:r>
              <w:t>10</w:t>
            </w:r>
          </w:p>
        </w:tc>
        <w:tc>
          <w:tcPr>
            <w:tcW w:w="660" w:type="dxa"/>
          </w:tcPr>
          <w:p w14:paraId="7DE9C43F">
            <w:pPr>
              <w:pStyle w:val="15"/>
              <w:ind w:firstLine="0" w:firstLineChars="0"/>
              <w:jc w:val="both"/>
            </w:pPr>
            <w:r>
              <w:rPr>
                <w:rFonts w:hint="eastAsia"/>
              </w:rPr>
              <w:t>10</w:t>
            </w:r>
          </w:p>
          <w:p w14:paraId="030BD73A">
            <w:pPr>
              <w:pStyle w:val="15"/>
              <w:ind w:firstLine="0" w:firstLineChars="0"/>
              <w:jc w:val="both"/>
            </w:pPr>
          </w:p>
        </w:tc>
        <w:tc>
          <w:tcPr>
            <w:tcW w:w="689" w:type="dxa"/>
            <w:tcBorders>
              <w:right w:val="single" w:color="auto" w:sz="12" w:space="0"/>
            </w:tcBorders>
            <w:vAlign w:val="center"/>
          </w:tcPr>
          <w:p w14:paraId="577A8791">
            <w:pPr>
              <w:pStyle w:val="15"/>
              <w:ind w:firstLine="0" w:firstLineChars="0"/>
              <w:jc w:val="both"/>
            </w:pPr>
            <w:r>
              <w:rPr>
                <w:rFonts w:hint="eastAsia"/>
              </w:rPr>
              <w:t>1</w:t>
            </w:r>
            <w:r>
              <w:t>00</w:t>
            </w:r>
          </w:p>
        </w:tc>
      </w:tr>
      <w:tr w14:paraId="502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6" w:type="dxa"/>
            <w:tcBorders>
              <w:left w:val="single" w:color="auto" w:sz="12" w:space="0"/>
            </w:tcBorders>
            <w:vAlign w:val="center"/>
          </w:tcPr>
          <w:p w14:paraId="3446A60E">
            <w:pPr>
              <w:ind w:firstLine="0" w:firstLineChars="0"/>
              <w:jc w:val="both"/>
            </w:pPr>
            <w:r>
              <w:t>X3</w:t>
            </w:r>
          </w:p>
        </w:tc>
        <w:tc>
          <w:tcPr>
            <w:tcW w:w="938" w:type="dxa"/>
            <w:vAlign w:val="center"/>
          </w:tcPr>
          <w:p w14:paraId="785E0DFA">
            <w:pPr>
              <w:pStyle w:val="15"/>
              <w:ind w:firstLine="0" w:firstLineChars="0"/>
              <w:jc w:val="both"/>
            </w:pPr>
            <w:r>
              <w:rPr>
                <w:rFonts w:hint="eastAsia"/>
              </w:rPr>
              <w:t>20%</w:t>
            </w:r>
          </w:p>
        </w:tc>
        <w:tc>
          <w:tcPr>
            <w:tcW w:w="1950" w:type="dxa"/>
            <w:tcBorders>
              <w:right w:val="double" w:color="auto" w:sz="4" w:space="0"/>
            </w:tcBorders>
            <w:vAlign w:val="center"/>
          </w:tcPr>
          <w:p w14:paraId="0346FFAF">
            <w:pPr>
              <w:pStyle w:val="15"/>
              <w:jc w:val="both"/>
            </w:pPr>
            <w:r>
              <w:rPr>
                <w:rFonts w:hint="eastAsia"/>
              </w:rPr>
              <w:t>实践报告</w:t>
            </w:r>
          </w:p>
        </w:tc>
        <w:tc>
          <w:tcPr>
            <w:tcW w:w="705" w:type="dxa"/>
            <w:tcBorders>
              <w:left w:val="double" w:color="auto" w:sz="4" w:space="0"/>
            </w:tcBorders>
            <w:vAlign w:val="center"/>
          </w:tcPr>
          <w:p w14:paraId="7358490F">
            <w:pPr>
              <w:pStyle w:val="15"/>
              <w:ind w:firstLine="0" w:firstLineChars="0"/>
              <w:jc w:val="both"/>
            </w:pPr>
            <w:r>
              <w:t>40</w:t>
            </w:r>
          </w:p>
        </w:tc>
        <w:tc>
          <w:tcPr>
            <w:tcW w:w="705" w:type="dxa"/>
            <w:tcBorders>
              <w:left w:val="double" w:color="auto" w:sz="4" w:space="0"/>
            </w:tcBorders>
            <w:vAlign w:val="center"/>
          </w:tcPr>
          <w:p w14:paraId="221B6C30">
            <w:pPr>
              <w:pStyle w:val="15"/>
              <w:ind w:firstLine="0" w:firstLineChars="0"/>
              <w:jc w:val="both"/>
            </w:pPr>
            <w:r>
              <w:t>20</w:t>
            </w:r>
          </w:p>
        </w:tc>
        <w:tc>
          <w:tcPr>
            <w:tcW w:w="705" w:type="dxa"/>
            <w:tcBorders>
              <w:left w:val="double" w:color="auto" w:sz="4" w:space="0"/>
            </w:tcBorders>
            <w:vAlign w:val="center"/>
          </w:tcPr>
          <w:p w14:paraId="3506740B">
            <w:pPr>
              <w:pStyle w:val="15"/>
              <w:ind w:firstLine="0" w:firstLineChars="0"/>
              <w:jc w:val="both"/>
            </w:pPr>
            <w:r>
              <w:t>20</w:t>
            </w:r>
          </w:p>
        </w:tc>
        <w:tc>
          <w:tcPr>
            <w:tcW w:w="687" w:type="dxa"/>
            <w:tcBorders>
              <w:left w:val="double" w:color="auto" w:sz="4" w:space="0"/>
            </w:tcBorders>
            <w:vAlign w:val="center"/>
          </w:tcPr>
          <w:p w14:paraId="60246F3E">
            <w:pPr>
              <w:pStyle w:val="15"/>
              <w:ind w:firstLine="0" w:firstLineChars="0"/>
              <w:jc w:val="both"/>
            </w:pPr>
            <w:r>
              <w:t>10</w:t>
            </w:r>
          </w:p>
        </w:tc>
        <w:tc>
          <w:tcPr>
            <w:tcW w:w="687" w:type="dxa"/>
            <w:tcBorders>
              <w:left w:val="double" w:color="auto" w:sz="4" w:space="0"/>
            </w:tcBorders>
            <w:vAlign w:val="center"/>
          </w:tcPr>
          <w:p w14:paraId="771DC8F7">
            <w:pPr>
              <w:pStyle w:val="15"/>
              <w:ind w:firstLine="0" w:firstLineChars="0"/>
              <w:jc w:val="both"/>
            </w:pPr>
            <w:r>
              <w:t>10</w:t>
            </w:r>
          </w:p>
        </w:tc>
        <w:tc>
          <w:tcPr>
            <w:tcW w:w="660" w:type="dxa"/>
          </w:tcPr>
          <w:p w14:paraId="76D7F794">
            <w:pPr>
              <w:pStyle w:val="15"/>
              <w:ind w:firstLine="0" w:firstLineChars="0"/>
              <w:jc w:val="both"/>
            </w:pPr>
          </w:p>
          <w:p w14:paraId="360F972F">
            <w:pPr>
              <w:pStyle w:val="15"/>
              <w:ind w:firstLine="0" w:firstLineChars="0"/>
              <w:jc w:val="both"/>
            </w:pPr>
          </w:p>
        </w:tc>
        <w:tc>
          <w:tcPr>
            <w:tcW w:w="689" w:type="dxa"/>
            <w:tcBorders>
              <w:right w:val="single" w:color="auto" w:sz="12" w:space="0"/>
            </w:tcBorders>
            <w:vAlign w:val="center"/>
          </w:tcPr>
          <w:p w14:paraId="2BE84376">
            <w:pPr>
              <w:pStyle w:val="15"/>
              <w:ind w:firstLine="0" w:firstLineChars="0"/>
              <w:jc w:val="both"/>
            </w:pPr>
            <w:r>
              <w:rPr>
                <w:rFonts w:hint="eastAsia"/>
              </w:rPr>
              <w:t>1</w:t>
            </w:r>
            <w:r>
              <w:t>00</w:t>
            </w:r>
          </w:p>
        </w:tc>
      </w:tr>
      <w:tr w14:paraId="1D51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6" w:type="dxa"/>
            <w:tcBorders>
              <w:left w:val="single" w:color="auto" w:sz="12" w:space="0"/>
            </w:tcBorders>
            <w:shd w:val="clear" w:color="auto" w:fill="auto"/>
            <w:vAlign w:val="center"/>
          </w:tcPr>
          <w:p w14:paraId="2D279131">
            <w:pPr>
              <w:ind w:firstLine="0" w:firstLineChars="0"/>
              <w:jc w:val="both"/>
              <w:rPr>
                <w:rFonts w:hint="eastAsia" w:ascii="宋体" w:hAnsi="宋体" w:eastAsia="宋体" w:cs="宋体"/>
                <w:bCs/>
                <w:sz w:val="21"/>
                <w:szCs w:val="21"/>
                <w:lang w:val="en-US" w:eastAsia="zh-CN" w:bidi="ar-SA"/>
              </w:rPr>
            </w:pPr>
            <w:r>
              <w:rPr>
                <w:rFonts w:hint="eastAsia"/>
                <w:lang w:val="en-US" w:eastAsia="zh-CN"/>
              </w:rPr>
              <w:t>X4</w:t>
            </w:r>
          </w:p>
        </w:tc>
        <w:tc>
          <w:tcPr>
            <w:tcW w:w="938" w:type="dxa"/>
            <w:shd w:val="clear" w:color="auto" w:fill="auto"/>
            <w:vAlign w:val="center"/>
          </w:tcPr>
          <w:p w14:paraId="3F84B862">
            <w:pPr>
              <w:pStyle w:val="15"/>
              <w:ind w:firstLine="0" w:firstLineChars="0"/>
              <w:jc w:val="both"/>
              <w:rPr>
                <w:rFonts w:hint="eastAsia" w:ascii="Times New Roman" w:hAnsi="Times New Roman" w:eastAsia="宋体" w:cs="宋体"/>
                <w:bCs/>
                <w:color w:val="000000"/>
                <w:sz w:val="21"/>
                <w:szCs w:val="21"/>
                <w:lang w:val="en-US" w:eastAsia="zh-CN" w:bidi="ar-SA"/>
              </w:rPr>
            </w:pPr>
            <w:r>
              <w:rPr>
                <w:rFonts w:hint="eastAsia"/>
              </w:rPr>
              <w:t>50</w:t>
            </w:r>
            <w:r>
              <w:t>%</w:t>
            </w:r>
          </w:p>
        </w:tc>
        <w:tc>
          <w:tcPr>
            <w:tcW w:w="1950" w:type="dxa"/>
            <w:tcBorders>
              <w:right w:val="double" w:color="auto" w:sz="4" w:space="0"/>
            </w:tcBorders>
            <w:shd w:val="clear" w:color="auto" w:fill="auto"/>
            <w:vAlign w:val="center"/>
          </w:tcPr>
          <w:p w14:paraId="61B62C6B">
            <w:pPr>
              <w:pStyle w:val="15"/>
              <w:ind w:firstLine="420" w:firstLineChars="200"/>
              <w:jc w:val="both"/>
              <w:rPr>
                <w:rFonts w:hint="eastAsia" w:ascii="Times New Roman" w:hAnsi="Times New Roman" w:eastAsia="宋体" w:cs="宋体"/>
                <w:bCs/>
                <w:color w:val="000000"/>
                <w:sz w:val="21"/>
                <w:szCs w:val="21"/>
                <w:lang w:val="en-US" w:eastAsia="zh-CN" w:bidi="ar-SA"/>
              </w:rPr>
            </w:pPr>
            <w:r>
              <w:rPr>
                <w:rFonts w:hint="eastAsia"/>
                <w:lang w:val="en-US" w:eastAsia="zh-CN"/>
              </w:rPr>
              <w:t>随堂测试</w:t>
            </w:r>
          </w:p>
        </w:tc>
        <w:tc>
          <w:tcPr>
            <w:tcW w:w="705" w:type="dxa"/>
            <w:tcBorders>
              <w:left w:val="double" w:color="auto" w:sz="4" w:space="0"/>
            </w:tcBorders>
            <w:shd w:val="clear" w:color="auto" w:fill="auto"/>
            <w:vAlign w:val="center"/>
          </w:tcPr>
          <w:p w14:paraId="533F6BBA">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50</w:t>
            </w:r>
          </w:p>
        </w:tc>
        <w:tc>
          <w:tcPr>
            <w:tcW w:w="705" w:type="dxa"/>
            <w:tcBorders>
              <w:left w:val="double" w:color="auto" w:sz="4" w:space="0"/>
            </w:tcBorders>
            <w:shd w:val="clear" w:color="auto" w:fill="auto"/>
            <w:vAlign w:val="center"/>
          </w:tcPr>
          <w:p w14:paraId="439C1016">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10</w:t>
            </w:r>
          </w:p>
        </w:tc>
        <w:tc>
          <w:tcPr>
            <w:tcW w:w="705" w:type="dxa"/>
            <w:tcBorders>
              <w:left w:val="double" w:color="auto" w:sz="4" w:space="0"/>
            </w:tcBorders>
            <w:shd w:val="clear" w:color="auto" w:fill="auto"/>
            <w:vAlign w:val="center"/>
          </w:tcPr>
          <w:p w14:paraId="1230C00B">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1</w:t>
            </w:r>
            <w:r>
              <w:t>0</w:t>
            </w:r>
          </w:p>
        </w:tc>
        <w:tc>
          <w:tcPr>
            <w:tcW w:w="687" w:type="dxa"/>
            <w:tcBorders>
              <w:left w:val="double" w:color="auto" w:sz="4" w:space="0"/>
            </w:tcBorders>
            <w:shd w:val="clear" w:color="auto" w:fill="auto"/>
            <w:vAlign w:val="center"/>
          </w:tcPr>
          <w:p w14:paraId="2D401209">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10</w:t>
            </w:r>
          </w:p>
        </w:tc>
        <w:tc>
          <w:tcPr>
            <w:tcW w:w="687" w:type="dxa"/>
            <w:tcBorders>
              <w:left w:val="double" w:color="auto" w:sz="4" w:space="0"/>
            </w:tcBorders>
            <w:shd w:val="clear" w:color="auto" w:fill="auto"/>
            <w:vAlign w:val="center"/>
          </w:tcPr>
          <w:p w14:paraId="7AE7C301">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10</w:t>
            </w:r>
          </w:p>
        </w:tc>
        <w:tc>
          <w:tcPr>
            <w:tcW w:w="660" w:type="dxa"/>
            <w:shd w:val="clear" w:color="auto" w:fill="auto"/>
            <w:vAlign w:val="center"/>
          </w:tcPr>
          <w:p w14:paraId="6C62801D">
            <w:pPr>
              <w:pStyle w:val="15"/>
              <w:ind w:firstLine="0" w:firstLineChars="0"/>
              <w:jc w:val="both"/>
              <w:rPr>
                <w:rFonts w:ascii="Times New Roman" w:hAnsi="Times New Roman" w:eastAsia="宋体" w:cs="宋体"/>
                <w:bCs/>
                <w:color w:val="000000"/>
                <w:sz w:val="21"/>
                <w:szCs w:val="21"/>
                <w:lang w:val="en-US" w:eastAsia="zh-CN" w:bidi="ar-SA"/>
              </w:rPr>
            </w:pPr>
            <w:r>
              <w:rPr>
                <w:rFonts w:hint="eastAsia"/>
              </w:rPr>
              <w:t>10</w:t>
            </w:r>
          </w:p>
        </w:tc>
        <w:tc>
          <w:tcPr>
            <w:tcW w:w="689" w:type="dxa"/>
            <w:tcBorders>
              <w:right w:val="single" w:color="auto" w:sz="12" w:space="0"/>
            </w:tcBorders>
            <w:shd w:val="clear" w:color="auto" w:fill="auto"/>
            <w:vAlign w:val="center"/>
          </w:tcPr>
          <w:p w14:paraId="1C83BA98">
            <w:pPr>
              <w:pStyle w:val="15"/>
              <w:ind w:firstLine="0" w:firstLineChars="0"/>
              <w:jc w:val="both"/>
              <w:rPr>
                <w:rFonts w:hint="eastAsia" w:ascii="Times New Roman" w:hAnsi="Times New Roman" w:eastAsia="宋体" w:cs="宋体"/>
                <w:bCs/>
                <w:color w:val="000000"/>
                <w:sz w:val="21"/>
                <w:szCs w:val="21"/>
                <w:lang w:val="en-US" w:eastAsia="zh-CN" w:bidi="ar-SA"/>
              </w:rPr>
            </w:pPr>
            <w:r>
              <w:rPr>
                <w:rFonts w:hint="eastAsia"/>
              </w:rPr>
              <w:t>1</w:t>
            </w:r>
            <w:r>
              <w:t>00</w:t>
            </w:r>
          </w:p>
        </w:tc>
      </w:tr>
    </w:tbl>
    <w:p w14:paraId="4A524123">
      <w:pPr>
        <w:pStyle w:val="17"/>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ECD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84A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041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5A0D">
    <w:r>
      <w:pict>
        <v:shape id="文本框 1" o:spid="_x0000_s4097" o:spt="202" type="#_x0000_t202" style="position:absolute;left:0pt;margin-left:50.05pt;margin-top:10.3pt;height:26.45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68BFAD57">
                <w:pPr>
                  <w:rPr>
                    <w:rFonts w:ascii="Times New Roman" w:hAnsi="Times New Roman"/>
                  </w:rPr>
                </w:pPr>
                <w:r>
                  <w:rPr>
                    <w:rFonts w:ascii="Times New Roman" w:hAnsi="Times New Roman"/>
                  </w:rPr>
                  <w:t>SJQU-QR-JW-055（A0）</w:t>
                </w:r>
              </w:p>
              <w:p w14:paraId="20CBC4AC"/>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023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A1C3">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F9DDF"/>
    <w:multiLevelType w:val="singleLevel"/>
    <w:tmpl w:val="CC9F9DDF"/>
    <w:lvl w:ilvl="0" w:tentative="0">
      <w:start w:val="5"/>
      <w:numFmt w:val="chineseCounting"/>
      <w:suff w:val="nothing"/>
      <w:lvlText w:val="%1、"/>
      <w:lvlJc w:val="left"/>
      <w:pPr>
        <w:ind w:left="-350"/>
      </w:pPr>
      <w:rPr>
        <w:rFonts w:hint="eastAsia"/>
      </w:rPr>
    </w:lvl>
  </w:abstractNum>
  <w:abstractNum w:abstractNumId="1">
    <w:nsid w:val="2175421C"/>
    <w:multiLevelType w:val="multilevel"/>
    <w:tmpl w:val="2175421C"/>
    <w:lvl w:ilvl="0" w:tentative="0">
      <w:start w:val="0"/>
      <w:numFmt w:val="bullet"/>
      <w:lvlText w:val="-"/>
      <w:lvlJc w:val="left"/>
      <w:pPr>
        <w:ind w:left="420" w:hanging="42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8DC1916"/>
    <w:multiLevelType w:val="multilevel"/>
    <w:tmpl w:val="38DC1916"/>
    <w:lvl w:ilvl="0" w:tentative="0">
      <w:start w:val="0"/>
      <w:numFmt w:val="bullet"/>
      <w:lvlText w:val="-"/>
      <w:lvlJc w:val="left"/>
      <w:pPr>
        <w:tabs>
          <w:tab w:val="left" w:pos="720"/>
        </w:tabs>
        <w:ind w:left="720" w:hanging="360"/>
      </w:pPr>
      <w:rPr>
        <w:rFonts w:hint="eastAsia" w:ascii="仿宋_GB2312" w:hAnsi="宋体" w:eastAsia="仿宋_GB2312"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94265DC"/>
    <w:multiLevelType w:val="multilevel"/>
    <w:tmpl w:val="394265DC"/>
    <w:lvl w:ilvl="0" w:tentative="0">
      <w:start w:val="0"/>
      <w:numFmt w:val="bullet"/>
      <w:lvlText w:val="-"/>
      <w:lvlJc w:val="left"/>
      <w:pPr>
        <w:tabs>
          <w:tab w:val="left" w:pos="720"/>
        </w:tabs>
        <w:ind w:left="720" w:hanging="360"/>
      </w:pPr>
      <w:rPr>
        <w:rFonts w:hint="eastAsia" w:ascii="仿宋_GB2312" w:hAnsi="宋体" w:eastAsia="仿宋_GB2312"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14C5C6A"/>
    <w:multiLevelType w:val="multilevel"/>
    <w:tmpl w:val="614C5C6A"/>
    <w:lvl w:ilvl="0" w:tentative="0">
      <w:start w:val="0"/>
      <w:numFmt w:val="bullet"/>
      <w:lvlText w:val="-"/>
      <w:lvlJc w:val="left"/>
      <w:pPr>
        <w:ind w:left="370" w:hanging="420"/>
      </w:pPr>
      <w:rPr>
        <w:rFonts w:hint="eastAsia" w:ascii="仿宋_GB2312" w:hAnsi="宋体" w:eastAsia="仿宋_GB2312" w:cs="Times New Roman"/>
      </w:rPr>
    </w:lvl>
    <w:lvl w:ilvl="1" w:tentative="0">
      <w:start w:val="1"/>
      <w:numFmt w:val="bullet"/>
      <w:lvlText w:val=""/>
      <w:lvlJc w:val="left"/>
      <w:pPr>
        <w:ind w:left="790" w:hanging="420"/>
      </w:pPr>
      <w:rPr>
        <w:rFonts w:hint="default" w:ascii="Wingdings" w:hAnsi="Wingdings"/>
      </w:rPr>
    </w:lvl>
    <w:lvl w:ilvl="2" w:tentative="0">
      <w:start w:val="1"/>
      <w:numFmt w:val="bullet"/>
      <w:lvlText w:val=""/>
      <w:lvlJc w:val="left"/>
      <w:pPr>
        <w:ind w:left="1210" w:hanging="420"/>
      </w:pPr>
      <w:rPr>
        <w:rFonts w:hint="default" w:ascii="Wingdings" w:hAnsi="Wingdings"/>
      </w:rPr>
    </w:lvl>
    <w:lvl w:ilvl="3" w:tentative="0">
      <w:start w:val="1"/>
      <w:numFmt w:val="bullet"/>
      <w:lvlText w:val=""/>
      <w:lvlJc w:val="left"/>
      <w:pPr>
        <w:ind w:left="1630" w:hanging="420"/>
      </w:pPr>
      <w:rPr>
        <w:rFonts w:hint="default" w:ascii="Wingdings" w:hAnsi="Wingdings"/>
      </w:rPr>
    </w:lvl>
    <w:lvl w:ilvl="4" w:tentative="0">
      <w:start w:val="1"/>
      <w:numFmt w:val="bullet"/>
      <w:lvlText w:val=""/>
      <w:lvlJc w:val="left"/>
      <w:pPr>
        <w:ind w:left="2050" w:hanging="420"/>
      </w:pPr>
      <w:rPr>
        <w:rFonts w:hint="default" w:ascii="Wingdings" w:hAnsi="Wingdings"/>
      </w:rPr>
    </w:lvl>
    <w:lvl w:ilvl="5" w:tentative="0">
      <w:start w:val="1"/>
      <w:numFmt w:val="bullet"/>
      <w:lvlText w:val=""/>
      <w:lvlJc w:val="left"/>
      <w:pPr>
        <w:ind w:left="2470" w:hanging="420"/>
      </w:pPr>
      <w:rPr>
        <w:rFonts w:hint="default" w:ascii="Wingdings" w:hAnsi="Wingdings"/>
      </w:rPr>
    </w:lvl>
    <w:lvl w:ilvl="6" w:tentative="0">
      <w:start w:val="1"/>
      <w:numFmt w:val="bullet"/>
      <w:lvlText w:val=""/>
      <w:lvlJc w:val="left"/>
      <w:pPr>
        <w:ind w:left="2890" w:hanging="420"/>
      </w:pPr>
      <w:rPr>
        <w:rFonts w:hint="default" w:ascii="Wingdings" w:hAnsi="Wingdings"/>
      </w:rPr>
    </w:lvl>
    <w:lvl w:ilvl="7" w:tentative="0">
      <w:start w:val="1"/>
      <w:numFmt w:val="bullet"/>
      <w:lvlText w:val=""/>
      <w:lvlJc w:val="left"/>
      <w:pPr>
        <w:ind w:left="3310" w:hanging="420"/>
      </w:pPr>
      <w:rPr>
        <w:rFonts w:hint="default" w:ascii="Wingdings" w:hAnsi="Wingdings"/>
      </w:rPr>
    </w:lvl>
    <w:lvl w:ilvl="8" w:tentative="0">
      <w:start w:val="1"/>
      <w:numFmt w:val="bullet"/>
      <w:lvlText w:val=""/>
      <w:lvlJc w:val="left"/>
      <w:pPr>
        <w:ind w:left="3730" w:hanging="420"/>
      </w:pPr>
      <w:rPr>
        <w:rFonts w:hint="default" w:ascii="Wingdings" w:hAnsi="Wingdings"/>
      </w:rPr>
    </w:lvl>
  </w:abstractNum>
  <w:abstractNum w:abstractNumId="5">
    <w:nsid w:val="782551BD"/>
    <w:multiLevelType w:val="singleLevel"/>
    <w:tmpl w:val="782551BD"/>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wNzkyMzhhYTZhZDIzYzZlZTE4MGE5ZWI2NDM1OTE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17861"/>
    <w:rsid w:val="002204E4"/>
    <w:rsid w:val="002211BF"/>
    <w:rsid w:val="00233F15"/>
    <w:rsid w:val="002420F1"/>
    <w:rsid w:val="00253AC8"/>
    <w:rsid w:val="00256B39"/>
    <w:rsid w:val="0026033C"/>
    <w:rsid w:val="00270FA9"/>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7105"/>
    <w:rsid w:val="00340439"/>
    <w:rsid w:val="00341590"/>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28DF"/>
    <w:rsid w:val="00742BD1"/>
    <w:rsid w:val="00742E7A"/>
    <w:rsid w:val="0074424F"/>
    <w:rsid w:val="00764251"/>
    <w:rsid w:val="00764FD9"/>
    <w:rsid w:val="007740B2"/>
    <w:rsid w:val="00774C1F"/>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7437"/>
    <w:rsid w:val="0086728C"/>
    <w:rsid w:val="008756AE"/>
    <w:rsid w:val="0087676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53131"/>
    <w:rsid w:val="00A6016C"/>
    <w:rsid w:val="00A769B1"/>
    <w:rsid w:val="00A76E5D"/>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4FC"/>
    <w:rsid w:val="00B12D31"/>
    <w:rsid w:val="00B15F6E"/>
    <w:rsid w:val="00B17AFF"/>
    <w:rsid w:val="00B21BEE"/>
    <w:rsid w:val="00B23284"/>
    <w:rsid w:val="00B37445"/>
    <w:rsid w:val="00B37D43"/>
    <w:rsid w:val="00B46F21"/>
    <w:rsid w:val="00B511A5"/>
    <w:rsid w:val="00B51CDE"/>
    <w:rsid w:val="00B56541"/>
    <w:rsid w:val="00B605ED"/>
    <w:rsid w:val="00B71F97"/>
    <w:rsid w:val="00B72538"/>
    <w:rsid w:val="00B736A7"/>
    <w:rsid w:val="00B7651F"/>
    <w:rsid w:val="00B826F9"/>
    <w:rsid w:val="00B919FA"/>
    <w:rsid w:val="00B94A16"/>
    <w:rsid w:val="00BA6044"/>
    <w:rsid w:val="00BB1A93"/>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9080C"/>
    <w:rsid w:val="00C94429"/>
    <w:rsid w:val="00CA18FD"/>
    <w:rsid w:val="00CA27E5"/>
    <w:rsid w:val="00CA4897"/>
    <w:rsid w:val="00CA6928"/>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6975FA1"/>
    <w:rsid w:val="0A8128A6"/>
    <w:rsid w:val="0BF32A1B"/>
    <w:rsid w:val="0C372A50"/>
    <w:rsid w:val="10BD2C22"/>
    <w:rsid w:val="11F81200"/>
    <w:rsid w:val="162E091D"/>
    <w:rsid w:val="16F845DB"/>
    <w:rsid w:val="1892377D"/>
    <w:rsid w:val="1B8D6D74"/>
    <w:rsid w:val="1BB21996"/>
    <w:rsid w:val="1E0419DA"/>
    <w:rsid w:val="1E703C94"/>
    <w:rsid w:val="20CE0ED9"/>
    <w:rsid w:val="22987C80"/>
    <w:rsid w:val="23834BEB"/>
    <w:rsid w:val="23EE1EFC"/>
    <w:rsid w:val="24192CCC"/>
    <w:rsid w:val="241A4435"/>
    <w:rsid w:val="25FB36EC"/>
    <w:rsid w:val="26B515F8"/>
    <w:rsid w:val="275A59B4"/>
    <w:rsid w:val="2A2B3CCC"/>
    <w:rsid w:val="338100EE"/>
    <w:rsid w:val="341C228B"/>
    <w:rsid w:val="342509B8"/>
    <w:rsid w:val="354C3B69"/>
    <w:rsid w:val="3566572C"/>
    <w:rsid w:val="36B44A6A"/>
    <w:rsid w:val="36ED0ABD"/>
    <w:rsid w:val="3738600A"/>
    <w:rsid w:val="39A66CD4"/>
    <w:rsid w:val="3B404B54"/>
    <w:rsid w:val="3CD52CE1"/>
    <w:rsid w:val="410F2E6A"/>
    <w:rsid w:val="43864FE1"/>
    <w:rsid w:val="4430136C"/>
    <w:rsid w:val="45260E40"/>
    <w:rsid w:val="478657BA"/>
    <w:rsid w:val="491A51F8"/>
    <w:rsid w:val="494E0E0D"/>
    <w:rsid w:val="4AB0382B"/>
    <w:rsid w:val="4CF84CBE"/>
    <w:rsid w:val="4EAD187E"/>
    <w:rsid w:val="50115BCE"/>
    <w:rsid w:val="518014CC"/>
    <w:rsid w:val="569868B5"/>
    <w:rsid w:val="57473731"/>
    <w:rsid w:val="5D860678"/>
    <w:rsid w:val="60397EE3"/>
    <w:rsid w:val="611F6817"/>
    <w:rsid w:val="6181593A"/>
    <w:rsid w:val="636B1FDC"/>
    <w:rsid w:val="64E30D41"/>
    <w:rsid w:val="66846134"/>
    <w:rsid w:val="66CA1754"/>
    <w:rsid w:val="66F777B2"/>
    <w:rsid w:val="685B544D"/>
    <w:rsid w:val="694F3860"/>
    <w:rsid w:val="6A093498"/>
    <w:rsid w:val="6A717FBB"/>
    <w:rsid w:val="6F1E65D4"/>
    <w:rsid w:val="6F266C86"/>
    <w:rsid w:val="6F5042C2"/>
    <w:rsid w:val="703A5C2A"/>
    <w:rsid w:val="73E131AD"/>
    <w:rsid w:val="74316312"/>
    <w:rsid w:val="761222C9"/>
    <w:rsid w:val="780F13C8"/>
    <w:rsid w:val="785B035A"/>
    <w:rsid w:val="78AF7BC1"/>
    <w:rsid w:val="7C385448"/>
    <w:rsid w:val="7CB3663D"/>
    <w:rsid w:val="7DB61331"/>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rPr>
      <w:rFonts w:ascii="Times New Roman" w:hAnsi="Times New Roman" w:cs="Times New Roman"/>
      <w:kern w:val="2"/>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pPr>
    <w:rPr>
      <w:rFonts w:ascii="Arial" w:hAnsi="Arial" w:eastAsia="黑体"/>
      <w:color w:val="000000"/>
      <w:szCs w:val="20"/>
    </w:rPr>
  </w:style>
  <w:style w:type="paragraph" w:customStyle="1" w:styleId="15">
    <w:name w:val="表格正文DG"/>
    <w:basedOn w:val="1"/>
    <w:qFormat/>
    <w:uiPriority w:val="0"/>
    <w:rPr>
      <w:rFonts w:ascii="Times New Roman" w:hAnsi="Times New Roman"/>
      <w:color w:val="000000"/>
    </w:rPr>
  </w:style>
  <w:style w:type="paragraph" w:styleId="16">
    <w:name w:val="List Paragraph"/>
    <w:basedOn w:val="1"/>
    <w:unhideWhenUsed/>
    <w:qFormat/>
    <w:uiPriority w:val="34"/>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outlineLvl w:val="1"/>
    </w:pPr>
    <w:rPr>
      <w:rFonts w:ascii="Times New Roman" w:hAnsi="Times New Roman"/>
    </w:rPr>
  </w:style>
  <w:style w:type="paragraph" w:customStyle="1" w:styleId="19">
    <w:name w:val="正文DG"/>
    <w:basedOn w:val="1"/>
    <w:qFormat/>
    <w:uiPriority w:val="0"/>
    <w:pPr>
      <w:snapToGrid w:val="0"/>
      <w:ind w:firstLine="48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9</Pages>
  <Words>513</Words>
  <Characters>571</Characters>
  <Lines>53</Lines>
  <Paragraphs>15</Paragraphs>
  <TotalTime>0</TotalTime>
  <ScaleCrop>false</ScaleCrop>
  <LinksUpToDate>false</LinksUpToDate>
  <CharactersWithSpaces>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ivy </cp:lastModifiedBy>
  <cp:lastPrinted>2023-11-21T00:52:00Z</cp:lastPrinted>
  <dcterms:modified xsi:type="dcterms:W3CDTF">2025-09-14T05:33:59Z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75A5950F35E44E4099B8E2C8E0EA07EF_12</vt:lpwstr>
  </property>
  <property fmtid="{D5CDD505-2E9C-101B-9397-08002B2CF9AE}" pid="4" name="KSOTemplateDocerSaveRecord">
    <vt:lpwstr>eyJoZGlkIjoiOTBlNzU2MDQzYmZmYWZjZGI3ZmZmNTVkNzFmYjNiZGMiLCJ1c2VySWQiOiI0NDc0MzAxNzQifQ==</vt:lpwstr>
  </property>
</Properties>
</file>