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2020333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国际贸易实务（英语）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徐佳琦，左肇申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apple_xjq@126.com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  <w:szCs w:val="20"/>
              </w:rPr>
              <w:t>时间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:周五</w:t>
            </w:r>
            <w:r>
              <w:rPr>
                <w:rFonts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7,8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节课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  <w:szCs w:val="20"/>
              </w:rPr>
              <w:t>地点:</w:t>
            </w:r>
            <w:r>
              <w:rPr>
                <w:rFonts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 xml:space="preserve"> 微信群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国际贸易实务双语教程（第4版）易露露陈新华清华大学出版社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 xml:space="preserve">  201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月第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【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国际贸易实务（第六版）黎孝先王健对外经济贸易大学出版社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2016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月第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版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【国际贸易术语解释通则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2010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（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Incoterms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 2010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）国际商会编写中国国际商会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国际商会中国委员会组织编译中国民主法治出版社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2011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版】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【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UCP600 ICC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跟单信用证统一惯例（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2007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年修订本）国际商会中国民主法治出版社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2006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11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版】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 xml:space="preserve">Chapter One A Brief Introduction to International Trade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Chapter Two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General Procedures of Export and Import Transaction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国庆假期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Three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Contracts for the sale and purchase of International Commodity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Four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>Case study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Four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>Case study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 xml:space="preserve">Chapter Five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Quality of Commodity</w:t>
            </w:r>
          </w:p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过程考X1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Six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Quantity of Goods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Seven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 xml:space="preserve">Packing and Marking of Goods.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 + 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Eight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Price of Goods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 xml:space="preserve">Case study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Nine Delivery of Goods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>Case study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Ten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Cargo Transportation Insurance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过程考X2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Eleven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>Case study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Eleven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实践报告（汇付方式的分析比较）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>Case study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Twelve Disputes, Claim and Arbitration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1-5单元知识点测验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6-10单元知识点测验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实践报告，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课堂练习，案例分析，考勤等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2230755</wp:posOffset>
            </wp:positionV>
            <wp:extent cx="772795" cy="464820"/>
            <wp:effectExtent l="0" t="0" r="0" b="0"/>
            <wp:wrapNone/>
            <wp:docPr id="5" name="图片 5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517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3134995</wp:posOffset>
            </wp:positionH>
            <wp:positionV relativeFrom="paragraph">
              <wp:posOffset>2219960</wp:posOffset>
            </wp:positionV>
            <wp:extent cx="780415" cy="449580"/>
            <wp:effectExtent l="0" t="0" r="0" b="635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2022.9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20F0"/>
    <w:rsid w:val="000439B6"/>
    <w:rsid w:val="000457BB"/>
    <w:rsid w:val="00045AE0"/>
    <w:rsid w:val="00050723"/>
    <w:rsid w:val="000509DC"/>
    <w:rsid w:val="0005291A"/>
    <w:rsid w:val="000541BF"/>
    <w:rsid w:val="00054B07"/>
    <w:rsid w:val="000566C6"/>
    <w:rsid w:val="000576A2"/>
    <w:rsid w:val="00061DF6"/>
    <w:rsid w:val="00065C53"/>
    <w:rsid w:val="000708DA"/>
    <w:rsid w:val="00073336"/>
    <w:rsid w:val="00075557"/>
    <w:rsid w:val="000757F8"/>
    <w:rsid w:val="000801E9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5D"/>
    <w:rsid w:val="000C65FF"/>
    <w:rsid w:val="000C7AFA"/>
    <w:rsid w:val="000D033F"/>
    <w:rsid w:val="000D1B9D"/>
    <w:rsid w:val="000D22E9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498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009E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2668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D29"/>
    <w:rsid w:val="00233384"/>
    <w:rsid w:val="00233529"/>
    <w:rsid w:val="00240B53"/>
    <w:rsid w:val="00280A20"/>
    <w:rsid w:val="00283A9D"/>
    <w:rsid w:val="00287142"/>
    <w:rsid w:val="00290A4F"/>
    <w:rsid w:val="00290EB6"/>
    <w:rsid w:val="0029273B"/>
    <w:rsid w:val="002A0689"/>
    <w:rsid w:val="002B23AD"/>
    <w:rsid w:val="002C4EF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A4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7D10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41F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85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4E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0BAA"/>
    <w:rsid w:val="005B6225"/>
    <w:rsid w:val="005C00D9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70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B52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0DF2"/>
    <w:rsid w:val="00734C29"/>
    <w:rsid w:val="0073594C"/>
    <w:rsid w:val="00736189"/>
    <w:rsid w:val="00743E1E"/>
    <w:rsid w:val="00744253"/>
    <w:rsid w:val="00744F09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ABD"/>
    <w:rsid w:val="007F5618"/>
    <w:rsid w:val="007F723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6B63"/>
    <w:rsid w:val="00840954"/>
    <w:rsid w:val="008429CE"/>
    <w:rsid w:val="00846059"/>
    <w:rsid w:val="008550AF"/>
    <w:rsid w:val="00865C6A"/>
    <w:rsid w:val="008665DF"/>
    <w:rsid w:val="00866AEC"/>
    <w:rsid w:val="00866CD5"/>
    <w:rsid w:val="008702F7"/>
    <w:rsid w:val="008725BF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4D0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A6B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83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B05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B19"/>
    <w:rsid w:val="00A5484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4D9"/>
    <w:rsid w:val="00AC534F"/>
    <w:rsid w:val="00AC5AA6"/>
    <w:rsid w:val="00AC5DB3"/>
    <w:rsid w:val="00AD15FD"/>
    <w:rsid w:val="00AD3670"/>
    <w:rsid w:val="00AD606E"/>
    <w:rsid w:val="00AF36E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B2B"/>
    <w:rsid w:val="00B751A9"/>
    <w:rsid w:val="00B7624C"/>
    <w:rsid w:val="00B767B7"/>
    <w:rsid w:val="00B924A6"/>
    <w:rsid w:val="00BA5396"/>
    <w:rsid w:val="00BB00B3"/>
    <w:rsid w:val="00BB2DC5"/>
    <w:rsid w:val="00BC09B7"/>
    <w:rsid w:val="00BC622E"/>
    <w:rsid w:val="00BE1F18"/>
    <w:rsid w:val="00BE1F39"/>
    <w:rsid w:val="00BE747E"/>
    <w:rsid w:val="00BE7EFB"/>
    <w:rsid w:val="00BF3681"/>
    <w:rsid w:val="00BF7135"/>
    <w:rsid w:val="00C04815"/>
    <w:rsid w:val="00C13E75"/>
    <w:rsid w:val="00C15FA6"/>
    <w:rsid w:val="00C164B5"/>
    <w:rsid w:val="00C1654D"/>
    <w:rsid w:val="00C170D9"/>
    <w:rsid w:val="00C253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BE3"/>
    <w:rsid w:val="00CB08A7"/>
    <w:rsid w:val="00CB6942"/>
    <w:rsid w:val="00CB7109"/>
    <w:rsid w:val="00CC0BE5"/>
    <w:rsid w:val="00CC6CFA"/>
    <w:rsid w:val="00CC7DCB"/>
    <w:rsid w:val="00CD1DFE"/>
    <w:rsid w:val="00CE12AB"/>
    <w:rsid w:val="00CE5635"/>
    <w:rsid w:val="00CE601F"/>
    <w:rsid w:val="00CE70EC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87F"/>
    <w:rsid w:val="00D344B3"/>
    <w:rsid w:val="00D36F07"/>
    <w:rsid w:val="00D44A50"/>
    <w:rsid w:val="00D51526"/>
    <w:rsid w:val="00D5461A"/>
    <w:rsid w:val="00D547FE"/>
    <w:rsid w:val="00D55702"/>
    <w:rsid w:val="00D60D3E"/>
    <w:rsid w:val="00D65223"/>
    <w:rsid w:val="00D7212C"/>
    <w:rsid w:val="00D77CB5"/>
    <w:rsid w:val="00D84D94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8D4"/>
    <w:rsid w:val="00DD6D97"/>
    <w:rsid w:val="00DD78B1"/>
    <w:rsid w:val="00DD7CD2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5B5"/>
    <w:rsid w:val="00E31628"/>
    <w:rsid w:val="00E32524"/>
    <w:rsid w:val="00E32DD8"/>
    <w:rsid w:val="00E4037B"/>
    <w:rsid w:val="00E43444"/>
    <w:rsid w:val="00E46564"/>
    <w:rsid w:val="00E52CD7"/>
    <w:rsid w:val="00E573C0"/>
    <w:rsid w:val="00E57781"/>
    <w:rsid w:val="00E57B18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937"/>
    <w:rsid w:val="00F91469"/>
    <w:rsid w:val="00F938D7"/>
    <w:rsid w:val="00F945D4"/>
    <w:rsid w:val="00F948E3"/>
    <w:rsid w:val="00F95F7A"/>
    <w:rsid w:val="00F968BE"/>
    <w:rsid w:val="00F970E1"/>
    <w:rsid w:val="00FA57E1"/>
    <w:rsid w:val="00FA6A7E"/>
    <w:rsid w:val="00FB15A4"/>
    <w:rsid w:val="00FB1F55"/>
    <w:rsid w:val="00FB496D"/>
    <w:rsid w:val="00FB4AE3"/>
    <w:rsid w:val="00FC3728"/>
    <w:rsid w:val="00FD313C"/>
    <w:rsid w:val="00FE319F"/>
    <w:rsid w:val="00FE6709"/>
    <w:rsid w:val="00FF10A9"/>
    <w:rsid w:val="00FF2D60"/>
    <w:rsid w:val="02143CFF"/>
    <w:rsid w:val="0250298D"/>
    <w:rsid w:val="091721A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90A7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F0F45-D780-4AEB-8514-C1E57B0B0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591</Words>
  <Characters>1130</Characters>
  <Lines>9</Lines>
  <Paragraphs>2</Paragraphs>
  <TotalTime>0</TotalTime>
  <ScaleCrop>false</ScaleCrop>
  <LinksUpToDate>false</LinksUpToDate>
  <CharactersWithSpaces>1255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2018-09-03T03:17:00Z</dcterms:created>
  <dc:creator>*****</dc:creator>
  <cp:lastModifiedBy>Administrator</cp:lastModifiedBy>
  <cp:lastPrinted>2019-11-14T06:46:00Z</cp:lastPrinted>
  <dcterms:modified xsi:type="dcterms:W3CDTF">2022-11-28T06:07:02Z</dcterms:modified>
  <dc:title>上海建桥学院教学进度计划表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4559212730B8441C88683A124D9F8561</vt:lpwstr>
  </property>
</Properties>
</file>