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【高级日语（2】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0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0"/>
          <w:rFonts w:hint="eastAsia" w:ascii="Times New Roman" w:hAnsi="Times New Roman" w:eastAsiaTheme="minorEastAsia" w:cstheme="minorBidi"/>
          <w:sz w:val="28"/>
          <w:szCs w:val="28"/>
        </w:rPr>
        <w:t xml:space="preserve"> (2)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2020034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学科专业基础课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《日语综合教程》第七册；季林根编；上海外语教育出版社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高级日语（1）2020033（8），翻译理论与实践（1）2020030 （2）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本课程使用的教材为日语专业本科高年级精读课教材，贯彻了《高等院校日语专业高年级阶段教学大纲》的要求，符合高水平日语人才培养的需要，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适合日语本科专业四年级第一学期开设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567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rPr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3218"/>
        <w:gridCol w:w="1559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细讲课文的意思及用法，并进行提问，加深学生对课文的理解。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通过课堂提问翻译和课后中日文交替互译练习，掌握翻译技巧，了解不同文体的语言特点和翻译方法。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通过对新的日语词汇、语法和句型的学习，解决课后习题及相应日语能力考试的问题。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详细解说本课出现的语法及句型，进行相应的练习。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通过课堂活动、口头发表等形式，对文章主题进行逻辑分析与批判，培养质疑精神。</w:t>
            </w:r>
          </w:p>
        </w:tc>
        <w:tc>
          <w:tcPr>
            <w:tcW w:w="155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课堂中穿插团队小组讨论、发表。</w:t>
            </w:r>
          </w:p>
        </w:tc>
        <w:tc>
          <w:tcPr>
            <w:tcW w:w="1168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总课时为64学时，全部为理论学时，具体为教师课堂授课（含讲解、演示、点评等环节）。</w:t>
      </w:r>
    </w:p>
    <w:tbl>
      <w:tblPr>
        <w:tblStyle w:val="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67"/>
        <w:gridCol w:w="567"/>
        <w:gridCol w:w="1282"/>
        <w:gridCol w:w="288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（第一课）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二つの川のほとりで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理解并学会运用「いとしむ」「～の連続」，并能理解惯用语「見る影もない」的适用语境。</w:t>
            </w:r>
          </w:p>
          <w:p>
            <w:pPr>
              <w:widowControl/>
              <w:adjustRightInd w:val="0"/>
              <w:snapToGrid w:val="0"/>
              <w:spacing w:line="300" w:lineRule="auto"/>
              <w:ind w:left="2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（第二課）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辛夷の花</w:t>
            </w:r>
          </w:p>
        </w:tc>
        <w:tc>
          <w:tcPr>
            <w:tcW w:w="2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理解并掌握</w:t>
            </w:r>
            <w:r>
              <w:rPr>
                <w:rFonts w:hint="eastAsia" w:ascii="宋体" w:hAnsi="宋体" w:eastAsia="MS Mincho"/>
                <w:sz w:val="24"/>
                <w:szCs w:val="24"/>
                <w:lang w:eastAsia="ja-JP"/>
              </w:rPr>
              <w:t>「～からして」「～でもするように」「～はずみに」</w:t>
            </w: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的用法。</w:t>
            </w:r>
          </w:p>
          <w:p>
            <w:pPr>
              <w:snapToGrid w:val="0"/>
              <w:spacing w:line="288" w:lineRule="auto"/>
              <w:ind w:firstLine="480" w:firstLineChars="200"/>
              <w:rPr>
                <w:rFonts w:ascii="宋体" w:hAnsi="宋体"/>
                <w:sz w:val="24"/>
                <w:szCs w:val="24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要求学生能在不同语境中活学活用单词，背诵随笔中的部分段落，通读全文,理解日本文学作品的叙事模式,正确分析人物的内心世界。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22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（其中扣除国庆长假三天）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（第三课）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ナイン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理解并学会运用句型「～とでもいうような」，理解惯用语「膝を勧める」「性根を据える」「気がある」「眉に唾をつける」「ひと肌脱ぐ」「ねんごろになる」「一目おく」所表达的意思。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（第五课）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みやこ人と都会人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 w:val="24"/>
                <w:szCs w:val="24"/>
                <w:lang w:eastAsia="ja-JP"/>
              </w:rPr>
            </w:pPr>
            <w:r>
              <w:rPr>
                <w:rFonts w:hint="eastAsia" w:ascii="宋体" w:hAnsi="宋体"/>
                <w:sz w:val="24"/>
                <w:szCs w:val="24"/>
                <w:lang w:eastAsia="ja-JP"/>
              </w:rPr>
              <w:t>理解并掌握「演出する」「ためを張る」「かくして」「～てはならじ」「～まくる」的用法。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要求学生熟练掌握各个句型的用法和不同的使用场合，并加以运用。正确理解课文内容,阐述自己的观点。</w:t>
            </w:r>
            <w:r>
              <w:rPr>
                <w:rFonts w:hint="eastAsia" w:ascii="宋体" w:hAnsi="宋体"/>
                <w:sz w:val="24"/>
                <w:szCs w:val="24"/>
              </w:rPr>
              <w:t>了解日本近代城市的发展历史。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</w:rPr>
      </w:pP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线上期末考试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线上测试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线上测试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 xml:space="preserve">撰写人：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75360" cy="294640"/>
            <wp:effectExtent l="0" t="0" r="0" b="10160"/>
            <wp:docPr id="3" name="图片 3" descr="陈列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陈列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系主任审核签名：</w:t>
      </w:r>
      <w:bookmarkStart w:id="1" w:name="_GoBack"/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43C3C"/>
    <w:rsid w:val="00044ED8"/>
    <w:rsid w:val="0005052C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B1258"/>
    <w:rsid w:val="004100B0"/>
    <w:rsid w:val="00431479"/>
    <w:rsid w:val="00450667"/>
    <w:rsid w:val="00482CD8"/>
    <w:rsid w:val="004C1242"/>
    <w:rsid w:val="004C57C0"/>
    <w:rsid w:val="0052713C"/>
    <w:rsid w:val="005467DC"/>
    <w:rsid w:val="00553D03"/>
    <w:rsid w:val="005543A8"/>
    <w:rsid w:val="005677A2"/>
    <w:rsid w:val="005B2B6D"/>
    <w:rsid w:val="005B4B4E"/>
    <w:rsid w:val="005F0D1C"/>
    <w:rsid w:val="006002C3"/>
    <w:rsid w:val="00601B59"/>
    <w:rsid w:val="00624FE1"/>
    <w:rsid w:val="00655585"/>
    <w:rsid w:val="006B5CB3"/>
    <w:rsid w:val="006C2916"/>
    <w:rsid w:val="007208D6"/>
    <w:rsid w:val="00757690"/>
    <w:rsid w:val="0078045C"/>
    <w:rsid w:val="007A0B6D"/>
    <w:rsid w:val="007A5324"/>
    <w:rsid w:val="007D527F"/>
    <w:rsid w:val="00861A4B"/>
    <w:rsid w:val="00862B5B"/>
    <w:rsid w:val="00885565"/>
    <w:rsid w:val="008921D8"/>
    <w:rsid w:val="008B397C"/>
    <w:rsid w:val="008B47F4"/>
    <w:rsid w:val="008D6E39"/>
    <w:rsid w:val="008E0F41"/>
    <w:rsid w:val="008F5041"/>
    <w:rsid w:val="00900019"/>
    <w:rsid w:val="0098035C"/>
    <w:rsid w:val="0098365B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46F21"/>
    <w:rsid w:val="00B511A5"/>
    <w:rsid w:val="00B718CF"/>
    <w:rsid w:val="00B736A7"/>
    <w:rsid w:val="00B7651F"/>
    <w:rsid w:val="00B77631"/>
    <w:rsid w:val="00BD757F"/>
    <w:rsid w:val="00BE659D"/>
    <w:rsid w:val="00BE773B"/>
    <w:rsid w:val="00C24EF4"/>
    <w:rsid w:val="00C3246D"/>
    <w:rsid w:val="00C46F74"/>
    <w:rsid w:val="00C56E09"/>
    <w:rsid w:val="00C629C2"/>
    <w:rsid w:val="00CA5DCC"/>
    <w:rsid w:val="00CB5895"/>
    <w:rsid w:val="00CE65F8"/>
    <w:rsid w:val="00CF00EF"/>
    <w:rsid w:val="00CF096B"/>
    <w:rsid w:val="00CF345F"/>
    <w:rsid w:val="00D9706F"/>
    <w:rsid w:val="00E16D30"/>
    <w:rsid w:val="00E17A03"/>
    <w:rsid w:val="00E33169"/>
    <w:rsid w:val="00E47107"/>
    <w:rsid w:val="00E70904"/>
    <w:rsid w:val="00E76887"/>
    <w:rsid w:val="00EF32C8"/>
    <w:rsid w:val="00EF44B1"/>
    <w:rsid w:val="00F1272D"/>
    <w:rsid w:val="00F35AA0"/>
    <w:rsid w:val="00FA1F57"/>
    <w:rsid w:val="00FA34AF"/>
    <w:rsid w:val="00FA409A"/>
    <w:rsid w:val="016E63C2"/>
    <w:rsid w:val="024B0C39"/>
    <w:rsid w:val="0A8128A6"/>
    <w:rsid w:val="0BF32A1B"/>
    <w:rsid w:val="10BD2C22"/>
    <w:rsid w:val="21C5673C"/>
    <w:rsid w:val="22987C80"/>
    <w:rsid w:val="24192CCC"/>
    <w:rsid w:val="39A66CD4"/>
    <w:rsid w:val="3CD52CE1"/>
    <w:rsid w:val="410F2E6A"/>
    <w:rsid w:val="4430136C"/>
    <w:rsid w:val="4A2F5ED3"/>
    <w:rsid w:val="4AB0382B"/>
    <w:rsid w:val="4E4A2867"/>
    <w:rsid w:val="569868B5"/>
    <w:rsid w:val="5BF95A69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0"/>
    <w:rPr>
      <w:b/>
      <w:bCs/>
      <w:sz w:val="32"/>
      <w:szCs w:val="32"/>
    </w:rPr>
  </w:style>
  <w:style w:type="character" w:customStyle="1" w:styleId="11">
    <w:name w:val="标题 3 字符1"/>
    <w:basedOn w:val="7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xxx</Company>
  <Pages>5</Pages>
  <Words>525</Words>
  <Characters>2994</Characters>
  <Lines>24</Lines>
  <Paragraphs>7</Paragraphs>
  <TotalTime>74</TotalTime>
  <ScaleCrop>false</ScaleCrop>
  <LinksUpToDate>false</LinksUpToDate>
  <CharactersWithSpaces>3512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2019-09-10T06:17:00Z</dcterms:created>
  <dc:creator>juvg</dc:creator>
  <cp:lastModifiedBy>刘尔瑟</cp:lastModifiedBy>
  <dcterms:modified xsi:type="dcterms:W3CDTF">2021-10-11T08:53:45Z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