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color w:val="000000"/>
          <w:kern w:val="0"/>
          <w:sz w:val="22"/>
        </w:rPr>
      </w:pPr>
      <w:r>
        <w:rPr>
          <w:rFonts w:hint="eastAsia" w:ascii="宋体" w:hAnsi="宋体" w:eastAsia="宋体" w:cs="宋体"/>
          <w:b/>
          <w:sz w:val="28"/>
          <w:szCs w:val="30"/>
        </w:rPr>
        <w:t>【</w:t>
      </w: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page">
                  <wp:posOffset>482600</wp:posOffset>
                </wp:positionH>
                <wp:positionV relativeFrom="page">
                  <wp:posOffset>165100</wp:posOffset>
                </wp:positionV>
                <wp:extent cx="2635250" cy="4635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35250" cy="46355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033</w:t>
                            </w:r>
                            <w:r>
                              <w:rPr>
                                <w:rFonts w:hint="eastAsia" w:ascii="宋体" w:hAnsi="宋体"/>
                                <w:spacing w:val="20"/>
                                <w:sz w:val="24"/>
                                <w:szCs w:val="24"/>
                              </w:rPr>
                              <w:t>（A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pt;margin-top:13pt;height:36.5pt;width:207.5pt;mso-position-horizontal-relative:page;mso-position-vertical-relative:page;z-index:251659264;mso-width-relative:page;mso-height-relative:page;" fillcolor="#FFFFFF" filled="t" stroked="f" coordsize="21600,21600" o:gfxdata="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YiBUA1AAAAAgBAAAPAAAA&#10;AAAAAAEAIAAAACIAAABkcnMvZG93bnJldi54bWxQSwECFAAUAAAACACHTuJAPar2n1ICAACdBAAA&#10;DgAAAAAAAAABACAAAAAjAQAAZHJzL2Uyb0RvYy54bWxQSwUGAAAAAAYABgBZAQAA5w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033</w:t>
                      </w:r>
                      <w:r>
                        <w:rPr>
                          <w:rFonts w:hint="eastAsia" w:ascii="宋体" w:hAnsi="宋体"/>
                          <w:spacing w:val="20"/>
                          <w:sz w:val="24"/>
                          <w:szCs w:val="24"/>
                        </w:rPr>
                        <w:t>（A</w:t>
                      </w:r>
                      <w:r>
                        <w:rPr>
                          <w:rFonts w:ascii="宋体" w:hAnsi="宋体"/>
                          <w:spacing w:val="20"/>
                          <w:sz w:val="24"/>
                          <w:szCs w:val="24"/>
                        </w:rPr>
                        <w:t>0）</w:t>
                      </w:r>
                    </w:p>
                  </w:txbxContent>
                </v:textbox>
              </v:shape>
            </w:pict>
          </mc:Fallback>
        </mc:AlternateContent>
      </w:r>
      <w:r>
        <w:rPr>
          <w:rFonts w:hint="eastAsia" w:ascii="宋体" w:hAnsi="宋体" w:eastAsia="宋体" w:cs="宋体"/>
          <w:b/>
          <w:bCs/>
          <w:sz w:val="28"/>
          <w:szCs w:val="28"/>
        </w:rPr>
        <w:t>德语语法</w:t>
      </w:r>
      <w:r>
        <w:rPr>
          <w:rFonts w:hint="eastAsia" w:ascii="宋体" w:hAnsi="宋体" w:eastAsia="宋体" w:cs="宋体"/>
          <w:b/>
          <w:sz w:val="28"/>
          <w:szCs w:val="30"/>
        </w:rPr>
        <w:t>】</w:t>
      </w:r>
    </w:p>
    <w:p>
      <w:pPr>
        <w:shd w:val="clear" w:color="auto" w:fill="F5F5F5"/>
        <w:jc w:val="center"/>
        <w:textAlignment w:val="top"/>
        <w:rPr>
          <w:rFonts w:hint="eastAsia" w:ascii="宋体" w:hAnsi="宋体" w:eastAsia="宋体" w:cs="宋体"/>
          <w:color w:val="888888"/>
          <w:kern w:val="0"/>
          <w:sz w:val="20"/>
          <w:szCs w:val="20"/>
        </w:rPr>
      </w:pPr>
      <w:bookmarkStart w:id="0" w:name="a2"/>
      <w:bookmarkEnd w:id="0"/>
      <w:r>
        <w:rPr>
          <w:rFonts w:hint="eastAsia" w:ascii="宋体" w:hAnsi="宋体" w:eastAsia="宋体" w:cs="宋体"/>
          <w:b/>
          <w:sz w:val="28"/>
          <w:szCs w:val="30"/>
        </w:rPr>
        <w:t>【</w:t>
      </w:r>
      <w:r>
        <w:rPr>
          <w:rFonts w:hint="eastAsia" w:ascii="Calibri" w:hAnsi="Calibri" w:eastAsia="宋体" w:cs="Times New Roman"/>
          <w:b/>
          <w:sz w:val="28"/>
          <w:szCs w:val="30"/>
          <w:lang w:val="en-US"/>
        </w:rPr>
        <w:t>German Grammar</w:t>
      </w:r>
      <w:r>
        <w:rPr>
          <w:rFonts w:hint="eastAsia" w:ascii="宋体" w:hAnsi="宋体" w:eastAsia="宋体" w:cs="宋体"/>
          <w:b/>
          <w:sz w:val="28"/>
          <w:szCs w:val="30"/>
        </w:rPr>
        <w:t>】</w:t>
      </w:r>
    </w:p>
    <w:p>
      <w:pPr>
        <w:spacing w:before="156" w:beforeLines="50" w:after="156" w:afterLines="50" w:line="288" w:lineRule="auto"/>
        <w:ind w:firstLine="360" w:firstLineChars="150"/>
        <w:rPr>
          <w:rFonts w:hint="eastAsia" w:ascii="黑体" w:hAnsi="宋体" w:eastAsia="黑体" w:cs="Times New Roman"/>
          <w:sz w:val="24"/>
          <w:lang w:val="en-US"/>
        </w:rPr>
      </w:pPr>
      <w:r>
        <w:rPr>
          <w:rFonts w:hint="eastAsia" w:ascii="黑体" w:hAnsi="宋体" w:eastAsia="黑体" w:cs="Times New Roman"/>
          <w:sz w:val="24"/>
          <w:lang w:val="en-US"/>
        </w:rPr>
        <w:t>一、基本信息</w:t>
      </w:r>
    </w:p>
    <w:p>
      <w:pPr>
        <w:snapToGrid w:val="0"/>
        <w:spacing w:line="288" w:lineRule="auto"/>
        <w:ind w:firstLine="394" w:firstLineChars="196"/>
        <w:rPr>
          <w:rFonts w:hint="eastAsia" w:ascii="宋体" w:hAnsi="宋体" w:eastAsia="宋体" w:cs="宋体"/>
          <w:color w:val="000000"/>
          <w:sz w:val="20"/>
          <w:szCs w:val="20"/>
        </w:rPr>
      </w:pPr>
      <w:r>
        <w:rPr>
          <w:rFonts w:hint="eastAsia" w:ascii="宋体" w:hAnsi="宋体" w:eastAsia="宋体" w:cs="宋体"/>
          <w:b/>
          <w:bCs/>
          <w:color w:val="000000"/>
          <w:sz w:val="20"/>
          <w:szCs w:val="20"/>
        </w:rPr>
        <w:t>课程代码：</w:t>
      </w:r>
      <w:r>
        <w:rPr>
          <w:rFonts w:hint="eastAsia" w:ascii="宋体" w:hAnsi="宋体" w:eastAsia="宋体" w:cs="宋体"/>
        </w:rPr>
        <w:t>1020004</w:t>
      </w:r>
    </w:p>
    <w:p>
      <w:pPr>
        <w:snapToGrid w:val="0"/>
        <w:spacing w:line="288" w:lineRule="auto"/>
        <w:ind w:firstLine="394" w:firstLineChars="196"/>
        <w:rPr>
          <w:rFonts w:hint="eastAsia" w:ascii="宋体" w:hAnsi="宋体" w:eastAsia="宋体" w:cs="宋体"/>
          <w:color w:val="000000"/>
        </w:rPr>
      </w:pPr>
      <w:r>
        <w:rPr>
          <w:rFonts w:hint="eastAsia" w:ascii="宋体" w:hAnsi="宋体" w:eastAsia="宋体" w:cs="宋体"/>
          <w:b/>
          <w:bCs/>
          <w:color w:val="000000"/>
          <w:sz w:val="20"/>
          <w:szCs w:val="20"/>
        </w:rPr>
        <w:t>课程学分：</w:t>
      </w:r>
      <w:r>
        <w:rPr>
          <w:rFonts w:hint="eastAsia" w:ascii="宋体" w:hAnsi="宋体" w:eastAsia="宋体" w:cs="宋体"/>
          <w:color w:val="000000"/>
          <w:sz w:val="20"/>
          <w:szCs w:val="20"/>
        </w:rPr>
        <w:t>2</w:t>
      </w:r>
    </w:p>
    <w:p>
      <w:pPr>
        <w:snapToGrid w:val="0"/>
        <w:spacing w:line="288" w:lineRule="auto"/>
        <w:ind w:firstLine="394" w:firstLineChars="196"/>
        <w:rPr>
          <w:rFonts w:hint="eastAsia" w:ascii="宋体" w:hAnsi="宋体" w:eastAsia="宋体" w:cs="宋体"/>
          <w:color w:val="000000"/>
        </w:rPr>
      </w:pPr>
      <w:r>
        <w:rPr>
          <w:rFonts w:hint="eastAsia" w:ascii="宋体" w:hAnsi="宋体" w:eastAsia="宋体" w:cs="宋体"/>
          <w:b/>
          <w:bCs/>
          <w:color w:val="000000"/>
          <w:sz w:val="20"/>
          <w:szCs w:val="20"/>
        </w:rPr>
        <w:t>面向专业：</w:t>
      </w:r>
      <w:r>
        <w:rPr>
          <w:rFonts w:hint="eastAsia" w:ascii="宋体" w:hAnsi="宋体" w:eastAsia="宋体" w:cs="宋体"/>
          <w:kern w:val="0"/>
          <w:sz w:val="20"/>
          <w:szCs w:val="20"/>
        </w:rPr>
        <w:t>德语</w:t>
      </w:r>
    </w:p>
    <w:p>
      <w:pPr>
        <w:snapToGrid w:val="0"/>
        <w:spacing w:line="288" w:lineRule="auto"/>
        <w:ind w:firstLine="394" w:firstLineChars="196"/>
        <w:rPr>
          <w:rFonts w:hint="eastAsia" w:ascii="宋体" w:hAnsi="宋体" w:eastAsia="宋体" w:cs="宋体"/>
          <w:color w:val="000000"/>
          <w:sz w:val="20"/>
          <w:szCs w:val="20"/>
        </w:rPr>
      </w:pPr>
      <w:r>
        <w:rPr>
          <w:rFonts w:hint="eastAsia" w:ascii="宋体" w:hAnsi="宋体" w:eastAsia="宋体" w:cs="宋体"/>
          <w:b/>
          <w:bCs/>
          <w:color w:val="000000"/>
          <w:sz w:val="20"/>
          <w:szCs w:val="20"/>
        </w:rPr>
        <w:t>课程性质：</w:t>
      </w:r>
      <w:r>
        <w:rPr>
          <w:rFonts w:hint="eastAsia" w:ascii="宋体" w:hAnsi="宋体" w:eastAsia="宋体" w:cs="宋体"/>
          <w:kern w:val="0"/>
          <w:sz w:val="20"/>
          <w:szCs w:val="20"/>
        </w:rPr>
        <w:t>必修课</w:t>
      </w:r>
    </w:p>
    <w:p>
      <w:pPr>
        <w:snapToGrid w:val="0"/>
        <w:spacing w:line="288" w:lineRule="auto"/>
        <w:ind w:firstLine="394" w:firstLineChars="196"/>
        <w:rPr>
          <w:rFonts w:hint="eastAsia" w:ascii="宋体" w:hAnsi="宋体" w:eastAsia="宋体" w:cs="宋体"/>
          <w:b/>
          <w:bCs/>
          <w:color w:val="000000"/>
        </w:rPr>
      </w:pPr>
      <w:r>
        <w:rPr>
          <w:rFonts w:hint="eastAsia" w:ascii="宋体" w:hAnsi="宋体" w:eastAsia="宋体" w:cs="宋体"/>
          <w:b/>
          <w:bCs/>
          <w:color w:val="000000"/>
          <w:sz w:val="20"/>
          <w:szCs w:val="20"/>
        </w:rPr>
        <w:t>开课院系：外国语学院德语系</w:t>
      </w:r>
    </w:p>
    <w:p>
      <w:pPr>
        <w:snapToGrid w:val="0"/>
        <w:spacing w:line="288" w:lineRule="auto"/>
        <w:ind w:firstLine="394" w:firstLineChars="196"/>
        <w:rPr>
          <w:rFonts w:hint="eastAsia" w:ascii="宋体" w:hAnsi="宋体" w:eastAsia="宋体" w:cs="宋体"/>
          <w:color w:val="000000"/>
          <w:sz w:val="20"/>
          <w:szCs w:val="20"/>
          <w:lang w:val="en-US"/>
        </w:rPr>
      </w:pPr>
      <w:r>
        <w:rPr>
          <w:rFonts w:hint="eastAsia" w:ascii="宋体" w:hAnsi="宋体" w:eastAsia="宋体" w:cs="宋体"/>
          <w:b/>
          <w:bCs/>
          <w:color w:val="000000"/>
          <w:sz w:val="20"/>
          <w:szCs w:val="20"/>
        </w:rPr>
        <w:t>使用教材：</w:t>
      </w:r>
      <w:r>
        <w:rPr>
          <w:rFonts w:hint="eastAsia" w:ascii="宋体" w:hAnsi="宋体" w:eastAsia="宋体" w:cs="宋体"/>
          <w:bCs/>
          <w:sz w:val="20"/>
          <w:szCs w:val="20"/>
        </w:rPr>
        <w:t>新求精德语中级语法精解与练习，杨建培， 同济大学出版社，2017年</w:t>
      </w:r>
    </w:p>
    <w:p>
      <w:pPr>
        <w:snapToGrid w:val="0"/>
        <w:spacing w:line="288" w:lineRule="auto"/>
        <w:ind w:firstLine="402" w:firstLineChars="200"/>
        <w:rPr>
          <w:rFonts w:hint="eastAsia" w:ascii="宋体" w:hAnsi="宋体" w:eastAsia="宋体" w:cs="宋体"/>
          <w:bCs/>
          <w:sz w:val="20"/>
          <w:szCs w:val="20"/>
        </w:rPr>
      </w:pPr>
      <w:r>
        <w:rPr>
          <w:rFonts w:hint="eastAsia" w:ascii="宋体" w:hAnsi="宋体" w:eastAsia="宋体" w:cs="宋体"/>
          <w:b/>
          <w:bCs/>
          <w:color w:val="000000"/>
          <w:sz w:val="20"/>
          <w:szCs w:val="20"/>
        </w:rPr>
        <w:t>参考书目：</w:t>
      </w:r>
      <w:r>
        <w:rPr>
          <w:rFonts w:hint="eastAsia" w:ascii="宋体" w:hAnsi="宋体" w:eastAsia="宋体" w:cs="宋体"/>
          <w:color w:val="000000"/>
          <w:sz w:val="20"/>
          <w:szCs w:val="20"/>
        </w:rPr>
        <w:t>【</w:t>
      </w:r>
      <w:r>
        <w:rPr>
          <w:rFonts w:hint="eastAsia" w:ascii="宋体" w:hAnsi="宋体" w:eastAsia="宋体" w:cs="宋体"/>
          <w:bCs/>
          <w:sz w:val="20"/>
          <w:szCs w:val="20"/>
        </w:rPr>
        <w:t>《德语语法解析与练习》，周抗美，王兆渠，同济大学出版社，2006年</w:t>
      </w:r>
    </w:p>
    <w:p>
      <w:pPr>
        <w:snapToGrid w:val="0"/>
        <w:spacing w:line="288" w:lineRule="auto"/>
        <w:ind w:firstLine="800" w:firstLineChars="400"/>
        <w:rPr>
          <w:rFonts w:hint="eastAsia" w:ascii="宋体" w:hAnsi="宋体" w:eastAsia="宋体" w:cs="宋体"/>
          <w:bCs/>
          <w:sz w:val="20"/>
          <w:szCs w:val="20"/>
        </w:rPr>
      </w:pPr>
      <w:r>
        <w:rPr>
          <w:rFonts w:hint="eastAsia" w:ascii="宋体" w:hAnsi="宋体" w:eastAsia="宋体" w:cs="宋体"/>
          <w:bCs/>
          <w:sz w:val="20"/>
          <w:szCs w:val="20"/>
        </w:rPr>
        <w:t>《新编德语语法》 蔡幼生， 上海外语教育出版社，2006年</w:t>
      </w:r>
    </w:p>
    <w:p>
      <w:pPr>
        <w:snapToGrid w:val="0"/>
        <w:spacing w:line="288" w:lineRule="auto"/>
        <w:ind w:firstLine="800" w:firstLineChars="400"/>
        <w:rPr>
          <w:rFonts w:hint="eastAsia" w:ascii="宋体" w:hAnsi="宋体" w:eastAsia="宋体" w:cs="宋体"/>
          <w:bCs/>
          <w:sz w:val="20"/>
          <w:szCs w:val="20"/>
        </w:rPr>
      </w:pPr>
      <w:r>
        <w:rPr>
          <w:rFonts w:hint="eastAsia" w:ascii="宋体" w:hAnsi="宋体" w:eastAsia="宋体" w:cs="宋体"/>
          <w:bCs/>
          <w:sz w:val="20"/>
          <w:szCs w:val="20"/>
        </w:rPr>
        <w:t>《标准德语语法—精解与练习》 Hilke Dreyer, Richard Schmitt, 王芳译， 外语教学与研究出版社， 2016年</w:t>
      </w:r>
    </w:p>
    <w:p>
      <w:pPr>
        <w:adjustRightInd w:val="0"/>
        <w:snapToGrid w:val="0"/>
        <w:spacing w:line="288" w:lineRule="auto"/>
        <w:ind w:firstLine="394" w:firstLineChars="196"/>
        <w:rPr>
          <w:rFonts w:hint="eastAsia" w:ascii="宋体" w:hAnsi="宋体" w:eastAsia="宋体" w:cs="宋体"/>
          <w:color w:val="000000"/>
          <w:sz w:val="20"/>
          <w:szCs w:val="20"/>
        </w:rPr>
      </w:pPr>
      <w:r>
        <w:rPr>
          <w:rFonts w:hint="eastAsia" w:ascii="宋体" w:hAnsi="宋体" w:eastAsia="宋体" w:cs="宋体"/>
          <w:b/>
          <w:bCs/>
          <w:color w:val="000000"/>
          <w:sz w:val="20"/>
          <w:szCs w:val="20"/>
        </w:rPr>
        <w:t>先修课程：</w:t>
      </w:r>
      <w:r>
        <w:rPr>
          <w:rFonts w:hint="eastAsia" w:ascii="宋体" w:hAnsi="宋体" w:eastAsia="宋体" w:cs="宋体"/>
          <w:color w:val="000000"/>
          <w:sz w:val="20"/>
          <w:szCs w:val="20"/>
        </w:rPr>
        <w:t>【中级德语】</w:t>
      </w:r>
      <w:r>
        <w:rPr>
          <w:rFonts w:hint="eastAsia" w:ascii="宋体" w:hAnsi="宋体" w:eastAsia="宋体" w:cs="宋体"/>
          <w:b/>
          <w:bCs/>
          <w:color w:val="000000"/>
          <w:sz w:val="20"/>
          <w:szCs w:val="20"/>
        </w:rPr>
        <w:t xml:space="preserve"> </w:t>
      </w:r>
      <w:r>
        <w:rPr>
          <w:rFonts w:hint="eastAsia" w:ascii="宋体" w:hAnsi="宋体" w:eastAsia="宋体" w:cs="宋体"/>
        </w:rPr>
        <w:fldChar w:fldCharType="begin"/>
      </w:r>
      <w:r>
        <w:rPr>
          <w:rFonts w:hint="eastAsia" w:ascii="宋体" w:hAnsi="宋体" w:eastAsia="宋体" w:cs="宋体"/>
        </w:rPr>
        <w:instrText xml:space="preserve"> HYPERLINK "http://jwxt.gench.edu.cn/eams/syllabusTeacher.action" \t "_blank" </w:instrText>
      </w:r>
      <w:r>
        <w:rPr>
          <w:rFonts w:hint="eastAsia" w:ascii="宋体" w:hAnsi="宋体" w:eastAsia="宋体" w:cs="宋体"/>
        </w:rPr>
        <w:fldChar w:fldCharType="separate"/>
      </w:r>
      <w:r>
        <w:rPr>
          <w:rFonts w:hint="eastAsia" w:ascii="宋体" w:hAnsi="宋体" w:eastAsia="宋体" w:cs="宋体"/>
          <w:b/>
          <w:bCs/>
          <w:color w:val="000000"/>
        </w:rPr>
        <w:t>2020409</w:t>
      </w:r>
      <w:r>
        <w:rPr>
          <w:rFonts w:hint="eastAsia" w:ascii="宋体" w:hAnsi="宋体" w:eastAsia="宋体" w:cs="宋体"/>
          <w:b/>
          <w:bCs/>
          <w:color w:val="000000"/>
        </w:rPr>
        <w:fldChar w:fldCharType="end"/>
      </w:r>
      <w:r>
        <w:rPr>
          <w:rFonts w:hint="eastAsia" w:ascii="宋体" w:hAnsi="宋体" w:eastAsia="宋体" w:cs="宋体"/>
          <w:b/>
          <w:bCs/>
          <w:color w:val="000000"/>
          <w:sz w:val="20"/>
          <w:szCs w:val="20"/>
        </w:rPr>
        <w:t>(10)，2020410（10）</w:t>
      </w:r>
    </w:p>
    <w:p>
      <w:pPr>
        <w:adjustRightInd w:val="0"/>
        <w:snapToGrid w:val="0"/>
        <w:spacing w:before="156" w:beforeLines="50" w:after="156" w:afterLines="50" w:line="288" w:lineRule="auto"/>
        <w:ind w:firstLine="290" w:firstLineChars="145"/>
        <w:rPr>
          <w:rFonts w:hint="eastAsia" w:ascii="宋体" w:hAnsi="宋体" w:eastAsia="宋体" w:cs="宋体"/>
          <w:color w:val="000000"/>
          <w:sz w:val="20"/>
          <w:szCs w:val="20"/>
        </w:rPr>
      </w:pPr>
    </w:p>
    <w:p>
      <w:pPr>
        <w:spacing w:before="156" w:beforeLines="50" w:after="156" w:afterLines="50" w:line="288" w:lineRule="auto"/>
        <w:ind w:firstLine="360" w:firstLineChars="150"/>
        <w:rPr>
          <w:rFonts w:hint="eastAsia" w:ascii="黑体" w:hAnsi="宋体" w:eastAsia="黑体" w:cs="Times New Roman"/>
          <w:sz w:val="24"/>
          <w:lang w:val="en-US"/>
        </w:rPr>
      </w:pPr>
      <w:r>
        <w:rPr>
          <w:rFonts w:hint="eastAsia" w:ascii="黑体" w:hAnsi="宋体" w:eastAsia="黑体" w:cs="Times New Roman"/>
          <w:sz w:val="24"/>
          <w:lang w:val="en-US"/>
        </w:rPr>
        <w:t>二、课程简介</w:t>
      </w:r>
    </w:p>
    <w:p>
      <w:pPr>
        <w:snapToGrid w:val="0"/>
        <w:spacing w:line="288" w:lineRule="auto"/>
        <w:ind w:firstLine="400" w:firstLineChars="200"/>
        <w:rPr>
          <w:rFonts w:hint="eastAsia" w:ascii="宋体" w:hAnsi="宋体" w:eastAsia="宋体" w:cs="宋体"/>
          <w:color w:val="000000"/>
          <w:sz w:val="20"/>
          <w:szCs w:val="20"/>
        </w:rPr>
      </w:pPr>
      <w:r>
        <w:rPr>
          <w:rFonts w:hint="eastAsia" w:ascii="宋体" w:hAnsi="宋体" w:eastAsia="宋体" w:cs="宋体"/>
          <w:color w:val="000000"/>
          <w:sz w:val="20"/>
          <w:szCs w:val="20"/>
        </w:rPr>
        <w:t>选修课《德语语法概述》，旨在综合讲解初级-中级-高级德语语法中的难点，帮助学生梳理德语语法，提高提高学生在上下文中恰当运用德语语法的能力和运用德语的准确性，使学生对德语语法有一个比较系统的了解。</w:t>
      </w:r>
    </w:p>
    <w:p>
      <w:pPr>
        <w:snapToGrid w:val="0"/>
        <w:spacing w:line="288" w:lineRule="auto"/>
        <w:ind w:firstLine="400" w:firstLineChars="200"/>
        <w:rPr>
          <w:rFonts w:hint="eastAsia" w:ascii="宋体" w:hAnsi="宋体" w:eastAsia="宋体" w:cs="宋体"/>
          <w:color w:val="000000"/>
          <w:sz w:val="20"/>
          <w:szCs w:val="20"/>
        </w:rPr>
      </w:pPr>
      <w:r>
        <w:rPr>
          <w:rFonts w:hint="eastAsia" w:ascii="宋体" w:hAnsi="宋体" w:eastAsia="宋体" w:cs="宋体"/>
          <w:color w:val="000000"/>
          <w:sz w:val="20"/>
          <w:szCs w:val="20"/>
        </w:rPr>
        <w:t>本课程从德语基础语法入手，并且结合句法练习，探讨德语语言的结构，通过各种练习，牢固地掌握德语语法。语法专讲、精讲包括但是不仅限于德语被动句、二虚拟、一分词二分词、各类定语从句、状语从句等。课堂练习形式多样，并且提供一定的阅读材料，避免了语法练习的机械性和枯燥性，有利于培养学生对语法的学习兴趣，打下较为扎实的语法基础，提升自己的语言水平，有利于听说读写译综合技能的全面提升。</w:t>
      </w:r>
    </w:p>
    <w:p>
      <w:pPr>
        <w:snapToGrid w:val="0"/>
        <w:spacing w:line="288" w:lineRule="auto"/>
        <w:ind w:firstLine="400" w:firstLineChars="200"/>
        <w:rPr>
          <w:rFonts w:hint="eastAsia" w:ascii="宋体" w:hAnsi="宋体" w:eastAsia="宋体" w:cs="宋体"/>
          <w:color w:val="000000"/>
          <w:sz w:val="20"/>
          <w:szCs w:val="20"/>
        </w:rPr>
      </w:pPr>
    </w:p>
    <w:p>
      <w:pPr>
        <w:snapToGrid w:val="0"/>
        <w:spacing w:line="288" w:lineRule="auto"/>
        <w:ind w:firstLine="400" w:firstLineChars="200"/>
        <w:rPr>
          <w:rFonts w:hint="eastAsia" w:ascii="宋体" w:hAnsi="宋体" w:eastAsia="宋体" w:cs="宋体"/>
          <w:color w:val="000000"/>
          <w:sz w:val="20"/>
          <w:szCs w:val="20"/>
        </w:rPr>
      </w:pPr>
    </w:p>
    <w:p>
      <w:pPr>
        <w:spacing w:before="156" w:beforeLines="50" w:after="156" w:afterLines="50" w:line="288" w:lineRule="auto"/>
        <w:ind w:firstLine="360" w:firstLineChars="150"/>
        <w:rPr>
          <w:rFonts w:hint="eastAsia" w:ascii="黑体" w:hAnsi="宋体" w:eastAsia="黑体" w:cs="Times New Roman"/>
          <w:sz w:val="24"/>
          <w:lang w:val="en-US"/>
        </w:rPr>
      </w:pPr>
      <w:r>
        <w:rPr>
          <w:rFonts w:hint="eastAsia" w:ascii="黑体" w:hAnsi="宋体" w:eastAsia="黑体" w:cs="Times New Roman"/>
          <w:sz w:val="24"/>
          <w:lang w:val="en-US"/>
        </w:rPr>
        <w:t>三、选课建议</w:t>
      </w:r>
    </w:p>
    <w:p>
      <w:pPr>
        <w:snapToGrid w:val="0"/>
        <w:spacing w:line="288" w:lineRule="auto"/>
        <w:ind w:firstLine="400" w:firstLineChars="200"/>
        <w:rPr>
          <w:rFonts w:hint="eastAsia" w:ascii="宋体" w:hAnsi="宋体" w:eastAsia="宋体" w:cs="宋体"/>
          <w:color w:val="000000"/>
          <w:sz w:val="20"/>
          <w:szCs w:val="20"/>
        </w:rPr>
      </w:pPr>
      <w:r>
        <w:rPr>
          <w:rFonts w:hint="eastAsia" w:ascii="宋体" w:hAnsi="宋体" w:eastAsia="宋体" w:cs="宋体"/>
          <w:color w:val="000000"/>
          <w:sz w:val="20"/>
          <w:szCs w:val="20"/>
        </w:rPr>
        <w:t>德语系大三学生选修课</w:t>
      </w:r>
    </w:p>
    <w:p>
      <w:pPr>
        <w:spacing w:before="156" w:beforeLines="50" w:after="156" w:afterLines="50" w:line="288" w:lineRule="auto"/>
        <w:ind w:firstLine="360" w:firstLineChars="150"/>
        <w:rPr>
          <w:rFonts w:hint="eastAsia" w:ascii="黑体" w:hAnsi="宋体" w:eastAsia="黑体" w:cs="Times New Roman"/>
          <w:sz w:val="24"/>
          <w:lang w:val="en-US"/>
        </w:rPr>
      </w:pPr>
      <w:bookmarkStart w:id="1" w:name="_Hlk96425617"/>
      <w:r>
        <w:rPr>
          <w:rFonts w:hint="eastAsia" w:ascii="黑体" w:hAnsi="宋体" w:eastAsia="黑体" w:cs="Times New Roman"/>
          <w:sz w:val="24"/>
          <w:lang w:val="en-US"/>
        </w:rPr>
        <w:t>四、课程与专业毕业要求的关联性</w:t>
      </w:r>
    </w:p>
    <w:bookmarkEnd w:id="1"/>
    <w:p>
      <w:pPr>
        <w:widowControl/>
        <w:spacing w:before="156" w:beforeLines="50" w:after="156" w:afterLines="50" w:line="288" w:lineRule="auto"/>
        <w:ind w:firstLine="315" w:firstLineChars="150"/>
        <w:jc w:val="left"/>
        <w:rPr>
          <w:rFonts w:hint="eastAsia" w:ascii="宋体" w:hAnsi="宋体" w:eastAsia="宋体" w:cs="宋体"/>
        </w:rPr>
      </w:pPr>
    </w:p>
    <w:tbl>
      <w:tblPr>
        <w:tblStyle w:val="4"/>
        <w:tblW w:w="8472" w:type="dxa"/>
        <w:tblInd w:w="0" w:type="dxa"/>
        <w:tblLayout w:type="fixed"/>
        <w:tblCellMar>
          <w:top w:w="0" w:type="dxa"/>
          <w:left w:w="108" w:type="dxa"/>
          <w:bottom w:w="0" w:type="dxa"/>
          <w:right w:w="108" w:type="dxa"/>
        </w:tblCellMar>
      </w:tblPr>
      <w:tblGrid>
        <w:gridCol w:w="675"/>
        <w:gridCol w:w="851"/>
        <w:gridCol w:w="6266"/>
        <w:gridCol w:w="680"/>
      </w:tblGrid>
      <w:tr>
        <w:tblPrEx>
          <w:tblCellMar>
            <w:top w:w="0" w:type="dxa"/>
            <w:left w:w="108" w:type="dxa"/>
            <w:bottom w:w="0" w:type="dxa"/>
            <w:right w:w="108" w:type="dxa"/>
          </w:tblCellMar>
        </w:tblPrEx>
        <w:trPr>
          <w:trHeight w:val="536" w:hRule="atLeast"/>
        </w:trPr>
        <w:tc>
          <w:tcPr>
            <w:tcW w:w="77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Cs w:val="21"/>
              </w:rPr>
            </w:pPr>
            <w:bookmarkStart w:id="2" w:name="_Hlk67319576"/>
            <w:r>
              <w:rPr>
                <w:rFonts w:hint="eastAsia" w:ascii="宋体" w:hAnsi="宋体" w:eastAsia="宋体" w:cs="宋体"/>
                <w:b/>
                <w:bCs/>
                <w:szCs w:val="20"/>
              </w:rPr>
              <w:t>专业毕业要求</w:t>
            </w:r>
          </w:p>
        </w:tc>
        <w:tc>
          <w:tcPr>
            <w:tcW w:w="68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关联</w:t>
            </w:r>
          </w:p>
        </w:tc>
      </w:tr>
      <w:tr>
        <w:tblPrEx>
          <w:tblCellMar>
            <w:top w:w="0" w:type="dxa"/>
            <w:left w:w="108" w:type="dxa"/>
            <w:bottom w:w="0" w:type="dxa"/>
            <w:right w:w="108" w:type="dxa"/>
          </w:tblCellMar>
        </w:tblPrEx>
        <w:trPr>
          <w:trHeight w:val="536" w:hRule="atLeast"/>
        </w:trPr>
        <w:tc>
          <w:tcPr>
            <w:tcW w:w="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L011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LO111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倾听他人意见、尊重他人观点、分析他人需求。</w:t>
            </w:r>
          </w:p>
        </w:tc>
        <w:tc>
          <w:tcPr>
            <w:tcW w:w="68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26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51" w:type="dxa"/>
            <w:tcBorders>
              <w:top w:val="nil"/>
              <w:left w:val="nil"/>
              <w:bottom w:val="single" w:color="auto" w:sz="4" w:space="0"/>
              <w:right w:val="nil"/>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LO112</w:t>
            </w:r>
          </w:p>
        </w:tc>
        <w:tc>
          <w:tcPr>
            <w:tcW w:w="62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应用书面或口头形式，阐释自己的观点，有效沟通。</w:t>
            </w:r>
          </w:p>
        </w:tc>
        <w:tc>
          <w:tcPr>
            <w:tcW w:w="680"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w:t>
            </w:r>
          </w:p>
        </w:tc>
      </w:tr>
      <w:tr>
        <w:tblPrEx>
          <w:tblCellMar>
            <w:top w:w="0" w:type="dxa"/>
            <w:left w:w="108" w:type="dxa"/>
            <w:bottom w:w="0" w:type="dxa"/>
            <w:right w:w="108" w:type="dxa"/>
          </w:tblCellMar>
        </w:tblPrEx>
        <w:trPr>
          <w:trHeight w:val="383" w:hRule="atLeast"/>
        </w:trPr>
        <w:tc>
          <w:tcPr>
            <w:tcW w:w="67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L021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LO211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能根据需要确定学习目标，并设计学习计划。</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w:t>
            </w:r>
          </w:p>
        </w:tc>
      </w:tr>
      <w:tr>
        <w:tblPrEx>
          <w:tblCellMar>
            <w:top w:w="0" w:type="dxa"/>
            <w:left w:w="108" w:type="dxa"/>
            <w:bottom w:w="0" w:type="dxa"/>
            <w:right w:w="108" w:type="dxa"/>
          </w:tblCellMar>
        </w:tblPrEx>
        <w:trPr>
          <w:trHeight w:val="260"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LO212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能搜集、获取达到目标所需要的学习资源，实施学习计划、反思学习计划、持续改进，达到学习目标。</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223" w:hRule="atLeast"/>
        </w:trPr>
        <w:tc>
          <w:tcPr>
            <w:tcW w:w="675" w:type="dxa"/>
            <w:vMerge w:val="restart"/>
            <w:tcBorders>
              <w:top w:val="nil"/>
              <w:left w:val="single" w:color="auto" w:sz="4" w:space="0"/>
              <w:bottom w:val="nil"/>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L031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L0311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 w:val="20"/>
                <w:szCs w:val="20"/>
              </w:rPr>
              <w:t>掌握德语语言基本理论与知识</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185" w:hRule="atLeast"/>
        </w:trPr>
        <w:tc>
          <w:tcPr>
            <w:tcW w:w="675" w:type="dxa"/>
            <w:vMerge w:val="continue"/>
            <w:tcBorders>
              <w:top w:val="nil"/>
              <w:left w:val="single" w:color="auto" w:sz="4" w:space="0"/>
              <w:bottom w:val="nil"/>
              <w:right w:val="single" w:color="auto" w:sz="4" w:space="0"/>
            </w:tcBorders>
            <w:vAlign w:val="center"/>
          </w:tcPr>
          <w:p>
            <w:pPr>
              <w:widowControl/>
              <w:jc w:val="left"/>
              <w:rPr>
                <w:rFonts w:hint="eastAsia" w:ascii="宋体" w:hAnsi="宋体"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L0312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 w:val="20"/>
                <w:szCs w:val="20"/>
              </w:rPr>
              <w:t>具备扎实的语言基本功和听、说、读、写等语言应用能力。</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w:t>
            </w:r>
          </w:p>
        </w:tc>
      </w:tr>
      <w:tr>
        <w:tblPrEx>
          <w:tblCellMar>
            <w:top w:w="0" w:type="dxa"/>
            <w:left w:w="108" w:type="dxa"/>
            <w:bottom w:w="0" w:type="dxa"/>
            <w:right w:w="108" w:type="dxa"/>
          </w:tblCellMar>
        </w:tblPrEx>
        <w:trPr>
          <w:trHeight w:val="161" w:hRule="atLeast"/>
        </w:trPr>
        <w:tc>
          <w:tcPr>
            <w:tcW w:w="67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L032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L0321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 w:val="20"/>
                <w:szCs w:val="20"/>
              </w:rPr>
              <w:t>掌握德语语言学，具备一定理论基础。</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 xml:space="preserve"> </w:t>
            </w:r>
          </w:p>
        </w:tc>
      </w:tr>
      <w:tr>
        <w:tblPrEx>
          <w:tblCellMar>
            <w:top w:w="0" w:type="dxa"/>
            <w:left w:w="108" w:type="dxa"/>
            <w:bottom w:w="0" w:type="dxa"/>
            <w:right w:w="108" w:type="dxa"/>
          </w:tblCellMar>
        </w:tblPrEx>
        <w:trPr>
          <w:trHeight w:val="251" w:hRule="atLeast"/>
        </w:trPr>
        <w:tc>
          <w:tcPr>
            <w:tcW w:w="675" w:type="dxa"/>
            <w:vMerge w:val="continue"/>
            <w:tcBorders>
              <w:left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L0322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 w:val="20"/>
                <w:szCs w:val="20"/>
              </w:rPr>
              <w:t>了解德语文学，掌握相关知识，具有文学鉴赏能力。</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213" w:hRule="atLeast"/>
        </w:trPr>
        <w:tc>
          <w:tcPr>
            <w:tcW w:w="6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L033</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LO331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 w:val="20"/>
                <w:szCs w:val="20"/>
              </w:rPr>
              <w:t>了解德国国情历史和社会概况。</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 xml:space="preserve"> </w:t>
            </w:r>
          </w:p>
        </w:tc>
      </w:tr>
      <w:tr>
        <w:tblPrEx>
          <w:tblCellMar>
            <w:top w:w="0" w:type="dxa"/>
            <w:left w:w="108" w:type="dxa"/>
            <w:bottom w:w="0" w:type="dxa"/>
            <w:right w:w="108" w:type="dxa"/>
          </w:tblCellMar>
        </w:tblPrEx>
        <w:trPr>
          <w:trHeight w:val="175" w:hRule="atLeast"/>
        </w:trPr>
        <w:tc>
          <w:tcPr>
            <w:tcW w:w="6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LO332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熟悉中德两国文化差异，能够与德国人进行深入交流。</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9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L034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LO341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 w:val="20"/>
                <w:szCs w:val="20"/>
              </w:rPr>
              <w:t>掌握一定的商贸知识，了解外贸的基本概念和基本操作。</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20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LO342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 w:val="20"/>
                <w:szCs w:val="20"/>
              </w:rPr>
              <w:t>具备从事外贸工作的基本技能，能够从事简单的外贸活动。</w:t>
            </w:r>
            <w:r>
              <w:rPr>
                <w:rFonts w:hint="eastAsia" w:ascii="宋体" w:hAnsi="宋体" w:eastAsia="宋体" w:cs="宋体"/>
                <w:color w:val="000000"/>
                <w:kern w:val="0"/>
                <w:szCs w:val="21"/>
              </w:rPr>
              <w:t>能用中德文双语撰写外贸函电，填写国际贸易的单证，起草外贸合同。</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26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L035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L0351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 w:val="20"/>
                <w:szCs w:val="20"/>
              </w:rPr>
              <w:t>掌握笔译技巧，具有较熟练运用德语进行笔译工作的能力</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23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L0352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 w:val="20"/>
                <w:szCs w:val="20"/>
              </w:rPr>
              <w:t>掌握口译技巧，具有较熟练运用德语进行口译工作的能力</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297"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L041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LO411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遵纪守法：遵守校纪校规，具备法律意识。</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FF0000"/>
                <w:szCs w:val="21"/>
              </w:rPr>
            </w:pPr>
          </w:p>
        </w:tc>
      </w:tr>
      <w:tr>
        <w:tblPrEx>
          <w:tblCellMar>
            <w:top w:w="0" w:type="dxa"/>
            <w:left w:w="108" w:type="dxa"/>
            <w:bottom w:w="0" w:type="dxa"/>
            <w:right w:w="108" w:type="dxa"/>
          </w:tblCellMar>
        </w:tblPrEx>
        <w:trPr>
          <w:trHeight w:val="259"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LO412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诚实守信：为人诚实，信守承诺，尽职尽责。</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FF0000"/>
                <w:szCs w:val="21"/>
              </w:rPr>
            </w:pPr>
          </w:p>
        </w:tc>
      </w:tr>
      <w:tr>
        <w:tblPrEx>
          <w:tblCellMar>
            <w:top w:w="0" w:type="dxa"/>
            <w:left w:w="108" w:type="dxa"/>
            <w:bottom w:w="0" w:type="dxa"/>
            <w:right w:w="108" w:type="dxa"/>
          </w:tblCellMar>
        </w:tblPrEx>
        <w:trPr>
          <w:trHeight w:val="363"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LO413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爱岗敬业：了解与专业相关的法律法规，在学习和社会实践中遵守职业规范，具备职业道德操守。</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FF0000"/>
                <w:szCs w:val="21"/>
              </w:rPr>
            </w:pPr>
          </w:p>
        </w:tc>
      </w:tr>
      <w:tr>
        <w:tblPrEx>
          <w:tblCellMar>
            <w:top w:w="0" w:type="dxa"/>
            <w:left w:w="108" w:type="dxa"/>
            <w:bottom w:w="0" w:type="dxa"/>
            <w:right w:w="108" w:type="dxa"/>
          </w:tblCellMar>
        </w:tblPrEx>
        <w:trPr>
          <w:trHeight w:val="14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LO414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心理健康，能承受学习和生活中的压力。</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24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L051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LO511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在集体活动中能主动担任自己的角色，与其他成员密切合作，共同完成任务。</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27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LO512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有质疑精神，能有逻辑的分析与批判。</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B050"/>
                <w:szCs w:val="21"/>
              </w:rPr>
            </w:pPr>
          </w:p>
        </w:tc>
      </w:tr>
      <w:tr>
        <w:tblPrEx>
          <w:tblCellMar>
            <w:top w:w="0" w:type="dxa"/>
            <w:left w:w="108" w:type="dxa"/>
            <w:bottom w:w="0" w:type="dxa"/>
            <w:right w:w="108" w:type="dxa"/>
          </w:tblCellMar>
        </w:tblPrEx>
        <w:trPr>
          <w:trHeight w:val="25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LO513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能用创新的方法或者多种方法解决复杂问题或真实问题。</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B050"/>
                <w:szCs w:val="21"/>
              </w:rPr>
            </w:pPr>
          </w:p>
        </w:tc>
      </w:tr>
      <w:tr>
        <w:tblPrEx>
          <w:tblCellMar>
            <w:top w:w="0" w:type="dxa"/>
            <w:left w:w="108" w:type="dxa"/>
            <w:bottom w:w="0" w:type="dxa"/>
            <w:right w:w="108" w:type="dxa"/>
          </w:tblCellMar>
        </w:tblPrEx>
        <w:trPr>
          <w:trHeight w:val="212"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LO514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了解行业前沿知识技术。</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B050"/>
                <w:szCs w:val="21"/>
              </w:rPr>
            </w:pPr>
          </w:p>
        </w:tc>
      </w:tr>
      <w:tr>
        <w:tblPrEx>
          <w:tblCellMar>
            <w:top w:w="0" w:type="dxa"/>
            <w:left w:w="108" w:type="dxa"/>
            <w:bottom w:w="0" w:type="dxa"/>
            <w:right w:w="108" w:type="dxa"/>
          </w:tblCellMar>
        </w:tblPrEx>
        <w:trPr>
          <w:trHeight w:val="302"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L061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LO611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能够根据需要进行专业文献检索。</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8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LO612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能够使用适合的工具来搜集信息，并对信息加以分析、鉴别、判断与整合。</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286"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LO613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熟练使用计算机，掌握常用办公软件。</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519" w:hRule="atLeast"/>
        </w:trPr>
        <w:tc>
          <w:tcPr>
            <w:tcW w:w="6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L071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LO711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爱党爱国：了解祖国的优秀传统文化和革命历史，构建爱党爱国的理想信念。</w:t>
            </w:r>
          </w:p>
        </w:tc>
        <w:tc>
          <w:tcPr>
            <w:tcW w:w="68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FF0000"/>
                <w:szCs w:val="21"/>
              </w:rPr>
            </w:pPr>
          </w:p>
        </w:tc>
      </w:tr>
      <w:tr>
        <w:tblPrEx>
          <w:tblCellMar>
            <w:top w:w="0" w:type="dxa"/>
            <w:left w:w="108" w:type="dxa"/>
            <w:bottom w:w="0" w:type="dxa"/>
            <w:right w:w="108" w:type="dxa"/>
          </w:tblCellMar>
        </w:tblPrEx>
        <w:trPr>
          <w:trHeight w:val="31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LO712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助人为乐：富于爱心，懂得感恩，具备助人为乐的品质。</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FF0000"/>
                <w:szCs w:val="21"/>
              </w:rPr>
            </w:pPr>
          </w:p>
        </w:tc>
      </w:tr>
      <w:tr>
        <w:tblPrEx>
          <w:tblCellMar>
            <w:top w:w="0" w:type="dxa"/>
            <w:left w:w="108" w:type="dxa"/>
            <w:bottom w:w="0" w:type="dxa"/>
            <w:right w:w="108" w:type="dxa"/>
          </w:tblCellMar>
        </w:tblPrEx>
        <w:trPr>
          <w:trHeight w:val="263"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LO713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奉献社会：具有服务企业、服务社会的意愿和行为能力。</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FF0000"/>
                <w:szCs w:val="21"/>
              </w:rPr>
            </w:pPr>
          </w:p>
        </w:tc>
      </w:tr>
      <w:tr>
        <w:tblPrEx>
          <w:tblCellMar>
            <w:top w:w="0" w:type="dxa"/>
            <w:left w:w="108" w:type="dxa"/>
            <w:bottom w:w="0" w:type="dxa"/>
            <w:right w:w="108" w:type="dxa"/>
          </w:tblCellMar>
        </w:tblPrEx>
        <w:trPr>
          <w:trHeight w:val="22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LO714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爱护环境：具有爱护环境的意识和与自然和谐相处的环保理念。</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FF0000"/>
                <w:szCs w:val="21"/>
              </w:rPr>
            </w:pPr>
          </w:p>
        </w:tc>
      </w:tr>
      <w:tr>
        <w:tblPrEx>
          <w:tblCellMar>
            <w:top w:w="0" w:type="dxa"/>
            <w:left w:w="108" w:type="dxa"/>
            <w:bottom w:w="0" w:type="dxa"/>
            <w:right w:w="108" w:type="dxa"/>
          </w:tblCellMar>
        </w:tblPrEx>
        <w:trPr>
          <w:trHeight w:val="201"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L081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L0811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具备外语表达沟通能力，达到本专业的要求。</w:t>
            </w:r>
          </w:p>
        </w:tc>
        <w:tc>
          <w:tcPr>
            <w:tcW w:w="680" w:type="dxa"/>
            <w:tcBorders>
              <w:top w:val="nil"/>
              <w:left w:val="nil"/>
              <w:bottom w:val="single" w:color="auto" w:sz="4" w:space="0"/>
              <w:right w:val="single" w:color="auto" w:sz="4" w:space="0"/>
            </w:tcBorders>
            <w:vAlign w:val="center"/>
          </w:tcPr>
          <w:p>
            <w:pPr>
              <w:jc w:val="cente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30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L0812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理解其他国家历史文化，有跨文化交流能力。</w:t>
            </w:r>
          </w:p>
        </w:tc>
        <w:tc>
          <w:tcPr>
            <w:tcW w:w="680" w:type="dxa"/>
            <w:tcBorders>
              <w:top w:val="nil"/>
              <w:left w:val="nil"/>
              <w:bottom w:val="single" w:color="auto" w:sz="4" w:space="0"/>
              <w:right w:val="single" w:color="auto" w:sz="4" w:space="0"/>
            </w:tcBorders>
            <w:vAlign w:val="center"/>
          </w:tcPr>
          <w:p>
            <w:pPr>
              <w:rPr>
                <w:rFonts w:hint="eastAsia" w:ascii="宋体" w:hAnsi="宋体" w:eastAsia="宋体" w:cs="宋体"/>
                <w:color w:val="000000"/>
                <w:szCs w:val="21"/>
              </w:rPr>
            </w:pPr>
          </w:p>
        </w:tc>
      </w:tr>
      <w:tr>
        <w:tblPrEx>
          <w:tblCellMar>
            <w:top w:w="0" w:type="dxa"/>
            <w:left w:w="108" w:type="dxa"/>
            <w:bottom w:w="0" w:type="dxa"/>
            <w:right w:w="108" w:type="dxa"/>
          </w:tblCellMar>
        </w:tblPrEx>
        <w:trPr>
          <w:trHeight w:val="267"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L0813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Cs w:val="21"/>
              </w:rPr>
            </w:pPr>
            <w:r>
              <w:rPr>
                <w:rFonts w:hint="eastAsia" w:ascii="宋体" w:hAnsi="宋体" w:eastAsia="宋体" w:cs="宋体"/>
                <w:color w:val="000000"/>
                <w:kern w:val="0"/>
                <w:szCs w:val="21"/>
              </w:rPr>
              <w:t>有国际竞争与合作意识。</w:t>
            </w:r>
          </w:p>
        </w:tc>
        <w:tc>
          <w:tcPr>
            <w:tcW w:w="680" w:type="dxa"/>
            <w:tcBorders>
              <w:top w:val="nil"/>
              <w:left w:val="nil"/>
              <w:bottom w:val="single" w:color="auto" w:sz="4" w:space="0"/>
              <w:right w:val="single" w:color="auto" w:sz="4" w:space="0"/>
            </w:tcBorders>
            <w:vAlign w:val="center"/>
          </w:tcPr>
          <w:p>
            <w:pPr>
              <w:rPr>
                <w:rFonts w:hint="eastAsia" w:ascii="宋体" w:hAnsi="宋体" w:eastAsia="宋体" w:cs="宋体"/>
                <w:color w:val="000000"/>
                <w:szCs w:val="21"/>
              </w:rPr>
            </w:pPr>
          </w:p>
        </w:tc>
      </w:tr>
      <w:bookmarkEnd w:id="2"/>
    </w:tbl>
    <w:p>
      <w:pPr>
        <w:spacing w:before="156" w:beforeLines="50" w:after="156" w:afterLines="50" w:line="288" w:lineRule="auto"/>
        <w:ind w:firstLine="360" w:firstLineChars="150"/>
        <w:rPr>
          <w:rFonts w:hint="eastAsia" w:ascii="黑体" w:hAnsi="宋体" w:eastAsia="黑体" w:cs="Times New Roman"/>
          <w:sz w:val="24"/>
          <w:lang w:val="en-US"/>
        </w:rPr>
      </w:pPr>
      <w:r>
        <w:rPr>
          <w:rFonts w:hint="eastAsia" w:ascii="黑体" w:hAnsi="宋体" w:eastAsia="黑体" w:cs="Times New Roman"/>
          <w:sz w:val="24"/>
          <w:lang w:val="en-US"/>
        </w:rPr>
        <w:t>五、课程目标/课程预期学习成果</w:t>
      </w:r>
    </w:p>
    <w:tbl>
      <w:tblPr>
        <w:tblStyle w:val="4"/>
        <w:tblpPr w:leftFromText="180" w:rightFromText="180" w:vertAnchor="text" w:horzAnchor="page" w:tblpX="2163" w:tblpY="152"/>
        <w:tblOverlap w:val="never"/>
        <w:tblW w:w="8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序号</w:t>
            </w:r>
          </w:p>
        </w:tc>
        <w:tc>
          <w:tcPr>
            <w:tcW w:w="1175" w:type="dxa"/>
            <w:shd w:val="clear" w:color="auto" w:fill="auto"/>
          </w:tcPr>
          <w:p>
            <w:pPr>
              <w:snapToGrid w:val="0"/>
              <w:spacing w:line="288" w:lineRule="auto"/>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课程预期</w:t>
            </w:r>
          </w:p>
          <w:p>
            <w:pPr>
              <w:snapToGrid w:val="0"/>
              <w:spacing w:line="288" w:lineRule="auto"/>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学习成果</w:t>
            </w:r>
          </w:p>
        </w:tc>
        <w:tc>
          <w:tcPr>
            <w:tcW w:w="2470" w:type="dxa"/>
            <w:shd w:val="clear" w:color="auto" w:fill="auto"/>
            <w:vAlign w:val="center"/>
          </w:tcPr>
          <w:p>
            <w:pPr>
              <w:snapToGrid w:val="0"/>
              <w:spacing w:line="288" w:lineRule="auto"/>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课程目标</w:t>
            </w:r>
          </w:p>
          <w:p>
            <w:pPr>
              <w:snapToGrid w:val="0"/>
              <w:spacing w:line="288" w:lineRule="auto"/>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（细化的预期学习成果）</w:t>
            </w:r>
          </w:p>
        </w:tc>
        <w:tc>
          <w:tcPr>
            <w:tcW w:w="2199" w:type="dxa"/>
            <w:shd w:val="clear" w:color="auto" w:fill="auto"/>
            <w:vAlign w:val="center"/>
          </w:tcPr>
          <w:p>
            <w:pPr>
              <w:snapToGrid w:val="0"/>
              <w:spacing w:line="288" w:lineRule="auto"/>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教与学方式</w:t>
            </w:r>
          </w:p>
        </w:tc>
        <w:tc>
          <w:tcPr>
            <w:tcW w:w="1758" w:type="dxa"/>
            <w:shd w:val="clear" w:color="auto" w:fill="auto"/>
            <w:vAlign w:val="center"/>
          </w:tcPr>
          <w:p>
            <w:pPr>
              <w:snapToGrid w:val="0"/>
              <w:spacing w:line="288" w:lineRule="auto"/>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hint="eastAsia" w:ascii="宋体" w:hAnsi="宋体" w:eastAsia="宋体" w:cs="宋体"/>
                <w:color w:val="000000"/>
                <w:kern w:val="0"/>
                <w:sz w:val="24"/>
              </w:rPr>
            </w:pPr>
            <w:r>
              <w:rPr>
                <w:rFonts w:hint="eastAsia" w:ascii="宋体" w:hAnsi="宋体" w:eastAsia="宋体" w:cs="宋体"/>
                <w:color w:val="000000"/>
                <w:kern w:val="0"/>
                <w:sz w:val="24"/>
                <w:szCs w:val="24"/>
              </w:rPr>
              <w:t>1</w:t>
            </w:r>
          </w:p>
        </w:tc>
        <w:tc>
          <w:tcPr>
            <w:tcW w:w="1175" w:type="dxa"/>
            <w:vMerge w:val="restart"/>
            <w:shd w:val="clear" w:color="auto" w:fill="auto"/>
            <w:vAlign w:val="center"/>
          </w:tcPr>
          <w:p>
            <w:pPr>
              <w:rPr>
                <w:rFonts w:hint="eastAsia" w:ascii="宋体" w:hAnsi="宋体" w:eastAsia="宋体" w:cs="宋体"/>
                <w:color w:val="000000"/>
                <w:kern w:val="0"/>
                <w:sz w:val="24"/>
              </w:rPr>
            </w:pPr>
            <w:r>
              <w:rPr>
                <w:rFonts w:hint="eastAsia" w:ascii="宋体" w:hAnsi="宋体" w:eastAsia="宋体" w:cs="宋体"/>
                <w:color w:val="000000"/>
                <w:kern w:val="0"/>
                <w:sz w:val="24"/>
                <w:szCs w:val="24"/>
              </w:rPr>
              <w:t>LO111</w:t>
            </w:r>
          </w:p>
        </w:tc>
        <w:tc>
          <w:tcPr>
            <w:tcW w:w="2470" w:type="dxa"/>
            <w:shd w:val="clear" w:color="auto" w:fill="auto"/>
          </w:tcPr>
          <w:p>
            <w:pPr>
              <w:rPr>
                <w:rFonts w:hint="eastAsia" w:ascii="宋体" w:hAnsi="宋体" w:eastAsia="宋体" w:cs="宋体"/>
                <w:color w:val="000000"/>
                <w:kern w:val="0"/>
                <w:sz w:val="24"/>
              </w:rPr>
            </w:pPr>
            <w:r>
              <w:rPr>
                <w:rFonts w:hint="eastAsia" w:ascii="宋体" w:hAnsi="宋体" w:eastAsia="宋体" w:cs="宋体"/>
                <w:color w:val="000000"/>
                <w:sz w:val="20"/>
                <w:szCs w:val="20"/>
              </w:rPr>
              <w:t>1.了解并掌握德语语法系统结构，能够正确运用德语语法与他人进行沟通和交流</w:t>
            </w:r>
          </w:p>
        </w:tc>
        <w:tc>
          <w:tcPr>
            <w:tcW w:w="2199" w:type="dxa"/>
            <w:shd w:val="clear" w:color="auto" w:fill="auto"/>
          </w:tcPr>
          <w:p>
            <w:pPr>
              <w:snapToGrid w:val="0"/>
              <w:spacing w:line="288" w:lineRule="auto"/>
              <w:jc w:val="center"/>
              <w:rPr>
                <w:rFonts w:hint="eastAsia" w:ascii="宋体" w:hAnsi="宋体" w:eastAsia="宋体" w:cs="宋体"/>
                <w:sz w:val="24"/>
              </w:rPr>
            </w:pPr>
            <w:r>
              <w:rPr>
                <w:rFonts w:hint="eastAsia" w:ascii="宋体" w:hAnsi="宋体" w:eastAsia="宋体" w:cs="宋体"/>
                <w:color w:val="000000"/>
                <w:sz w:val="20"/>
                <w:szCs w:val="20"/>
              </w:rPr>
              <w:t>讲授，课堂讨论</w:t>
            </w:r>
          </w:p>
        </w:tc>
        <w:tc>
          <w:tcPr>
            <w:tcW w:w="1758" w:type="dxa"/>
            <w:shd w:val="clear" w:color="auto" w:fill="auto"/>
          </w:tcPr>
          <w:p>
            <w:pPr>
              <w:snapToGrid w:val="0"/>
              <w:spacing w:line="288" w:lineRule="auto"/>
              <w:jc w:val="center"/>
              <w:rPr>
                <w:rFonts w:hint="eastAsia" w:ascii="宋体" w:hAnsi="宋体" w:eastAsia="宋体" w:cs="宋体"/>
                <w:sz w:val="24"/>
              </w:rPr>
            </w:pPr>
            <w:r>
              <w:rPr>
                <w:rFonts w:hint="eastAsia" w:ascii="宋体" w:hAnsi="宋体" w:eastAsia="宋体" w:cs="宋体"/>
                <w:color w:val="000000"/>
                <w:sz w:val="20"/>
                <w:szCs w:val="20"/>
              </w:rPr>
              <w:t>平时作业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hint="eastAsia" w:ascii="宋体" w:hAnsi="宋体" w:eastAsia="宋体" w:cs="宋体"/>
                <w:color w:val="000000"/>
                <w:kern w:val="0"/>
                <w:sz w:val="24"/>
              </w:rPr>
            </w:pPr>
          </w:p>
        </w:tc>
        <w:tc>
          <w:tcPr>
            <w:tcW w:w="1175" w:type="dxa"/>
            <w:vMerge w:val="continue"/>
            <w:shd w:val="clear" w:color="auto" w:fill="auto"/>
          </w:tcPr>
          <w:p>
            <w:pPr>
              <w:rPr>
                <w:rFonts w:hint="eastAsia" w:ascii="宋体" w:hAnsi="宋体" w:eastAsia="宋体" w:cs="宋体"/>
                <w:color w:val="000000"/>
                <w:kern w:val="0"/>
                <w:sz w:val="24"/>
              </w:rPr>
            </w:pPr>
          </w:p>
        </w:tc>
        <w:tc>
          <w:tcPr>
            <w:tcW w:w="2470" w:type="dxa"/>
            <w:shd w:val="clear" w:color="auto" w:fill="auto"/>
          </w:tcPr>
          <w:p>
            <w:pPr>
              <w:rPr>
                <w:rFonts w:hint="eastAsia" w:ascii="宋体" w:hAnsi="宋体" w:eastAsia="宋体" w:cs="宋体"/>
                <w:color w:val="000000"/>
                <w:kern w:val="0"/>
                <w:sz w:val="24"/>
              </w:rPr>
            </w:pPr>
            <w:r>
              <w:rPr>
                <w:rFonts w:hint="eastAsia" w:ascii="宋体" w:hAnsi="宋体" w:eastAsia="宋体" w:cs="宋体"/>
                <w:color w:val="000000"/>
                <w:kern w:val="0"/>
                <w:sz w:val="24"/>
                <w:szCs w:val="24"/>
              </w:rPr>
              <w:t xml:space="preserve"> </w:t>
            </w:r>
          </w:p>
        </w:tc>
        <w:tc>
          <w:tcPr>
            <w:tcW w:w="2199" w:type="dxa"/>
            <w:shd w:val="clear" w:color="auto" w:fill="auto"/>
          </w:tcPr>
          <w:p>
            <w:pPr>
              <w:snapToGrid w:val="0"/>
              <w:spacing w:line="288" w:lineRule="auto"/>
              <w:jc w:val="center"/>
              <w:rPr>
                <w:rFonts w:hint="eastAsia" w:ascii="宋体" w:hAnsi="宋体" w:eastAsia="宋体" w:cs="宋体"/>
                <w:sz w:val="24"/>
              </w:rPr>
            </w:pPr>
            <w:r>
              <w:rPr>
                <w:rFonts w:hint="eastAsia" w:ascii="宋体" w:hAnsi="宋体" w:eastAsia="宋体" w:cs="宋体"/>
                <w:color w:val="000000"/>
                <w:sz w:val="20"/>
                <w:szCs w:val="20"/>
              </w:rPr>
              <w:t xml:space="preserve"> </w:t>
            </w:r>
          </w:p>
        </w:tc>
        <w:tc>
          <w:tcPr>
            <w:tcW w:w="1758" w:type="dxa"/>
            <w:shd w:val="clear" w:color="auto" w:fill="auto"/>
          </w:tcPr>
          <w:p>
            <w:pPr>
              <w:snapToGrid w:val="0"/>
              <w:spacing w:line="288"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hint="eastAsia" w:ascii="宋体" w:hAnsi="宋体" w:eastAsia="宋体" w:cs="宋体"/>
                <w:color w:val="000000"/>
                <w:kern w:val="0"/>
                <w:sz w:val="24"/>
              </w:rPr>
            </w:pPr>
            <w:r>
              <w:rPr>
                <w:rFonts w:hint="eastAsia" w:ascii="宋体" w:hAnsi="宋体" w:eastAsia="宋体" w:cs="宋体"/>
                <w:color w:val="000000"/>
                <w:kern w:val="0"/>
                <w:sz w:val="24"/>
                <w:szCs w:val="24"/>
              </w:rPr>
              <w:t>2</w:t>
            </w:r>
          </w:p>
        </w:tc>
        <w:tc>
          <w:tcPr>
            <w:tcW w:w="1175" w:type="dxa"/>
            <w:vMerge w:val="restart"/>
            <w:shd w:val="clear" w:color="auto" w:fill="auto"/>
          </w:tcPr>
          <w:p>
            <w:pPr>
              <w:rPr>
                <w:rFonts w:hint="eastAsia" w:ascii="宋体" w:hAnsi="宋体" w:eastAsia="宋体" w:cs="宋体"/>
                <w:color w:val="000000"/>
                <w:kern w:val="0"/>
                <w:sz w:val="24"/>
              </w:rPr>
            </w:pPr>
            <w:r>
              <w:rPr>
                <w:rFonts w:hint="eastAsia" w:ascii="宋体" w:hAnsi="宋体" w:eastAsia="宋体" w:cs="宋体"/>
                <w:color w:val="000000"/>
                <w:kern w:val="0"/>
                <w:sz w:val="24"/>
                <w:szCs w:val="24"/>
              </w:rPr>
              <w:t>LO211</w:t>
            </w:r>
          </w:p>
        </w:tc>
        <w:tc>
          <w:tcPr>
            <w:tcW w:w="2470" w:type="dxa"/>
            <w:shd w:val="clear" w:color="auto" w:fill="auto"/>
          </w:tcPr>
          <w:p>
            <w:pPr>
              <w:rPr>
                <w:rFonts w:hint="eastAsia" w:ascii="宋体" w:hAnsi="宋体" w:eastAsia="宋体" w:cs="宋体"/>
                <w:color w:val="000000"/>
                <w:kern w:val="0"/>
                <w:sz w:val="24"/>
              </w:rPr>
            </w:pPr>
            <w:r>
              <w:rPr>
                <w:rFonts w:hint="eastAsia" w:ascii="宋体" w:hAnsi="宋体" w:eastAsia="宋体" w:cs="宋体"/>
                <w:color w:val="000000"/>
                <w:kern w:val="0"/>
                <w:sz w:val="24"/>
                <w:szCs w:val="24"/>
              </w:rPr>
              <w:t>1.</w:t>
            </w:r>
            <w:r>
              <w:rPr>
                <w:rFonts w:hint="eastAsia" w:ascii="宋体" w:hAnsi="宋体" w:eastAsia="宋体" w:cs="宋体"/>
                <w:color w:val="000000"/>
                <w:sz w:val="20"/>
                <w:szCs w:val="20"/>
              </w:rPr>
              <w:t>制定德语学习计划和语法复习练习计划，按计划完成学习阶段</w:t>
            </w:r>
          </w:p>
        </w:tc>
        <w:tc>
          <w:tcPr>
            <w:tcW w:w="2199" w:type="dxa"/>
            <w:shd w:val="clear" w:color="auto" w:fill="auto"/>
          </w:tcPr>
          <w:p>
            <w:pPr>
              <w:snapToGrid w:val="0"/>
              <w:spacing w:line="288" w:lineRule="auto"/>
              <w:jc w:val="center"/>
              <w:rPr>
                <w:rFonts w:hint="eastAsia" w:ascii="宋体" w:hAnsi="宋体" w:eastAsia="宋体" w:cs="宋体"/>
                <w:sz w:val="24"/>
              </w:rPr>
            </w:pPr>
            <w:r>
              <w:rPr>
                <w:rFonts w:hint="eastAsia" w:ascii="宋体" w:hAnsi="宋体" w:eastAsia="宋体" w:cs="宋体"/>
                <w:color w:val="000000"/>
                <w:sz w:val="20"/>
                <w:szCs w:val="20"/>
              </w:rPr>
              <w:t>学生自行检索资料，按时完成作业及练习</w:t>
            </w:r>
          </w:p>
        </w:tc>
        <w:tc>
          <w:tcPr>
            <w:tcW w:w="1758" w:type="dxa"/>
            <w:shd w:val="clear" w:color="auto" w:fill="auto"/>
          </w:tcPr>
          <w:p>
            <w:pPr>
              <w:snapToGrid w:val="0"/>
              <w:spacing w:line="288" w:lineRule="auto"/>
              <w:jc w:val="center"/>
              <w:rPr>
                <w:rFonts w:hint="eastAsia" w:ascii="宋体" w:hAnsi="宋体" w:eastAsia="宋体" w:cs="宋体"/>
                <w:sz w:val="24"/>
              </w:rPr>
            </w:pPr>
            <w:r>
              <w:rPr>
                <w:rFonts w:hint="eastAsia" w:ascii="宋体" w:hAnsi="宋体" w:eastAsia="宋体" w:cs="宋体"/>
                <w:color w:val="000000"/>
                <w:sz w:val="20"/>
                <w:szCs w:val="20"/>
              </w:rPr>
              <w:t>平时作业、课堂参与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hint="eastAsia" w:ascii="宋体" w:hAnsi="宋体" w:eastAsia="宋体" w:cs="宋体"/>
                <w:color w:val="000000"/>
                <w:kern w:val="0"/>
                <w:sz w:val="24"/>
              </w:rPr>
            </w:pPr>
          </w:p>
        </w:tc>
        <w:tc>
          <w:tcPr>
            <w:tcW w:w="1175" w:type="dxa"/>
            <w:vMerge w:val="continue"/>
            <w:shd w:val="clear" w:color="auto" w:fill="auto"/>
          </w:tcPr>
          <w:p>
            <w:pPr>
              <w:rPr>
                <w:rFonts w:hint="eastAsia" w:ascii="宋体" w:hAnsi="宋体" w:eastAsia="宋体" w:cs="宋体"/>
                <w:color w:val="000000"/>
                <w:kern w:val="0"/>
                <w:sz w:val="24"/>
              </w:rPr>
            </w:pPr>
          </w:p>
        </w:tc>
        <w:tc>
          <w:tcPr>
            <w:tcW w:w="2470" w:type="dxa"/>
            <w:shd w:val="clear" w:color="auto" w:fill="auto"/>
          </w:tcPr>
          <w:p>
            <w:pPr>
              <w:rPr>
                <w:rFonts w:hint="eastAsia" w:ascii="宋体" w:hAnsi="宋体" w:eastAsia="宋体" w:cs="宋体"/>
                <w:color w:val="000000"/>
                <w:kern w:val="0"/>
                <w:sz w:val="24"/>
              </w:rPr>
            </w:pPr>
            <w:r>
              <w:rPr>
                <w:rFonts w:hint="eastAsia" w:ascii="宋体" w:hAnsi="宋体" w:eastAsia="宋体" w:cs="宋体"/>
                <w:color w:val="000000"/>
                <w:kern w:val="0"/>
                <w:sz w:val="24"/>
                <w:szCs w:val="24"/>
              </w:rPr>
              <w:t>2.</w:t>
            </w:r>
          </w:p>
        </w:tc>
        <w:tc>
          <w:tcPr>
            <w:tcW w:w="2199" w:type="dxa"/>
            <w:shd w:val="clear" w:color="auto" w:fill="auto"/>
          </w:tcPr>
          <w:p>
            <w:pPr>
              <w:snapToGrid w:val="0"/>
              <w:spacing w:line="288" w:lineRule="auto"/>
              <w:jc w:val="center"/>
              <w:rPr>
                <w:rFonts w:hint="eastAsia" w:ascii="宋体" w:hAnsi="宋体" w:eastAsia="宋体" w:cs="宋体"/>
                <w:sz w:val="24"/>
              </w:rPr>
            </w:pPr>
          </w:p>
        </w:tc>
        <w:tc>
          <w:tcPr>
            <w:tcW w:w="1758" w:type="dxa"/>
            <w:shd w:val="clear" w:color="auto" w:fill="auto"/>
          </w:tcPr>
          <w:p>
            <w:pPr>
              <w:snapToGrid w:val="0"/>
              <w:spacing w:line="288"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1175" w:type="dxa"/>
            <w:shd w:val="clear" w:color="auto" w:fill="auto"/>
          </w:tcPr>
          <w:p>
            <w:pPr>
              <w:rPr>
                <w:rFonts w:hint="eastAsia" w:ascii="宋体" w:hAnsi="宋体" w:eastAsia="宋体" w:cs="宋体"/>
                <w:color w:val="000000"/>
                <w:kern w:val="0"/>
                <w:sz w:val="24"/>
              </w:rPr>
            </w:pPr>
            <w:r>
              <w:rPr>
                <w:rFonts w:hint="eastAsia" w:ascii="宋体" w:hAnsi="宋体" w:eastAsia="宋体" w:cs="宋体"/>
                <w:color w:val="000000"/>
                <w:kern w:val="0"/>
                <w:sz w:val="24"/>
              </w:rPr>
              <w:t>LO312</w:t>
            </w:r>
          </w:p>
        </w:tc>
        <w:tc>
          <w:tcPr>
            <w:tcW w:w="2470" w:type="dxa"/>
            <w:shd w:val="clear" w:color="auto" w:fill="auto"/>
          </w:tcPr>
          <w:p>
            <w:pPr>
              <w:rPr>
                <w:rFonts w:hint="eastAsia" w:ascii="宋体" w:hAnsi="宋体" w:eastAsia="宋体" w:cs="宋体"/>
                <w:color w:val="000000"/>
                <w:sz w:val="20"/>
                <w:szCs w:val="20"/>
              </w:rPr>
            </w:pPr>
            <w:r>
              <w:rPr>
                <w:rFonts w:hint="eastAsia" w:ascii="宋体" w:hAnsi="宋体" w:eastAsia="宋体" w:cs="宋体"/>
                <w:color w:val="000000"/>
                <w:sz w:val="20"/>
                <w:szCs w:val="20"/>
              </w:rPr>
              <w:t>正确运用德语语法，并且能够运用到听说读写译各个方面</w:t>
            </w:r>
          </w:p>
        </w:tc>
        <w:tc>
          <w:tcPr>
            <w:tcW w:w="2199" w:type="dxa"/>
            <w:shd w:val="clear" w:color="auto" w:fill="auto"/>
          </w:tcPr>
          <w:p>
            <w:pPr>
              <w:snapToGrid w:val="0"/>
              <w:spacing w:line="288" w:lineRule="auto"/>
              <w:jc w:val="center"/>
              <w:rPr>
                <w:rFonts w:hint="eastAsia" w:ascii="宋体" w:hAnsi="宋体" w:eastAsia="宋体" w:cs="宋体"/>
                <w:color w:val="000000"/>
                <w:sz w:val="20"/>
                <w:szCs w:val="20"/>
              </w:rPr>
            </w:pPr>
            <w:r>
              <w:rPr>
                <w:rFonts w:hint="eastAsia" w:ascii="宋体" w:hAnsi="宋体" w:eastAsia="宋体" w:cs="宋体"/>
                <w:color w:val="000000"/>
                <w:sz w:val="20"/>
                <w:szCs w:val="20"/>
              </w:rPr>
              <w:t>师生共同讨论、练习</w:t>
            </w:r>
          </w:p>
        </w:tc>
        <w:tc>
          <w:tcPr>
            <w:tcW w:w="1758" w:type="dxa"/>
            <w:shd w:val="clear" w:color="auto" w:fill="auto"/>
          </w:tcPr>
          <w:p>
            <w:pPr>
              <w:snapToGrid w:val="0"/>
              <w:spacing w:line="288" w:lineRule="auto"/>
              <w:jc w:val="center"/>
              <w:rPr>
                <w:rFonts w:hint="eastAsia" w:ascii="宋体" w:hAnsi="宋体" w:eastAsia="宋体" w:cs="宋体"/>
                <w:color w:val="000000"/>
                <w:sz w:val="20"/>
                <w:szCs w:val="20"/>
              </w:rPr>
            </w:pPr>
            <w:r>
              <w:rPr>
                <w:rFonts w:hint="eastAsia" w:ascii="宋体" w:hAnsi="宋体" w:eastAsia="宋体" w:cs="宋体"/>
                <w:color w:val="000000"/>
                <w:sz w:val="20"/>
                <w:szCs w:val="20"/>
              </w:rPr>
              <w:t>期末测试</w:t>
            </w:r>
          </w:p>
        </w:tc>
      </w:tr>
    </w:tbl>
    <w:p>
      <w:pPr>
        <w:snapToGrid w:val="0"/>
        <w:spacing w:line="288" w:lineRule="auto"/>
        <w:rPr>
          <w:rFonts w:hint="eastAsia" w:ascii="宋体" w:hAnsi="宋体" w:eastAsia="宋体" w:cs="宋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rFonts w:ascii="宋体" w:hAnsi="宋体"/>
          <w:sz w:val="20"/>
          <w:szCs w:val="20"/>
        </w:rPr>
      </w:pPr>
      <w:r>
        <w:rPr>
          <w:rFonts w:hint="eastAsia"/>
          <w:bCs/>
          <w:sz w:val="20"/>
          <w:szCs w:val="20"/>
        </w:rPr>
        <w:t>本课程总课时为</w:t>
      </w:r>
      <w:r>
        <w:rPr>
          <w:bCs/>
          <w:sz w:val="20"/>
          <w:szCs w:val="20"/>
        </w:rPr>
        <w:t>32</w:t>
      </w:r>
      <w:r>
        <w:rPr>
          <w:rFonts w:hint="eastAsia"/>
          <w:bCs/>
          <w:sz w:val="20"/>
          <w:szCs w:val="20"/>
        </w:rPr>
        <w:t>学时，理论课时为</w:t>
      </w:r>
      <w:r>
        <w:rPr>
          <w:bCs/>
          <w:sz w:val="20"/>
          <w:szCs w:val="20"/>
        </w:rPr>
        <w:t>32</w:t>
      </w:r>
      <w:r>
        <w:rPr>
          <w:rFonts w:hint="eastAsia"/>
          <w:bCs/>
          <w:sz w:val="20"/>
          <w:szCs w:val="20"/>
        </w:rPr>
        <w:t>学时。</w:t>
      </w:r>
    </w:p>
    <w:p>
      <w:pPr>
        <w:snapToGrid w:val="0"/>
        <w:spacing w:line="288" w:lineRule="auto"/>
        <w:ind w:firstLine="400" w:firstLineChars="200"/>
        <w:rPr>
          <w:rFonts w:ascii="宋体" w:hAnsi="宋体"/>
          <w:sz w:val="20"/>
          <w:szCs w:val="20"/>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489"/>
        <w:gridCol w:w="1886"/>
        <w:gridCol w:w="1579"/>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p>
        </w:tc>
        <w:tc>
          <w:tcPr>
            <w:tcW w:w="2489" w:type="dxa"/>
          </w:tcPr>
          <w:p>
            <w:pPr>
              <w:snapToGrid w:val="0"/>
              <w:spacing w:line="288" w:lineRule="auto"/>
              <w:jc w:val="center"/>
              <w:rPr>
                <w:rFonts w:ascii="宋体" w:hAnsi="宋体" w:eastAsia="宋体" w:cs="Times New Roman"/>
                <w:kern w:val="0"/>
                <w:sz w:val="18"/>
                <w:szCs w:val="20"/>
              </w:rPr>
            </w:pPr>
            <w:r>
              <w:rPr>
                <w:rFonts w:hint="eastAsia" w:ascii="宋体" w:hAnsi="宋体" w:eastAsia="宋体" w:cs="Times New Roman"/>
                <w:kern w:val="0"/>
                <w:sz w:val="18"/>
                <w:szCs w:val="20"/>
              </w:rPr>
              <w:t>知识点</w:t>
            </w:r>
          </w:p>
        </w:tc>
        <w:tc>
          <w:tcPr>
            <w:tcW w:w="1886" w:type="dxa"/>
          </w:tcPr>
          <w:p>
            <w:pPr>
              <w:snapToGrid w:val="0"/>
              <w:spacing w:line="288" w:lineRule="auto"/>
              <w:jc w:val="center"/>
              <w:rPr>
                <w:rFonts w:ascii="宋体" w:hAnsi="宋体" w:eastAsia="宋体" w:cs="Times New Roman"/>
                <w:kern w:val="0"/>
                <w:sz w:val="18"/>
                <w:szCs w:val="20"/>
              </w:rPr>
            </w:pPr>
            <w:r>
              <w:rPr>
                <w:rFonts w:hint="eastAsia" w:ascii="宋体" w:hAnsi="宋体" w:eastAsia="宋体" w:cs="Times New Roman"/>
                <w:kern w:val="0"/>
                <w:sz w:val="18"/>
                <w:szCs w:val="20"/>
              </w:rPr>
              <w:t>能力要求</w:t>
            </w:r>
          </w:p>
        </w:tc>
        <w:tc>
          <w:tcPr>
            <w:tcW w:w="1579" w:type="dxa"/>
          </w:tcPr>
          <w:p>
            <w:pPr>
              <w:snapToGrid w:val="0"/>
              <w:spacing w:line="288" w:lineRule="auto"/>
              <w:jc w:val="center"/>
              <w:rPr>
                <w:rFonts w:ascii="宋体" w:hAnsi="宋体" w:eastAsia="宋体" w:cs="Times New Roman"/>
                <w:kern w:val="0"/>
                <w:sz w:val="18"/>
                <w:szCs w:val="20"/>
              </w:rPr>
            </w:pPr>
            <w:r>
              <w:rPr>
                <w:rFonts w:hint="eastAsia" w:ascii="宋体" w:hAnsi="宋体" w:eastAsia="宋体" w:cs="Times New Roman"/>
                <w:kern w:val="0"/>
                <w:sz w:val="18"/>
                <w:szCs w:val="20"/>
              </w:rPr>
              <w:t>教学难点</w:t>
            </w:r>
          </w:p>
        </w:tc>
        <w:tc>
          <w:tcPr>
            <w:tcW w:w="1575" w:type="dxa"/>
          </w:tcPr>
          <w:p>
            <w:pPr>
              <w:snapToGrid w:val="0"/>
              <w:spacing w:line="288" w:lineRule="auto"/>
              <w:jc w:val="center"/>
              <w:rPr>
                <w:rFonts w:ascii="宋体" w:hAnsi="宋体" w:eastAsia="宋体" w:cs="Times New Roman"/>
                <w:kern w:val="0"/>
                <w:sz w:val="18"/>
                <w:szCs w:val="20"/>
              </w:rPr>
            </w:pPr>
            <w:r>
              <w:rPr>
                <w:rFonts w:hint="eastAsia" w:ascii="宋体" w:hAnsi="宋体" w:eastAsia="宋体" w:cs="Times New Roman"/>
                <w:kern w:val="0"/>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r>
              <w:rPr>
                <w:rFonts w:hint="eastAsia" w:ascii="宋体" w:hAnsi="宋体" w:eastAsia="宋体" w:cs="Times New Roman"/>
                <w:kern w:val="0"/>
                <w:sz w:val="20"/>
                <w:szCs w:val="20"/>
              </w:rPr>
              <w:t>第一单元</w:t>
            </w:r>
          </w:p>
        </w:tc>
        <w:tc>
          <w:tcPr>
            <w:tcW w:w="248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第一虚拟式、第二虚拟式</w:t>
            </w:r>
          </w:p>
          <w:p>
            <w:pPr>
              <w:snapToGrid w:val="0"/>
              <w:spacing w:line="288" w:lineRule="auto"/>
              <w:rPr>
                <w:rFonts w:ascii="宋体" w:hAnsi="宋体" w:eastAsia="宋体" w:cs="Times New Roman"/>
                <w:kern w:val="0"/>
                <w:sz w:val="18"/>
                <w:szCs w:val="20"/>
              </w:rPr>
            </w:pPr>
          </w:p>
        </w:tc>
        <w:tc>
          <w:tcPr>
            <w:tcW w:w="1886"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知道第一虚拟式、第二虚拟式的内容，能够运用第一虚拟式、第二虚拟式进行造句和改写，能够读懂第一虚拟式、第二虚拟式的相应句子。</w:t>
            </w:r>
          </w:p>
          <w:p>
            <w:pPr>
              <w:snapToGrid w:val="0"/>
              <w:spacing w:line="288" w:lineRule="auto"/>
              <w:rPr>
                <w:rFonts w:ascii="宋体" w:hAnsi="宋体" w:eastAsia="宋体" w:cs="Times New Roman"/>
                <w:kern w:val="0"/>
                <w:sz w:val="18"/>
                <w:szCs w:val="20"/>
              </w:rPr>
            </w:pPr>
          </w:p>
        </w:tc>
        <w:tc>
          <w:tcPr>
            <w:tcW w:w="157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二虚拟各个时态的运用</w:t>
            </w:r>
          </w:p>
        </w:tc>
        <w:tc>
          <w:tcPr>
            <w:tcW w:w="1575"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r>
              <w:rPr>
                <w:rFonts w:hint="eastAsia" w:ascii="宋体" w:hAnsi="宋体" w:eastAsia="宋体" w:cs="Times New Roman"/>
                <w:kern w:val="0"/>
                <w:sz w:val="20"/>
                <w:szCs w:val="20"/>
              </w:rPr>
              <w:t>第二单元</w:t>
            </w:r>
          </w:p>
        </w:tc>
        <w:tc>
          <w:tcPr>
            <w:tcW w:w="2489" w:type="dxa"/>
          </w:tcPr>
          <w:p>
            <w:pPr>
              <w:snapToGrid w:val="0"/>
              <w:spacing w:line="288" w:lineRule="auto"/>
              <w:rPr>
                <w:rFonts w:ascii="宋体" w:hAnsi="宋体" w:eastAsia="宋体" w:cs="Times New Roman"/>
                <w:kern w:val="0"/>
                <w:sz w:val="18"/>
                <w:szCs w:val="20"/>
              </w:rPr>
            </w:pPr>
            <w:r>
              <w:rPr>
                <w:rFonts w:ascii="宋体" w:hAnsi="宋体" w:eastAsia="宋体" w:cs="Times New Roman"/>
                <w:kern w:val="0"/>
                <w:sz w:val="18"/>
                <w:szCs w:val="20"/>
              </w:rPr>
              <w:t>es</w:t>
            </w:r>
            <w:r>
              <w:rPr>
                <w:rFonts w:hint="eastAsia" w:ascii="宋体" w:hAnsi="宋体" w:eastAsia="宋体" w:cs="Times New Roman"/>
                <w:kern w:val="0"/>
                <w:sz w:val="18"/>
                <w:szCs w:val="20"/>
              </w:rPr>
              <w:t>的用法</w:t>
            </w:r>
          </w:p>
        </w:tc>
        <w:tc>
          <w:tcPr>
            <w:tcW w:w="1886"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知道es的各种用法能且能够区分es在就句中的含义</w:t>
            </w:r>
          </w:p>
        </w:tc>
        <w:tc>
          <w:tcPr>
            <w:tcW w:w="157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es与das的区别</w:t>
            </w:r>
          </w:p>
        </w:tc>
        <w:tc>
          <w:tcPr>
            <w:tcW w:w="1575" w:type="dxa"/>
          </w:tcPr>
          <w:p>
            <w:pPr>
              <w:snapToGrid w:val="0"/>
              <w:spacing w:line="288" w:lineRule="auto"/>
              <w:rPr>
                <w:rFonts w:ascii="宋体" w:hAnsi="宋体" w:eastAsia="宋体" w:cs="Times New Roman"/>
                <w:kern w:val="0"/>
                <w:sz w:val="18"/>
                <w:szCs w:val="20"/>
              </w:rPr>
            </w:pPr>
            <w:r>
              <w:rPr>
                <w:rFonts w:ascii="宋体" w:hAnsi="宋体" w:eastAsia="宋体" w:cs="Times New Roman"/>
                <w:kern w:val="0"/>
                <w:sz w:val="18"/>
                <w:szCs w:val="20"/>
              </w:rPr>
              <w:t>2</w:t>
            </w:r>
            <w:r>
              <w:rPr>
                <w:rFonts w:hint="eastAsia" w:ascii="宋体" w:hAnsi="宋体" w:eastAsia="宋体" w:cs="Times New Roman"/>
                <w:kern w:val="0"/>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r>
              <w:rPr>
                <w:rFonts w:hint="eastAsia" w:ascii="宋体" w:hAnsi="宋体" w:eastAsia="宋体" w:cs="Times New Roman"/>
                <w:kern w:val="0"/>
                <w:sz w:val="20"/>
                <w:szCs w:val="20"/>
              </w:rPr>
              <w:t>第三单元</w:t>
            </w:r>
          </w:p>
        </w:tc>
        <w:tc>
          <w:tcPr>
            <w:tcW w:w="248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第一分词、第二分词</w:t>
            </w:r>
          </w:p>
          <w:p>
            <w:pPr>
              <w:snapToGrid w:val="0"/>
              <w:spacing w:line="288" w:lineRule="auto"/>
              <w:rPr>
                <w:rFonts w:ascii="宋体" w:hAnsi="宋体" w:eastAsia="宋体" w:cs="Times New Roman"/>
                <w:kern w:val="0"/>
                <w:sz w:val="18"/>
                <w:szCs w:val="20"/>
              </w:rPr>
            </w:pPr>
          </w:p>
        </w:tc>
        <w:tc>
          <w:tcPr>
            <w:tcW w:w="1886"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知道第一分词、第二分词的用法和特征，能够运用第一分词、第二分词</w:t>
            </w:r>
          </w:p>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进行造句和改写</w:t>
            </w:r>
          </w:p>
        </w:tc>
        <w:tc>
          <w:tcPr>
            <w:tcW w:w="157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分词和关系从句的相互改写</w:t>
            </w:r>
          </w:p>
        </w:tc>
        <w:tc>
          <w:tcPr>
            <w:tcW w:w="1575" w:type="dxa"/>
          </w:tcPr>
          <w:p>
            <w:pPr>
              <w:snapToGrid w:val="0"/>
              <w:spacing w:line="288" w:lineRule="auto"/>
              <w:rPr>
                <w:rFonts w:ascii="宋体" w:hAnsi="宋体" w:eastAsia="宋体" w:cs="Times New Roman"/>
                <w:kern w:val="0"/>
                <w:sz w:val="18"/>
                <w:szCs w:val="20"/>
              </w:rPr>
            </w:pPr>
            <w:r>
              <w:rPr>
                <w:rFonts w:ascii="宋体" w:hAnsi="宋体" w:eastAsia="宋体" w:cs="Times New Roman"/>
                <w:kern w:val="0"/>
                <w:sz w:val="18"/>
                <w:szCs w:val="20"/>
              </w:rPr>
              <w:t>4</w:t>
            </w:r>
            <w:r>
              <w:rPr>
                <w:rFonts w:hint="eastAsia" w:ascii="宋体" w:hAnsi="宋体" w:eastAsia="宋体" w:cs="Times New Roman"/>
                <w:kern w:val="0"/>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r>
              <w:rPr>
                <w:rFonts w:hint="eastAsia" w:ascii="宋体" w:hAnsi="宋体" w:eastAsia="宋体" w:cs="Times New Roman"/>
                <w:kern w:val="0"/>
                <w:sz w:val="20"/>
                <w:szCs w:val="20"/>
              </w:rPr>
              <w:t>第四单元</w:t>
            </w:r>
          </w:p>
        </w:tc>
        <w:tc>
          <w:tcPr>
            <w:tcW w:w="248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功能动词</w:t>
            </w:r>
          </w:p>
          <w:p>
            <w:pPr>
              <w:snapToGrid w:val="0"/>
              <w:spacing w:line="288" w:lineRule="auto"/>
              <w:rPr>
                <w:rFonts w:ascii="宋体" w:hAnsi="宋体" w:eastAsia="宋体" w:cs="Times New Roman"/>
                <w:kern w:val="0"/>
                <w:sz w:val="18"/>
                <w:szCs w:val="20"/>
              </w:rPr>
            </w:pPr>
          </w:p>
        </w:tc>
        <w:tc>
          <w:tcPr>
            <w:tcW w:w="1886"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知道并且掌握功能动词的常见搭配、中文含义及其应用</w:t>
            </w:r>
          </w:p>
        </w:tc>
        <w:tc>
          <w:tcPr>
            <w:tcW w:w="157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功能动词及其搭配的背诵</w:t>
            </w:r>
          </w:p>
        </w:tc>
        <w:tc>
          <w:tcPr>
            <w:tcW w:w="1575"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r>
              <w:rPr>
                <w:rFonts w:hint="eastAsia" w:ascii="宋体" w:hAnsi="宋体" w:eastAsia="宋体" w:cs="Times New Roman"/>
                <w:kern w:val="0"/>
                <w:sz w:val="20"/>
                <w:szCs w:val="20"/>
              </w:rPr>
              <w:t>第五单元</w:t>
            </w:r>
          </w:p>
        </w:tc>
        <w:tc>
          <w:tcPr>
            <w:tcW w:w="248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动词名词化</w:t>
            </w:r>
          </w:p>
          <w:p>
            <w:pPr>
              <w:snapToGrid w:val="0"/>
              <w:spacing w:line="288" w:lineRule="auto"/>
              <w:rPr>
                <w:rFonts w:ascii="宋体" w:hAnsi="宋体" w:eastAsia="宋体" w:cs="Times New Roman"/>
                <w:kern w:val="0"/>
                <w:sz w:val="18"/>
                <w:szCs w:val="20"/>
              </w:rPr>
            </w:pPr>
          </w:p>
        </w:tc>
        <w:tc>
          <w:tcPr>
            <w:tcW w:w="1886"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掌握德语动词名词化的常见规则及具体应用</w:t>
            </w:r>
          </w:p>
        </w:tc>
        <w:tc>
          <w:tcPr>
            <w:tcW w:w="157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动词名词化形式背诵</w:t>
            </w:r>
          </w:p>
        </w:tc>
        <w:tc>
          <w:tcPr>
            <w:tcW w:w="1575" w:type="dxa"/>
          </w:tcPr>
          <w:p>
            <w:pPr>
              <w:snapToGrid w:val="0"/>
              <w:spacing w:line="288" w:lineRule="auto"/>
              <w:rPr>
                <w:rFonts w:ascii="宋体" w:hAnsi="宋体" w:eastAsia="宋体" w:cs="Times New Roman"/>
                <w:kern w:val="0"/>
                <w:sz w:val="18"/>
                <w:szCs w:val="20"/>
              </w:rPr>
            </w:pPr>
            <w:r>
              <w:rPr>
                <w:rFonts w:ascii="宋体" w:hAnsi="宋体" w:eastAsia="宋体" w:cs="Times New Roman"/>
                <w:kern w:val="0"/>
                <w:sz w:val="18"/>
                <w:szCs w:val="20"/>
              </w:rPr>
              <w:t>4</w:t>
            </w:r>
            <w:r>
              <w:rPr>
                <w:rFonts w:hint="eastAsia" w:ascii="宋体" w:hAnsi="宋体" w:eastAsia="宋体" w:cs="Times New Roman"/>
                <w:kern w:val="0"/>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r>
              <w:rPr>
                <w:rFonts w:hint="eastAsia" w:ascii="宋体" w:hAnsi="宋体" w:eastAsia="宋体" w:cs="Times New Roman"/>
                <w:kern w:val="0"/>
                <w:sz w:val="20"/>
                <w:szCs w:val="20"/>
              </w:rPr>
              <w:t>第六单元</w:t>
            </w:r>
          </w:p>
        </w:tc>
        <w:tc>
          <w:tcPr>
            <w:tcW w:w="248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动词化</w:t>
            </w:r>
          </w:p>
          <w:p>
            <w:pPr>
              <w:snapToGrid w:val="0"/>
              <w:spacing w:line="288" w:lineRule="auto"/>
              <w:rPr>
                <w:rFonts w:ascii="宋体" w:hAnsi="宋体" w:eastAsia="宋体" w:cs="Times New Roman"/>
                <w:kern w:val="0"/>
                <w:sz w:val="18"/>
                <w:szCs w:val="20"/>
              </w:rPr>
            </w:pPr>
          </w:p>
        </w:tc>
        <w:tc>
          <w:tcPr>
            <w:tcW w:w="1886"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掌握德语动词化的常见规则及具体应用</w:t>
            </w:r>
          </w:p>
        </w:tc>
        <w:tc>
          <w:tcPr>
            <w:tcW w:w="157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动词化的规则</w:t>
            </w:r>
          </w:p>
        </w:tc>
        <w:tc>
          <w:tcPr>
            <w:tcW w:w="1575" w:type="dxa"/>
          </w:tcPr>
          <w:p>
            <w:pPr>
              <w:snapToGrid w:val="0"/>
              <w:spacing w:line="288" w:lineRule="auto"/>
              <w:rPr>
                <w:rFonts w:ascii="宋体" w:hAnsi="宋体" w:eastAsia="宋体" w:cs="Times New Roman"/>
                <w:kern w:val="0"/>
                <w:sz w:val="18"/>
                <w:szCs w:val="20"/>
              </w:rPr>
            </w:pPr>
            <w:r>
              <w:rPr>
                <w:rFonts w:ascii="宋体" w:hAnsi="宋体" w:eastAsia="宋体" w:cs="Times New Roman"/>
                <w:kern w:val="0"/>
                <w:sz w:val="18"/>
                <w:szCs w:val="20"/>
              </w:rPr>
              <w:t>2</w:t>
            </w:r>
            <w:r>
              <w:rPr>
                <w:rFonts w:hint="eastAsia" w:ascii="宋体" w:hAnsi="宋体" w:eastAsia="宋体" w:cs="Times New Roman"/>
                <w:kern w:val="0"/>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r>
              <w:rPr>
                <w:rFonts w:hint="eastAsia" w:ascii="宋体" w:hAnsi="宋体" w:eastAsia="宋体" w:cs="Times New Roman"/>
                <w:kern w:val="0"/>
                <w:sz w:val="20"/>
                <w:szCs w:val="20"/>
              </w:rPr>
              <w:t>第七单元</w:t>
            </w:r>
          </w:p>
        </w:tc>
        <w:tc>
          <w:tcPr>
            <w:tcW w:w="248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从句名词化</w:t>
            </w:r>
          </w:p>
          <w:p>
            <w:pPr>
              <w:snapToGrid w:val="0"/>
              <w:spacing w:line="288" w:lineRule="auto"/>
              <w:rPr>
                <w:rFonts w:ascii="宋体" w:hAnsi="宋体" w:eastAsia="宋体" w:cs="Times New Roman"/>
                <w:kern w:val="0"/>
                <w:sz w:val="18"/>
                <w:szCs w:val="20"/>
              </w:rPr>
            </w:pPr>
          </w:p>
        </w:tc>
        <w:tc>
          <w:tcPr>
            <w:tcW w:w="1886"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知道从句名词化的基本规则，并且掌握从句名词化的句型改写</w:t>
            </w:r>
          </w:p>
        </w:tc>
        <w:tc>
          <w:tcPr>
            <w:tcW w:w="157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从句名词化句型改写</w:t>
            </w:r>
          </w:p>
        </w:tc>
        <w:tc>
          <w:tcPr>
            <w:tcW w:w="1575" w:type="dxa"/>
          </w:tcPr>
          <w:p>
            <w:pPr>
              <w:snapToGrid w:val="0"/>
              <w:spacing w:line="288" w:lineRule="auto"/>
              <w:rPr>
                <w:rFonts w:ascii="宋体" w:hAnsi="宋体" w:eastAsia="宋体" w:cs="Times New Roman"/>
                <w:kern w:val="0"/>
                <w:sz w:val="18"/>
                <w:szCs w:val="20"/>
              </w:rPr>
            </w:pPr>
            <w:r>
              <w:rPr>
                <w:rFonts w:ascii="宋体" w:hAnsi="宋体" w:eastAsia="宋体" w:cs="Times New Roman"/>
                <w:kern w:val="0"/>
                <w:sz w:val="18"/>
                <w:szCs w:val="20"/>
              </w:rPr>
              <w:t>4</w:t>
            </w:r>
            <w:r>
              <w:rPr>
                <w:rFonts w:hint="eastAsia" w:ascii="宋体" w:hAnsi="宋体" w:eastAsia="宋体" w:cs="Times New Roman"/>
                <w:kern w:val="0"/>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r>
              <w:rPr>
                <w:rFonts w:hint="eastAsia" w:ascii="宋体" w:hAnsi="宋体" w:eastAsia="宋体" w:cs="Times New Roman"/>
                <w:kern w:val="0"/>
                <w:sz w:val="20"/>
                <w:szCs w:val="20"/>
              </w:rPr>
              <w:t>第八单元</w:t>
            </w:r>
          </w:p>
        </w:tc>
        <w:tc>
          <w:tcPr>
            <w:tcW w:w="248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被动态的替代形式</w:t>
            </w:r>
          </w:p>
        </w:tc>
        <w:tc>
          <w:tcPr>
            <w:tcW w:w="1886"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掌握被动句的各种替代形式，并且能进行转换</w:t>
            </w:r>
          </w:p>
        </w:tc>
        <w:tc>
          <w:tcPr>
            <w:tcW w:w="157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句型转换</w:t>
            </w:r>
          </w:p>
        </w:tc>
        <w:tc>
          <w:tcPr>
            <w:tcW w:w="1575" w:type="dxa"/>
          </w:tcPr>
          <w:p>
            <w:pPr>
              <w:snapToGrid w:val="0"/>
              <w:spacing w:line="288" w:lineRule="auto"/>
              <w:rPr>
                <w:rFonts w:ascii="宋体" w:hAnsi="宋体" w:eastAsia="宋体" w:cs="Times New Roman"/>
                <w:kern w:val="0"/>
                <w:sz w:val="18"/>
                <w:szCs w:val="20"/>
              </w:rPr>
            </w:pPr>
            <w:r>
              <w:rPr>
                <w:rFonts w:ascii="宋体" w:hAnsi="宋体" w:eastAsia="宋体" w:cs="Times New Roman"/>
                <w:kern w:val="0"/>
                <w:sz w:val="18"/>
                <w:szCs w:val="20"/>
              </w:rPr>
              <w:t>2</w:t>
            </w:r>
            <w:r>
              <w:rPr>
                <w:rFonts w:hint="eastAsia" w:ascii="宋体" w:hAnsi="宋体" w:eastAsia="宋体" w:cs="Times New Roman"/>
                <w:kern w:val="0"/>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r>
              <w:rPr>
                <w:rFonts w:hint="eastAsia" w:ascii="宋体" w:hAnsi="宋体" w:eastAsia="宋体" w:cs="Times New Roman"/>
                <w:kern w:val="0"/>
                <w:sz w:val="20"/>
                <w:szCs w:val="20"/>
              </w:rPr>
              <w:t>第九单元</w:t>
            </w:r>
          </w:p>
        </w:tc>
        <w:tc>
          <w:tcPr>
            <w:tcW w:w="248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将来时表达猜测的用法</w:t>
            </w:r>
          </w:p>
        </w:tc>
        <w:tc>
          <w:tcPr>
            <w:tcW w:w="1886"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掌握将来时表达猜测的用法</w:t>
            </w:r>
          </w:p>
        </w:tc>
        <w:tc>
          <w:tcPr>
            <w:tcW w:w="157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将来时态</w:t>
            </w:r>
          </w:p>
        </w:tc>
        <w:tc>
          <w:tcPr>
            <w:tcW w:w="1575" w:type="dxa"/>
          </w:tcPr>
          <w:p>
            <w:pPr>
              <w:snapToGrid w:val="0"/>
              <w:spacing w:line="288" w:lineRule="auto"/>
              <w:rPr>
                <w:rFonts w:ascii="宋体" w:hAnsi="宋体" w:eastAsia="宋体" w:cs="Times New Roman"/>
                <w:kern w:val="0"/>
                <w:sz w:val="18"/>
                <w:szCs w:val="20"/>
              </w:rPr>
            </w:pPr>
            <w:r>
              <w:rPr>
                <w:rFonts w:ascii="宋体" w:hAnsi="宋体" w:eastAsia="宋体" w:cs="Times New Roman"/>
                <w:kern w:val="0"/>
                <w:sz w:val="18"/>
                <w:szCs w:val="20"/>
              </w:rPr>
              <w:t>2</w:t>
            </w:r>
            <w:r>
              <w:rPr>
                <w:rFonts w:hint="eastAsia" w:ascii="宋体" w:hAnsi="宋体" w:eastAsia="宋体" w:cs="Times New Roman"/>
                <w:kern w:val="0"/>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tcPr>
          <w:p>
            <w:pPr>
              <w:snapToGrid w:val="0"/>
              <w:spacing w:line="288" w:lineRule="auto"/>
              <w:rPr>
                <w:rFonts w:ascii="宋体" w:hAnsi="宋体" w:eastAsia="宋体" w:cs="Times New Roman"/>
                <w:kern w:val="0"/>
                <w:sz w:val="20"/>
                <w:szCs w:val="20"/>
              </w:rPr>
            </w:pPr>
            <w:r>
              <w:rPr>
                <w:rFonts w:hint="eastAsia" w:ascii="宋体" w:hAnsi="宋体" w:eastAsia="宋体" w:cs="Times New Roman"/>
                <w:kern w:val="0"/>
                <w:sz w:val="20"/>
                <w:szCs w:val="20"/>
              </w:rPr>
              <w:t>第十单元</w:t>
            </w:r>
          </w:p>
        </w:tc>
        <w:tc>
          <w:tcPr>
            <w:tcW w:w="248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情态动词的客观用法和主观用法</w:t>
            </w:r>
          </w:p>
        </w:tc>
        <w:tc>
          <w:tcPr>
            <w:tcW w:w="1886"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掌握情态动词的客观用法和主观用法</w:t>
            </w:r>
          </w:p>
        </w:tc>
        <w:tc>
          <w:tcPr>
            <w:tcW w:w="1579" w:type="dxa"/>
          </w:tcPr>
          <w:p>
            <w:pPr>
              <w:snapToGrid w:val="0"/>
              <w:spacing w:line="288" w:lineRule="auto"/>
              <w:rPr>
                <w:rFonts w:ascii="宋体" w:hAnsi="宋体" w:eastAsia="宋体" w:cs="Times New Roman"/>
                <w:kern w:val="0"/>
                <w:sz w:val="18"/>
                <w:szCs w:val="20"/>
              </w:rPr>
            </w:pPr>
            <w:r>
              <w:rPr>
                <w:rFonts w:hint="eastAsia" w:ascii="宋体" w:hAnsi="宋体" w:eastAsia="宋体" w:cs="Times New Roman"/>
                <w:kern w:val="0"/>
                <w:sz w:val="18"/>
                <w:szCs w:val="20"/>
              </w:rPr>
              <w:t>情态动词与其他语法点的结合</w:t>
            </w:r>
          </w:p>
        </w:tc>
        <w:tc>
          <w:tcPr>
            <w:tcW w:w="1575" w:type="dxa"/>
          </w:tcPr>
          <w:p>
            <w:pPr>
              <w:snapToGrid w:val="0"/>
              <w:spacing w:line="288" w:lineRule="auto"/>
              <w:rPr>
                <w:rFonts w:ascii="宋体" w:hAnsi="宋体" w:eastAsia="宋体" w:cs="Times New Roman"/>
                <w:kern w:val="0"/>
                <w:sz w:val="18"/>
                <w:szCs w:val="20"/>
              </w:rPr>
            </w:pPr>
            <w:r>
              <w:rPr>
                <w:rFonts w:ascii="宋体" w:hAnsi="宋体" w:eastAsia="宋体" w:cs="Times New Roman"/>
                <w:kern w:val="0"/>
                <w:sz w:val="18"/>
                <w:szCs w:val="20"/>
              </w:rPr>
              <w:t>4</w:t>
            </w:r>
            <w:r>
              <w:rPr>
                <w:rFonts w:hint="eastAsia" w:ascii="宋体" w:hAnsi="宋体" w:eastAsia="宋体" w:cs="Times New Roman"/>
                <w:kern w:val="0"/>
                <w:sz w:val="18"/>
                <w:szCs w:val="20"/>
              </w:rPr>
              <w:t>课时</w:t>
            </w:r>
          </w:p>
        </w:tc>
      </w:tr>
    </w:tbl>
    <w:p>
      <w:pPr>
        <w:snapToGrid w:val="0"/>
        <w:spacing w:line="288" w:lineRule="auto"/>
        <w:ind w:firstLine="400" w:firstLineChars="200"/>
        <w:rPr>
          <w:rFonts w:ascii="宋体" w:hAnsi="宋体"/>
          <w:sz w:val="20"/>
          <w:szCs w:val="20"/>
        </w:rPr>
      </w:pPr>
    </w:p>
    <w:p>
      <w:pPr>
        <w:snapToGrid w:val="0"/>
        <w:spacing w:line="288" w:lineRule="auto"/>
        <w:ind w:right="2520"/>
        <w:rPr>
          <w:sz w:val="20"/>
          <w:szCs w:val="20"/>
        </w:rPr>
      </w:pPr>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 xml:space="preserve">   七、评价方式与成绩</w:t>
      </w:r>
    </w:p>
    <w:tbl>
      <w:tblPr>
        <w:tblStyle w:val="4"/>
        <w:tblpPr w:leftFromText="180" w:rightFromText="180" w:vertAnchor="text" w:horzAnchor="margin" w:tblpY="11"/>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hint="eastAsia" w:ascii="宋体" w:hAnsi="宋体" w:eastAsia="宋体" w:cs="宋体"/>
                <w:bCs/>
                <w:color w:val="000000"/>
                <w:szCs w:val="20"/>
              </w:rPr>
            </w:pPr>
            <w:r>
              <w:rPr>
                <w:rFonts w:hint="eastAsia" w:ascii="宋体" w:hAnsi="宋体" w:eastAsia="宋体" w:cs="宋体"/>
                <w:bCs/>
                <w:color w:val="000000"/>
                <w:szCs w:val="20"/>
              </w:rPr>
              <w:t>总评构成（1+X）</w:t>
            </w:r>
          </w:p>
        </w:tc>
        <w:tc>
          <w:tcPr>
            <w:tcW w:w="5103" w:type="dxa"/>
            <w:shd w:val="clear" w:color="auto" w:fill="auto"/>
          </w:tcPr>
          <w:p>
            <w:pPr>
              <w:snapToGrid w:val="0"/>
              <w:spacing w:before="156" w:beforeLines="50" w:after="156" w:afterLines="50"/>
              <w:jc w:val="center"/>
              <w:rPr>
                <w:rFonts w:hint="eastAsia" w:ascii="宋体" w:hAnsi="宋体" w:eastAsia="宋体" w:cs="宋体"/>
                <w:bCs/>
                <w:color w:val="000000"/>
                <w:szCs w:val="20"/>
              </w:rPr>
            </w:pPr>
            <w:r>
              <w:rPr>
                <w:rFonts w:hint="eastAsia" w:ascii="宋体" w:hAnsi="宋体" w:eastAsia="宋体" w:cs="宋体"/>
                <w:bCs/>
                <w:color w:val="000000"/>
                <w:szCs w:val="20"/>
              </w:rPr>
              <w:t>评价方式</w:t>
            </w:r>
          </w:p>
        </w:tc>
        <w:tc>
          <w:tcPr>
            <w:tcW w:w="1843" w:type="dxa"/>
            <w:shd w:val="clear" w:color="auto" w:fill="auto"/>
          </w:tcPr>
          <w:p>
            <w:pPr>
              <w:snapToGrid w:val="0"/>
              <w:spacing w:before="156" w:beforeLines="50" w:after="156" w:afterLines="50"/>
              <w:jc w:val="center"/>
              <w:rPr>
                <w:rFonts w:hint="eastAsia" w:ascii="宋体" w:hAnsi="宋体" w:eastAsia="宋体" w:cs="宋体"/>
                <w:bCs/>
                <w:color w:val="000000"/>
                <w:szCs w:val="20"/>
              </w:rPr>
            </w:pPr>
            <w:r>
              <w:rPr>
                <w:rFonts w:hint="eastAsia" w:ascii="宋体" w:hAnsi="宋体" w:eastAsia="宋体" w:cs="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hint="eastAsia" w:ascii="宋体" w:hAnsi="宋体" w:eastAsia="宋体" w:cs="宋体"/>
                <w:bCs/>
                <w:color w:val="000000"/>
                <w:szCs w:val="20"/>
              </w:rPr>
            </w:pPr>
            <w:r>
              <w:rPr>
                <w:rFonts w:hint="eastAsia" w:ascii="宋体" w:hAnsi="宋体" w:eastAsia="宋体" w:cs="宋体"/>
                <w:bCs/>
                <w:color w:val="000000"/>
                <w:szCs w:val="20"/>
              </w:rPr>
              <w:t>1</w:t>
            </w:r>
          </w:p>
        </w:tc>
        <w:tc>
          <w:tcPr>
            <w:tcW w:w="5103" w:type="dxa"/>
            <w:shd w:val="clear" w:color="auto" w:fill="auto"/>
          </w:tcPr>
          <w:p>
            <w:pPr>
              <w:snapToGrid w:val="0"/>
              <w:spacing w:before="156" w:beforeLines="50" w:after="156" w:afterLines="50"/>
              <w:jc w:val="center"/>
              <w:rPr>
                <w:rFonts w:hint="eastAsia" w:ascii="宋体" w:hAnsi="宋体" w:eastAsia="宋体" w:cs="宋体"/>
                <w:bCs/>
                <w:color w:val="000000"/>
                <w:szCs w:val="20"/>
              </w:rPr>
            </w:pPr>
            <w:r>
              <w:rPr>
                <w:rFonts w:hint="eastAsia" w:ascii="宋体" w:hAnsi="宋体" w:eastAsia="宋体" w:cs="宋体"/>
                <w:sz w:val="20"/>
                <w:szCs w:val="20"/>
              </w:rPr>
              <w:t>期末测试</w:t>
            </w:r>
          </w:p>
        </w:tc>
        <w:tc>
          <w:tcPr>
            <w:tcW w:w="1843" w:type="dxa"/>
            <w:shd w:val="clear" w:color="auto" w:fill="auto"/>
          </w:tcPr>
          <w:p>
            <w:pPr>
              <w:snapToGrid w:val="0"/>
              <w:spacing w:before="156" w:beforeLines="50" w:after="156" w:afterLines="50"/>
              <w:jc w:val="center"/>
              <w:rPr>
                <w:rFonts w:hint="eastAsia" w:ascii="宋体" w:hAnsi="宋体" w:eastAsia="宋体" w:cs="宋体"/>
                <w:bCs/>
                <w:color w:val="000000"/>
                <w:szCs w:val="20"/>
              </w:rPr>
            </w:pPr>
            <w:r>
              <w:rPr>
                <w:rFonts w:hint="eastAsia" w:ascii="宋体" w:hAnsi="宋体" w:eastAsia="宋体" w:cs="宋体"/>
                <w:bCs/>
                <w:color w:val="000000"/>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hint="eastAsia" w:ascii="宋体" w:hAnsi="宋体" w:eastAsia="宋体" w:cs="宋体"/>
                <w:bCs/>
                <w:color w:val="000000"/>
                <w:szCs w:val="20"/>
              </w:rPr>
            </w:pPr>
            <w:r>
              <w:rPr>
                <w:rFonts w:hint="eastAsia" w:ascii="宋体" w:hAnsi="宋体" w:eastAsia="宋体" w:cs="宋体"/>
                <w:bCs/>
                <w:color w:val="000000"/>
                <w:szCs w:val="20"/>
              </w:rPr>
              <w:t>X1</w:t>
            </w:r>
          </w:p>
        </w:tc>
        <w:tc>
          <w:tcPr>
            <w:tcW w:w="5103" w:type="dxa"/>
            <w:shd w:val="clear" w:color="auto" w:fill="auto"/>
          </w:tcPr>
          <w:p>
            <w:pPr>
              <w:snapToGrid w:val="0"/>
              <w:spacing w:before="156" w:beforeLines="50" w:after="156" w:afterLines="50"/>
              <w:jc w:val="center"/>
              <w:rPr>
                <w:rFonts w:hint="eastAsia" w:ascii="宋体" w:hAnsi="宋体" w:eastAsia="宋体" w:cs="宋体"/>
                <w:bCs/>
                <w:color w:val="000000"/>
                <w:szCs w:val="20"/>
              </w:rPr>
            </w:pPr>
            <w:r>
              <w:rPr>
                <w:rFonts w:hint="eastAsia" w:ascii="宋体" w:hAnsi="宋体" w:eastAsia="宋体" w:cs="宋体"/>
                <w:sz w:val="20"/>
                <w:szCs w:val="20"/>
              </w:rPr>
              <w:t>小测试</w:t>
            </w:r>
          </w:p>
        </w:tc>
        <w:tc>
          <w:tcPr>
            <w:tcW w:w="1843" w:type="dxa"/>
            <w:shd w:val="clear" w:color="auto" w:fill="auto"/>
          </w:tcPr>
          <w:p>
            <w:pPr>
              <w:snapToGrid w:val="0"/>
              <w:spacing w:before="156" w:beforeLines="50" w:after="156" w:afterLines="50"/>
              <w:jc w:val="center"/>
              <w:rPr>
                <w:rFonts w:hint="eastAsia" w:ascii="宋体" w:hAnsi="宋体" w:eastAsia="宋体" w:cs="宋体"/>
                <w:bCs/>
                <w:color w:val="000000"/>
                <w:szCs w:val="20"/>
              </w:rPr>
            </w:pPr>
            <w:r>
              <w:rPr>
                <w:rFonts w:hint="eastAsia" w:ascii="宋体" w:hAnsi="宋体" w:eastAsia="宋体" w:cs="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156" w:beforeLines="50" w:after="156" w:afterLines="50"/>
              <w:jc w:val="center"/>
              <w:rPr>
                <w:rFonts w:hint="eastAsia" w:ascii="宋体" w:hAnsi="宋体" w:eastAsia="宋体" w:cs="宋体"/>
                <w:bCs/>
                <w:color w:val="000000"/>
                <w:szCs w:val="20"/>
              </w:rPr>
            </w:pPr>
            <w:r>
              <w:rPr>
                <w:rFonts w:hint="eastAsia" w:ascii="宋体" w:hAnsi="宋体" w:eastAsia="宋体" w:cs="宋体"/>
                <w:bCs/>
                <w:color w:val="000000"/>
                <w:szCs w:val="20"/>
              </w:rPr>
              <w:t>X2</w:t>
            </w:r>
          </w:p>
        </w:tc>
        <w:tc>
          <w:tcPr>
            <w:tcW w:w="5103" w:type="dxa"/>
            <w:shd w:val="clear" w:color="auto" w:fill="auto"/>
          </w:tcPr>
          <w:p>
            <w:pPr>
              <w:snapToGrid w:val="0"/>
              <w:spacing w:before="156" w:beforeLines="50" w:after="156" w:afterLines="50"/>
              <w:jc w:val="center"/>
              <w:rPr>
                <w:rFonts w:hint="eastAsia" w:ascii="宋体" w:hAnsi="宋体" w:eastAsia="宋体" w:cs="宋体"/>
                <w:bCs/>
                <w:color w:val="000000"/>
                <w:szCs w:val="20"/>
              </w:rPr>
            </w:pPr>
            <w:r>
              <w:rPr>
                <w:rFonts w:hint="eastAsia" w:ascii="宋体" w:hAnsi="宋体" w:eastAsia="宋体" w:cs="宋体"/>
                <w:sz w:val="20"/>
                <w:szCs w:val="20"/>
              </w:rPr>
              <w:t>平时作业</w:t>
            </w:r>
          </w:p>
        </w:tc>
        <w:tc>
          <w:tcPr>
            <w:tcW w:w="1843" w:type="dxa"/>
            <w:shd w:val="clear" w:color="auto" w:fill="auto"/>
          </w:tcPr>
          <w:p>
            <w:pPr>
              <w:snapToGrid w:val="0"/>
              <w:spacing w:before="156" w:beforeLines="50" w:after="156" w:afterLines="50"/>
              <w:jc w:val="center"/>
              <w:rPr>
                <w:rFonts w:hint="eastAsia" w:ascii="宋体" w:hAnsi="宋体" w:eastAsia="宋体" w:cs="宋体"/>
                <w:bCs/>
                <w:color w:val="000000"/>
                <w:szCs w:val="20"/>
              </w:rPr>
            </w:pPr>
            <w:r>
              <w:rPr>
                <w:rFonts w:hint="eastAsia" w:ascii="宋体" w:hAnsi="宋体" w:eastAsia="宋体" w:cs="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hint="eastAsia" w:ascii="宋体" w:hAnsi="宋体" w:eastAsia="宋体" w:cs="宋体"/>
                <w:bCs/>
                <w:color w:val="000000"/>
                <w:szCs w:val="20"/>
              </w:rPr>
            </w:pPr>
            <w:r>
              <w:rPr>
                <w:rFonts w:hint="eastAsia" w:ascii="宋体" w:hAnsi="宋体" w:eastAsia="宋体" w:cs="宋体"/>
                <w:bCs/>
                <w:color w:val="000000"/>
                <w:szCs w:val="20"/>
              </w:rPr>
              <w:t>X3</w:t>
            </w:r>
          </w:p>
        </w:tc>
        <w:tc>
          <w:tcPr>
            <w:tcW w:w="5103" w:type="dxa"/>
            <w:shd w:val="clear" w:color="auto" w:fill="auto"/>
          </w:tcPr>
          <w:p>
            <w:pPr>
              <w:snapToGrid w:val="0"/>
              <w:spacing w:before="156" w:beforeLines="50" w:after="156" w:afterLines="50"/>
              <w:jc w:val="center"/>
              <w:rPr>
                <w:rFonts w:hint="eastAsia" w:ascii="宋体" w:hAnsi="宋体" w:eastAsia="宋体" w:cs="宋体"/>
                <w:bCs/>
                <w:color w:val="000000"/>
                <w:szCs w:val="20"/>
              </w:rPr>
            </w:pPr>
            <w:r>
              <w:rPr>
                <w:rFonts w:hint="eastAsia" w:ascii="宋体" w:hAnsi="宋体" w:eastAsia="宋体" w:cs="宋体"/>
                <w:bCs/>
                <w:color w:val="000000"/>
                <w:szCs w:val="20"/>
              </w:rPr>
              <w:t>课堂参与</w:t>
            </w:r>
          </w:p>
        </w:tc>
        <w:tc>
          <w:tcPr>
            <w:tcW w:w="1843" w:type="dxa"/>
            <w:shd w:val="clear" w:color="auto" w:fill="auto"/>
          </w:tcPr>
          <w:p>
            <w:pPr>
              <w:snapToGrid w:val="0"/>
              <w:spacing w:before="156" w:beforeLines="50" w:after="156" w:afterLines="50"/>
              <w:jc w:val="center"/>
              <w:rPr>
                <w:rFonts w:hint="eastAsia" w:ascii="宋体" w:hAnsi="宋体" w:eastAsia="宋体" w:cs="宋体"/>
                <w:bCs/>
                <w:color w:val="000000"/>
                <w:szCs w:val="20"/>
              </w:rPr>
            </w:pPr>
            <w:r>
              <w:rPr>
                <w:rFonts w:hint="eastAsia" w:ascii="宋体" w:hAnsi="宋体" w:eastAsia="宋体" w:cs="宋体"/>
                <w:bCs/>
                <w:color w:val="000000"/>
                <w:szCs w:val="20"/>
              </w:rPr>
              <w:t>15%</w:t>
            </w:r>
          </w:p>
        </w:tc>
      </w:tr>
    </w:tbl>
    <w:p>
      <w:pPr>
        <w:snapToGrid w:val="0"/>
        <w:spacing w:line="288" w:lineRule="auto"/>
        <w:ind w:firstLine="840" w:firstLineChars="300"/>
        <w:rPr>
          <w:sz w:val="28"/>
          <w:szCs w:val="28"/>
        </w:rPr>
      </w:pPr>
    </w:p>
    <w:p>
      <w:pPr>
        <w:snapToGrid w:val="0"/>
        <w:spacing w:line="288" w:lineRule="auto"/>
        <w:ind w:firstLine="840" w:firstLineChars="300"/>
        <w:rPr>
          <w:rFonts w:hint="eastAsia" w:ascii="宋体" w:hAnsi="宋体" w:eastAsia="宋体" w:cs="宋体"/>
          <w:sz w:val="28"/>
          <w:szCs w:val="28"/>
        </w:rPr>
      </w:pPr>
      <w:r>
        <w:rPr>
          <w:rFonts w:hint="eastAsia" w:ascii="宋体" w:hAnsi="宋体" w:eastAsia="宋体" w:cs="宋体"/>
          <w:sz w:val="28"/>
          <w:szCs w:val="28"/>
        </w:rPr>
        <w:drawing>
          <wp:anchor distT="0" distB="0" distL="114300" distR="114300" simplePos="0" relativeHeight="251661312" behindDoc="0" locked="0" layoutInCell="1" allowOverlap="1">
            <wp:simplePos x="0" y="0"/>
            <wp:positionH relativeFrom="column">
              <wp:posOffset>5859145</wp:posOffset>
            </wp:positionH>
            <wp:positionV relativeFrom="paragraph">
              <wp:posOffset>9253855</wp:posOffset>
            </wp:positionV>
            <wp:extent cx="415290" cy="21907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5290" cy="219075"/>
                    </a:xfrm>
                    <a:prstGeom prst="rect">
                      <a:avLst/>
                    </a:prstGeom>
                    <a:noFill/>
                    <a:ln>
                      <a:noFill/>
                    </a:ln>
                  </pic:spPr>
                </pic:pic>
              </a:graphicData>
            </a:graphic>
          </wp:anchor>
        </w:drawing>
      </w:r>
      <w:r>
        <w:rPr>
          <w:rFonts w:hint="eastAsia" w:ascii="宋体" w:hAnsi="宋体" w:eastAsia="宋体" w:cs="宋体"/>
          <w:sz w:val="28"/>
          <w:szCs w:val="28"/>
        </w:rPr>
        <w:drawing>
          <wp:anchor distT="0" distB="0" distL="114300" distR="114300" simplePos="0" relativeHeight="251660288" behindDoc="0" locked="0" layoutInCell="1" allowOverlap="1">
            <wp:simplePos x="0" y="0"/>
            <wp:positionH relativeFrom="column">
              <wp:posOffset>5859145</wp:posOffset>
            </wp:positionH>
            <wp:positionV relativeFrom="paragraph">
              <wp:posOffset>9253855</wp:posOffset>
            </wp:positionV>
            <wp:extent cx="415290" cy="21907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5290" cy="219075"/>
                    </a:xfrm>
                    <a:prstGeom prst="rect">
                      <a:avLst/>
                    </a:prstGeom>
                    <a:noFill/>
                    <a:ln>
                      <a:noFill/>
                    </a:ln>
                  </pic:spPr>
                </pic:pic>
              </a:graphicData>
            </a:graphic>
          </wp:anchor>
        </w:drawing>
      </w:r>
      <w:r>
        <w:rPr>
          <w:rFonts w:hint="eastAsia" w:ascii="宋体" w:hAnsi="宋体" w:eastAsia="宋体" w:cs="宋体"/>
          <w:sz w:val="28"/>
          <w:szCs w:val="28"/>
        </w:rPr>
        <w:t xml:space="preserve">撰写人：  </w:t>
      </w:r>
      <w:r>
        <w:rPr>
          <w:rFonts w:hint="eastAsia" w:ascii="宋体" w:hAnsi="宋体" w:eastAsia="宋体" w:cs="宋体"/>
          <w:sz w:val="28"/>
          <w:szCs w:val="28"/>
        </w:rPr>
        <w:drawing>
          <wp:inline distT="0" distB="0" distL="0" distR="0">
            <wp:extent cx="428625" cy="228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28625" cy="228600"/>
                    </a:xfrm>
                    <a:prstGeom prst="rect">
                      <a:avLst/>
                    </a:prstGeom>
                    <a:noFill/>
                  </pic:spPr>
                </pic:pic>
              </a:graphicData>
            </a:graphic>
          </wp:inline>
        </w:drawing>
      </w:r>
      <w:r>
        <w:rPr>
          <w:rFonts w:hint="eastAsia" w:ascii="宋体" w:hAnsi="宋体" w:eastAsia="宋体" w:cs="宋体"/>
          <w:sz w:val="28"/>
          <w:szCs w:val="28"/>
        </w:rPr>
        <w:t xml:space="preserve">          系主任审核签名：</w:t>
      </w:r>
      <w:r>
        <w:rPr>
          <w:rFonts w:hint="eastAsia" w:ascii="宋体" w:hAnsi="宋体" w:eastAsia="宋体" w:cs="宋体"/>
          <w:color w:val="000000"/>
          <w:szCs w:val="21"/>
        </w:rPr>
        <w:drawing>
          <wp:inline distT="0" distB="0" distL="0" distR="0">
            <wp:extent cx="679450" cy="311150"/>
            <wp:effectExtent l="0" t="0" r="0" b="0"/>
            <wp:docPr id="1" name="图片 1"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本&#10;&#10;中度可信度描述已自动生成"/>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79450" cy="311150"/>
                    </a:xfrm>
                    <a:prstGeom prst="rect">
                      <a:avLst/>
                    </a:prstGeom>
                    <a:noFill/>
                    <a:ln>
                      <a:noFill/>
                    </a:ln>
                  </pic:spPr>
                </pic:pic>
              </a:graphicData>
            </a:graphic>
          </wp:inline>
        </w:drawing>
      </w:r>
    </w:p>
    <w:p>
      <w:pPr>
        <w:snapToGrid w:val="0"/>
        <w:spacing w:line="288" w:lineRule="auto"/>
        <w:ind w:firstLine="840" w:firstLineChars="300"/>
        <w:rPr>
          <w:rFonts w:hint="eastAsia" w:ascii="宋体" w:hAnsi="宋体" w:eastAsia="宋体" w:cs="宋体"/>
          <w:sz w:val="28"/>
          <w:szCs w:val="28"/>
        </w:rPr>
      </w:pPr>
      <w:r>
        <w:rPr>
          <w:rFonts w:hint="eastAsia" w:ascii="宋体" w:hAnsi="宋体" w:eastAsia="宋体" w:cs="宋体"/>
          <w:sz w:val="28"/>
          <w:szCs w:val="28"/>
        </w:rPr>
        <w:t>审核时间：2023.2.20</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mYTJjZTAxZWYzN2RlODRkZTdjOTgxYmEwZmVhMjQifQ=="/>
  </w:docVars>
  <w:rsids>
    <w:rsidRoot w:val="0084252A"/>
    <w:rsid w:val="000B4D64"/>
    <w:rsid w:val="00343A89"/>
    <w:rsid w:val="003B4AB5"/>
    <w:rsid w:val="003D50D3"/>
    <w:rsid w:val="00516020"/>
    <w:rsid w:val="0084252A"/>
    <w:rsid w:val="00887249"/>
    <w:rsid w:val="009234FA"/>
    <w:rsid w:val="00A5672D"/>
    <w:rsid w:val="00B3404F"/>
    <w:rsid w:val="00B73BDB"/>
    <w:rsid w:val="00D9091C"/>
    <w:rsid w:val="00E71265"/>
    <w:rsid w:val="00F93A29"/>
    <w:rsid w:val="44F679FC"/>
    <w:rsid w:val="76970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de-DE"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lang w:val="de-DE"/>
    </w:rPr>
  </w:style>
  <w:style w:type="character" w:customStyle="1" w:styleId="8">
    <w:name w:val="页脚 字符"/>
    <w:basedOn w:val="6"/>
    <w:link w:val="2"/>
    <w:qFormat/>
    <w:uiPriority w:val="99"/>
    <w:rPr>
      <w:sz w:val="18"/>
      <w:szCs w:val="18"/>
      <w:lang w:val="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2127</Words>
  <Characters>2404</Characters>
  <Lines>20</Lines>
  <Paragraphs>5</Paragraphs>
  <TotalTime>1</TotalTime>
  <ScaleCrop>false</ScaleCrop>
  <LinksUpToDate>false</LinksUpToDate>
  <CharactersWithSpaces>2435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2022-02-22T06:50:00Z</dcterms:created>
  <dc:creator>17153</dc:creator>
  <cp:lastModifiedBy>Administrator</cp:lastModifiedBy>
  <dcterms:modified xsi:type="dcterms:W3CDTF">2023-03-03T05:58:16Z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47F096B81E54449E851E3506A433D442</vt:lpwstr>
  </property>
</Properties>
</file>