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朱丹丹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wszgrhlm@163.com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第13課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第14課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デパートへ行って、買い物しました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第15課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小野さんは今新聞が読んでいます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eastAsiaTheme="minor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第17課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わたしは新しい洋服がほしいです。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第18課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第19課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部屋の鍵を忘れないでください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第20課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スミスさんはピアノを弾くことができます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第21課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わたしはすき焼きを食べたことがあります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第22課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第23課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休みの日、散歩したり買物に行ったりします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361315" cy="217805"/>
            <wp:effectExtent l="0" t="0" r="635" b="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052" cy="22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323340" cy="915035"/>
            <wp:effectExtent l="0" t="0" r="10160" b="1841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FD"/>
    <w:rsid w:val="00280A20"/>
    <w:rsid w:val="00283A9D"/>
    <w:rsid w:val="00287142"/>
    <w:rsid w:val="00290A4F"/>
    <w:rsid w:val="00290EB6"/>
    <w:rsid w:val="002A0689"/>
    <w:rsid w:val="002B23AD"/>
    <w:rsid w:val="002B2590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83E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746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7F64D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98D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5DE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7865311"/>
    <w:rsid w:val="199D2E85"/>
    <w:rsid w:val="1B9B294B"/>
    <w:rsid w:val="24CE3A91"/>
    <w:rsid w:val="2E59298A"/>
    <w:rsid w:val="37E50B00"/>
    <w:rsid w:val="49DF08B3"/>
    <w:rsid w:val="56C42088"/>
    <w:rsid w:val="65310993"/>
    <w:rsid w:val="654E340C"/>
    <w:rsid w:val="6E256335"/>
    <w:rsid w:val="700912C5"/>
    <w:rsid w:val="70E40410"/>
    <w:rsid w:val="74F62C86"/>
    <w:rsid w:val="7E8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A450C-EA64-4693-A978-65F3095BA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1252</Words>
  <Characters>1310</Characters>
  <Lines>10</Lines>
  <Paragraphs>2</Paragraphs>
  <TotalTime>17</TotalTime>
  <ScaleCrop>false</ScaleCrop>
  <LinksUpToDate>false</LinksUpToDate>
  <CharactersWithSpaces>1349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2022-02-25T09:16:00Z</dcterms:created>
  <dc:creator>*****</dc:creator>
  <cp:lastModifiedBy>扬扬</cp:lastModifiedBy>
  <cp:lastPrinted>2022-02-25T14:19:00Z</cp:lastPrinted>
  <dcterms:modified xsi:type="dcterms:W3CDTF">2024-03-15T03:56:36Z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EEFA86EA015143A984027FA58D34D121</vt:lpwstr>
  </property>
</Properties>
</file>