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31" w:rsidRDefault="0032055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 w:rsidR="00110330" w:rsidRPr="00110330">
        <w:rPr>
          <w:rFonts w:ascii="黑体" w:eastAsia="黑体" w:hAnsi="黑体" w:hint="eastAsia"/>
          <w:bCs/>
          <w:sz w:val="32"/>
          <w:szCs w:val="32"/>
        </w:rPr>
        <w:t>大学日语</w:t>
      </w:r>
      <w:r w:rsidR="00110330" w:rsidRPr="00110330">
        <w:rPr>
          <w:rFonts w:ascii="黑体" w:eastAsia="黑体" w:hAnsi="黑体"/>
          <w:bCs/>
          <w:sz w:val="32"/>
          <w:szCs w:val="32"/>
        </w:rPr>
        <w:t>4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:rsidR="00462631" w:rsidRDefault="0032055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8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62631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2631" w:rsidRDefault="0032055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大学日语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462631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4626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college Japanese4</w:t>
            </w:r>
          </w:p>
        </w:tc>
      </w:tr>
      <w:tr w:rsidR="0046263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2020339</w:t>
            </w:r>
          </w:p>
        </w:tc>
        <w:tc>
          <w:tcPr>
            <w:tcW w:w="2126" w:type="dxa"/>
            <w:gridSpan w:val="2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46263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272" w:type="dxa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46263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外国语学院日语系</w:t>
            </w:r>
          </w:p>
        </w:tc>
        <w:tc>
          <w:tcPr>
            <w:tcW w:w="2126" w:type="dxa"/>
            <w:gridSpan w:val="2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大学三年级</w:t>
            </w:r>
          </w:p>
        </w:tc>
      </w:tr>
      <w:tr w:rsidR="0046263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全校选修课</w:t>
            </w:r>
          </w:p>
        </w:tc>
        <w:tc>
          <w:tcPr>
            <w:tcW w:w="2126" w:type="dxa"/>
            <w:gridSpan w:val="2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闭卷考试</w:t>
            </w:r>
          </w:p>
        </w:tc>
      </w:tr>
      <w:tr w:rsidR="0046263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《标准日本语初级下》</w:t>
            </w:r>
          </w:p>
        </w:tc>
        <w:tc>
          <w:tcPr>
            <w:tcW w:w="1413" w:type="dxa"/>
            <w:gridSpan w:val="2"/>
            <w:vAlign w:val="center"/>
          </w:tcPr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是否为</w:t>
            </w:r>
          </w:p>
          <w:p w:rsidR="00462631" w:rsidRDefault="0032055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ind w:leftChars="50" w:left="12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62631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大学日语</w:t>
            </w:r>
            <w:r>
              <w:rPr>
                <w:rFonts w:asciiTheme="minorEastAsia" w:eastAsiaTheme="minorEastAsia" w:hAnsiTheme="minorEastAsia" w:hint="eastAsia"/>
              </w:rPr>
              <w:t xml:space="preserve">1  </w:t>
            </w:r>
            <w:r>
              <w:rPr>
                <w:rFonts w:asciiTheme="minorEastAsia" w:eastAsiaTheme="minorEastAsia" w:hAnsiTheme="minorEastAsia" w:hint="eastAsia"/>
              </w:rPr>
              <w:t>大学日语</w:t>
            </w:r>
            <w:r>
              <w:rPr>
                <w:rFonts w:asciiTheme="minorEastAsia" w:eastAsiaTheme="minorEastAsia" w:hAnsiTheme="minorEastAsia" w:hint="eastAsia"/>
              </w:rPr>
              <w:t xml:space="preserve">2  </w:t>
            </w:r>
            <w:r>
              <w:rPr>
                <w:rFonts w:asciiTheme="minorEastAsia" w:eastAsiaTheme="minorEastAsia" w:hAnsiTheme="minorEastAsia" w:hint="eastAsia"/>
              </w:rPr>
              <w:t>大学日语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462631">
        <w:trPr>
          <w:trHeight w:val="200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462631" w:rsidRDefault="00320553">
            <w:pPr>
              <w:pStyle w:val="DG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本课程为面向全校专业的通识教育基础课，开课对象为全校二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语能有所了解；调动学生的学习积极性，使学生增强学好日语的信心。</w:t>
            </w:r>
          </w:p>
        </w:tc>
      </w:tr>
      <w:tr w:rsidR="00462631">
        <w:trPr>
          <w:trHeight w:val="57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62631" w:rsidRDefault="00320553">
            <w:pPr>
              <w:pStyle w:val="DG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本课程于全校专业大二下学期开设。</w:t>
            </w:r>
          </w:p>
        </w:tc>
      </w:tr>
      <w:tr w:rsidR="00462631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62631" w:rsidRDefault="0032055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667385" cy="358775"/>
                  <wp:effectExtent l="0" t="0" r="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60" cy="358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62631" w:rsidRDefault="0032055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62631" w:rsidRDefault="00320553" w:rsidP="00C8740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="00C8740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C87405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bookmarkStart w:id="0" w:name="_GoBack"/>
        <w:bookmarkEnd w:id="0"/>
      </w:tr>
      <w:tr w:rsidR="00462631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62631" w:rsidRDefault="0032055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655955" cy="358775"/>
                  <wp:effectExtent l="0" t="0" r="10795" b="3175"/>
                  <wp:docPr id="2" name="图片 2" descr="b8f371f0905703be575b10f3be26d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8f371f0905703be575b10f3be26d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462631" w:rsidRDefault="0032055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62631" w:rsidRDefault="00320553" w:rsidP="00C8740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="00C8740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C8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:rsidR="00462631" w:rsidTr="00C87405">
        <w:trPr>
          <w:trHeight w:val="877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62631" w:rsidRDefault="00C8740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209BF71" wp14:editId="5B022D16">
                  <wp:extent cx="838271" cy="495338"/>
                  <wp:effectExtent l="0" t="0" r="0" b="0"/>
                  <wp:docPr id="12947307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072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0553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62631" w:rsidRDefault="0032055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2631" w:rsidRDefault="00C8740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</w:tbl>
    <w:p w:rsidR="00462631" w:rsidRDefault="00320553">
      <w:pPr>
        <w:spacing w:line="100" w:lineRule="exact"/>
        <w:rPr>
          <w:rFonts w:ascii="Arial" w:eastAsia="黑体" w:hAnsi="Arial"/>
        </w:rPr>
      </w:pPr>
      <w:r>
        <w:br w:type="page"/>
      </w:r>
    </w:p>
    <w:p w:rsidR="00462631" w:rsidRDefault="0032055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二、毕业要求与课程目标</w:t>
      </w:r>
    </w:p>
    <w:p w:rsidR="00462631" w:rsidRDefault="00320553">
      <w:pPr>
        <w:pStyle w:val="DG2"/>
        <w:spacing w:before="81" w:after="163"/>
      </w:pPr>
      <w:r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89"/>
        <w:gridCol w:w="6447"/>
        <w:gridCol w:w="940"/>
      </w:tblGrid>
      <w:tr w:rsidR="00462631">
        <w:trPr>
          <w:trHeight w:val="680"/>
          <w:jc w:val="center"/>
        </w:trPr>
        <w:tc>
          <w:tcPr>
            <w:tcW w:w="1089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/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指标点</w:t>
            </w:r>
          </w:p>
        </w:tc>
        <w:tc>
          <w:tcPr>
            <w:tcW w:w="940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462631">
        <w:trPr>
          <w:trHeight w:val="340"/>
          <w:jc w:val="center"/>
        </w:trPr>
        <w:tc>
          <w:tcPr>
            <w:tcW w:w="1089" w:type="dxa"/>
            <w:vAlign w:val="center"/>
          </w:tcPr>
          <w:p w:rsidR="00462631" w:rsidRDefault="00320553">
            <w:pPr>
              <w:pStyle w:val="DG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L031-2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掌握正确的发音，能够使用日语进行交流和表达。</w:t>
            </w:r>
          </w:p>
        </w:tc>
        <w:tc>
          <w:tcPr>
            <w:tcW w:w="94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H</w:t>
            </w:r>
          </w:p>
        </w:tc>
      </w:tr>
      <w:tr w:rsidR="00462631">
        <w:trPr>
          <w:trHeight w:val="340"/>
          <w:jc w:val="center"/>
        </w:trPr>
        <w:tc>
          <w:tcPr>
            <w:tcW w:w="1089" w:type="dxa"/>
            <w:vAlign w:val="center"/>
          </w:tcPr>
          <w:p w:rsidR="00462631" w:rsidRDefault="00320553">
            <w:pPr>
              <w:pStyle w:val="DG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L033-1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了解日本文化、社会和风土人情，认识中日文化差异。</w:t>
            </w:r>
          </w:p>
        </w:tc>
        <w:tc>
          <w:tcPr>
            <w:tcW w:w="94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  <w:tr w:rsidR="00462631">
        <w:trPr>
          <w:trHeight w:val="340"/>
          <w:jc w:val="center"/>
        </w:trPr>
        <w:tc>
          <w:tcPr>
            <w:tcW w:w="1089" w:type="dxa"/>
            <w:vAlign w:val="center"/>
          </w:tcPr>
          <w:p w:rsidR="00462631" w:rsidRDefault="00320553">
            <w:pPr>
              <w:pStyle w:val="DG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L033-2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具有跨文化交际能力，掌握有效的认知、调腔、交际策略和跨文化理解能力。</w:t>
            </w:r>
          </w:p>
        </w:tc>
        <w:tc>
          <w:tcPr>
            <w:tcW w:w="94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L</w:t>
            </w:r>
          </w:p>
        </w:tc>
      </w:tr>
      <w:tr w:rsidR="00462631">
        <w:trPr>
          <w:trHeight w:val="340"/>
          <w:jc w:val="center"/>
        </w:trPr>
        <w:tc>
          <w:tcPr>
            <w:tcW w:w="1089" w:type="dxa"/>
            <w:vAlign w:val="center"/>
          </w:tcPr>
          <w:p w:rsidR="00462631" w:rsidRDefault="00320553">
            <w:pPr>
              <w:pStyle w:val="DG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L081-1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94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H</w:t>
            </w:r>
          </w:p>
        </w:tc>
      </w:tr>
      <w:tr w:rsidR="00462631">
        <w:trPr>
          <w:trHeight w:val="340"/>
          <w:jc w:val="center"/>
        </w:trPr>
        <w:tc>
          <w:tcPr>
            <w:tcW w:w="1089" w:type="dxa"/>
            <w:vAlign w:val="center"/>
          </w:tcPr>
          <w:p w:rsidR="00462631" w:rsidRDefault="00320553">
            <w:pPr>
              <w:pStyle w:val="DG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L081-2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94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L</w:t>
            </w:r>
          </w:p>
        </w:tc>
      </w:tr>
    </w:tbl>
    <w:p w:rsidR="00462631" w:rsidRDefault="00320553">
      <w:pPr>
        <w:pStyle w:val="DG2"/>
        <w:spacing w:before="81" w:after="163"/>
      </w:pPr>
      <w:r>
        <w:rPr>
          <w:rFonts w:hint="eastAsia"/>
        </w:rPr>
        <w:t>（二）毕业要求与课程目标的关系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8"/>
        <w:gridCol w:w="925"/>
        <w:gridCol w:w="5503"/>
        <w:gridCol w:w="950"/>
      </w:tblGrid>
      <w:tr w:rsidR="00462631">
        <w:trPr>
          <w:trHeight w:val="680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:rsidR="00462631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631" w:rsidRDefault="00320553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L031-2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课堂上进行日语基础的发音练习，营造真实的会话环境，让学生能够正确发音，能够简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答交流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表达。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</w:tr>
      <w:tr w:rsidR="00462631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631" w:rsidRDefault="00320553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L033-1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课堂上进行简单介绍，学生进一步了解中日文化差异。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</w:rPr>
              <w:t>①</w:t>
            </w:r>
          </w:p>
        </w:tc>
      </w:tr>
      <w:tr w:rsidR="00462631">
        <w:trPr>
          <w:trHeight w:val="187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631" w:rsidRDefault="00320553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L033-2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通过课上基础日语学习以及对文化简单介绍，学生加强跨文化交际能力了。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</w:rPr>
              <w:t>④</w:t>
            </w:r>
          </w:p>
        </w:tc>
      </w:tr>
      <w:tr w:rsidR="00462631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631" w:rsidRDefault="00320553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L081-1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1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引导学生利用所学日语进行简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答表达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与沟通。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</w:rPr>
              <w:t>③</w:t>
            </w:r>
          </w:p>
        </w:tc>
      </w:tr>
      <w:tr w:rsidR="00462631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631" w:rsidRDefault="00320553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L081-2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3-2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462631" w:rsidRDefault="00320553">
            <w:pPr>
              <w:pStyle w:val="DG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在日语学习中对逐渐简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答了解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日本的历史文化，能进行中日跨文化交流，坚定文化自信。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</w:rPr>
              <w:t>①</w:t>
            </w:r>
          </w:p>
        </w:tc>
      </w:tr>
      <w:tr w:rsidR="00462631">
        <w:trPr>
          <w:trHeight w:val="340"/>
          <w:jc w:val="center"/>
        </w:trPr>
        <w:tc>
          <w:tcPr>
            <w:tcW w:w="84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2631" w:rsidRDefault="00320553">
            <w:pPr>
              <w:pStyle w:val="DG"/>
            </w:pPr>
            <w:r>
              <w:rPr>
                <w:rFonts w:hint="eastAsia"/>
              </w:rPr>
              <w:t>课程目标类型：①课程</w:t>
            </w:r>
            <w:proofErr w:type="gramStart"/>
            <w:r>
              <w:rPr>
                <w:rFonts w:hint="eastAsia"/>
              </w:rPr>
              <w:t>思政目标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②知识目标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③技能目标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:rsidR="00462631" w:rsidRDefault="0032055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462631" w:rsidRDefault="00320553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221"/>
        <w:gridCol w:w="2744"/>
        <w:gridCol w:w="2440"/>
        <w:gridCol w:w="2440"/>
        <w:gridCol w:w="763"/>
      </w:tblGrid>
      <w:tr w:rsidR="00462631">
        <w:trPr>
          <w:trHeight w:val="580"/>
        </w:trPr>
        <w:tc>
          <w:tcPr>
            <w:tcW w:w="425" w:type="dxa"/>
            <w:vAlign w:val="center"/>
          </w:tcPr>
          <w:p w:rsidR="00462631" w:rsidRDefault="00320553">
            <w:pPr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462631" w:rsidRDefault="0032055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462631" w:rsidRDefault="0032055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知识点</w:t>
            </w:r>
          </w:p>
          <w:p w:rsidR="00462631" w:rsidRDefault="0032055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462631" w:rsidRDefault="0032055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462631" w:rsidRDefault="0032055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462631" w:rsidRDefault="0032055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理论课时</w:t>
            </w:r>
          </w:p>
        </w:tc>
      </w:tr>
      <w:tr w:rsidR="00462631">
        <w:tc>
          <w:tcPr>
            <w:tcW w:w="425" w:type="dxa"/>
          </w:tcPr>
          <w:p w:rsidR="00462631" w:rsidRDefault="00320553">
            <w:pPr>
              <w:spacing w:beforeLines="50" w:before="163" w:afterLines="50" w:after="163" w:line="288" w:lineRule="auto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462631" w:rsidRDefault="00320553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在北京的工作情况</w:t>
            </w:r>
          </w:p>
        </w:tc>
        <w:tc>
          <w:tcPr>
            <w:tcW w:w="2551" w:type="dxa"/>
          </w:tcPr>
          <w:p w:rsidR="00462631" w:rsidRDefault="00320553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掌握动词被动态的用法；</w:t>
            </w:r>
          </w:p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掌握动词使役态的变化以及用法</w:t>
            </w:r>
          </w:p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3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掌握动词的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た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形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+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まま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的用法</w:t>
            </w:r>
          </w:p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lastRenderedPageBreak/>
              <w:t>4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能用正确的语音和语调朗读课文，能够正确使用上述语法</w:t>
            </w:r>
          </w:p>
        </w:tc>
        <w:tc>
          <w:tcPr>
            <w:tcW w:w="2268" w:type="dxa"/>
          </w:tcPr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动词被动态的变形以及使用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动词使役态的变形以及使用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3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复合句的使用</w:t>
            </w:r>
          </w:p>
        </w:tc>
        <w:tc>
          <w:tcPr>
            <w:tcW w:w="2268" w:type="dxa"/>
          </w:tcPr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掌握每课的单词、语法；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要求学生运用正确的语音和语调朗读课文；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462631" w:rsidRDefault="00320553">
            <w:pPr>
              <w:spacing w:beforeLines="50" w:before="163" w:afterLines="50" w:after="163" w:line="288" w:lineRule="auto"/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 w:hint="eastAsia"/>
                <w:kern w:val="2"/>
                <w:sz w:val="16"/>
                <w:szCs w:val="16"/>
              </w:rPr>
              <w:t>24</w:t>
            </w:r>
          </w:p>
        </w:tc>
      </w:tr>
      <w:tr w:rsidR="00462631">
        <w:tc>
          <w:tcPr>
            <w:tcW w:w="425" w:type="dxa"/>
          </w:tcPr>
          <w:p w:rsidR="00462631" w:rsidRDefault="00320553">
            <w:pPr>
              <w:spacing w:beforeLines="50" w:before="163" w:afterLines="50" w:after="163" w:line="288" w:lineRule="auto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eastAsia="MS Mincho" w:hAnsi="Calibri" w:cs="Times New Roman"/>
                <w:kern w:val="2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:rsidR="00462631" w:rsidRDefault="00320553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新的拓展</w:t>
            </w:r>
          </w:p>
        </w:tc>
        <w:tc>
          <w:tcPr>
            <w:tcW w:w="2551" w:type="dxa"/>
          </w:tcPr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、掌握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～ていく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てくる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的用法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；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掌握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～ようだ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みたいだ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らし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い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的表现形式；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掌握敬语的用法；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cs="Times New Roman" w:hint="eastAsia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区别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～ていく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てくる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的使用方法</w:t>
            </w:r>
          </w:p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cs="Times New Roman" w:hint="eastAsia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区别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～ようだ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みたいだ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らし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い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的使用方法</w:t>
            </w:r>
          </w:p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区别尊他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自谦的使用方法</w:t>
            </w:r>
          </w:p>
        </w:tc>
        <w:tc>
          <w:tcPr>
            <w:tcW w:w="2268" w:type="dxa"/>
          </w:tcPr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掌握每课的单词、语法；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要求学生运用正确的语音和语调朗读课文；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462631" w:rsidRDefault="00320553">
            <w:pPr>
              <w:spacing w:beforeLines="50" w:before="163" w:afterLines="50" w:after="163" w:line="288" w:lineRule="auto"/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 w:hint="eastAsia"/>
                <w:kern w:val="2"/>
                <w:sz w:val="16"/>
                <w:szCs w:val="16"/>
              </w:rPr>
              <w:t>24</w:t>
            </w:r>
          </w:p>
        </w:tc>
      </w:tr>
      <w:tr w:rsidR="00462631">
        <w:tc>
          <w:tcPr>
            <w:tcW w:w="425" w:type="dxa"/>
          </w:tcPr>
          <w:p w:rsidR="00462631" w:rsidRDefault="00320553">
            <w:pPr>
              <w:spacing w:beforeLines="50" w:before="163" w:afterLines="50" w:after="163" w:line="288" w:lineRule="auto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eastAsia="MS Mincho" w:hAnsi="Calibri" w:cs="Times New Roman"/>
                <w:kern w:val="2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462631" w:rsidRDefault="00320553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单元复习</w:t>
            </w:r>
          </w:p>
        </w:tc>
        <w:tc>
          <w:tcPr>
            <w:tcW w:w="2551" w:type="dxa"/>
          </w:tcPr>
          <w:p w:rsidR="00462631" w:rsidRDefault="00320553">
            <w:pPr>
              <w:rPr>
                <w:rFonts w:ascii="Calibri" w:eastAsiaTheme="minorEastAsia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复习动词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0"/>
                <w:szCs w:val="20"/>
              </w:rPr>
              <w:t>被动态、使役态的变形规则</w:t>
            </w:r>
          </w:p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eastAsiaTheme="minorEastAsia" w:hAnsi="Calibri" w:cs="Times New Roman" w:hint="eastAsia"/>
                <w:color w:val="000000"/>
                <w:sz w:val="20"/>
                <w:szCs w:val="20"/>
                <w:lang w:eastAsia="ja-JP"/>
              </w:rPr>
              <w:t>复习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动词的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た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形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+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まま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的用法</w:t>
            </w:r>
          </w:p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eastAsiaTheme="minorEastAsia" w:hAnsi="Calibri" w:cs="Times New Roman" w:hint="eastAsia"/>
                <w:color w:val="000000"/>
                <w:sz w:val="20"/>
                <w:szCs w:val="20"/>
              </w:rPr>
              <w:t>复习敬语的使用方法</w:t>
            </w:r>
          </w:p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、能用正确的词语和语法表达特定的意思。</w:t>
            </w:r>
          </w:p>
        </w:tc>
        <w:tc>
          <w:tcPr>
            <w:tcW w:w="2268" w:type="dxa"/>
          </w:tcPr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动词被动态、使役态的变形以及使用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敬语的概念以及使用</w:t>
            </w:r>
          </w:p>
          <w:p w:rsidR="00462631" w:rsidRDefault="00320553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复合句的使用</w:t>
            </w:r>
          </w:p>
        </w:tc>
        <w:tc>
          <w:tcPr>
            <w:tcW w:w="2268" w:type="dxa"/>
          </w:tcPr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掌握每课的单词、语法；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要求学生运用正确的语音和语调朗读课文；</w:t>
            </w:r>
          </w:p>
          <w:p w:rsidR="00462631" w:rsidRDefault="0032055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462631" w:rsidRDefault="00320553">
            <w:pPr>
              <w:spacing w:beforeLines="50" w:before="163" w:afterLines="50" w:after="163" w:line="288" w:lineRule="auto"/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 w:hint="eastAsia"/>
                <w:kern w:val="2"/>
                <w:sz w:val="16"/>
                <w:szCs w:val="16"/>
              </w:rPr>
              <w:t>16</w:t>
            </w:r>
          </w:p>
        </w:tc>
      </w:tr>
    </w:tbl>
    <w:p w:rsidR="00462631" w:rsidRDefault="00462631">
      <w:pPr>
        <w:pStyle w:val="DG2"/>
        <w:spacing w:before="81" w:after="163"/>
      </w:pPr>
    </w:p>
    <w:p w:rsidR="00462631" w:rsidRDefault="00320553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3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79"/>
        <w:gridCol w:w="1100"/>
        <w:gridCol w:w="1099"/>
        <w:gridCol w:w="1100"/>
        <w:gridCol w:w="1099"/>
        <w:gridCol w:w="1099"/>
      </w:tblGrid>
      <w:tr w:rsidR="00462631">
        <w:trPr>
          <w:trHeight w:val="794"/>
          <w:jc w:val="center"/>
        </w:trPr>
        <w:tc>
          <w:tcPr>
            <w:tcW w:w="187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462631" w:rsidRDefault="0032055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462631" w:rsidRDefault="00462631">
            <w:pPr>
              <w:pStyle w:val="DG"/>
              <w:ind w:right="210"/>
              <w:jc w:val="left"/>
              <w:rPr>
                <w:szCs w:val="16"/>
              </w:rPr>
            </w:pPr>
          </w:p>
          <w:p w:rsidR="00462631" w:rsidRDefault="0032055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-1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-1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462631" w:rsidRDefault="00320553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</w:p>
        </w:tc>
      </w:tr>
      <w:tr w:rsidR="00462631">
        <w:trPr>
          <w:trHeight w:val="340"/>
          <w:jc w:val="center"/>
        </w:trPr>
        <w:tc>
          <w:tcPr>
            <w:tcW w:w="1879" w:type="dxa"/>
            <w:tcBorders>
              <w:left w:val="single" w:sz="12" w:space="0" w:color="auto"/>
            </w:tcBorders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单元</w:t>
            </w:r>
          </w:p>
        </w:tc>
        <w:tc>
          <w:tcPr>
            <w:tcW w:w="110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462631">
        <w:trPr>
          <w:trHeight w:val="340"/>
          <w:jc w:val="center"/>
        </w:trPr>
        <w:tc>
          <w:tcPr>
            <w:tcW w:w="1879" w:type="dxa"/>
            <w:tcBorders>
              <w:left w:val="single" w:sz="12" w:space="0" w:color="auto"/>
            </w:tcBorders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单元</w:t>
            </w:r>
          </w:p>
        </w:tc>
        <w:tc>
          <w:tcPr>
            <w:tcW w:w="110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462631">
        <w:trPr>
          <w:trHeight w:val="340"/>
          <w:jc w:val="center"/>
        </w:trPr>
        <w:tc>
          <w:tcPr>
            <w:tcW w:w="1879" w:type="dxa"/>
            <w:tcBorders>
              <w:left w:val="single" w:sz="12" w:space="0" w:color="auto"/>
            </w:tcBorders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单元复习</w:t>
            </w:r>
          </w:p>
        </w:tc>
        <w:tc>
          <w:tcPr>
            <w:tcW w:w="110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:rsidR="00462631" w:rsidRDefault="00320553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8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9"/>
        <w:gridCol w:w="3041"/>
        <w:gridCol w:w="1738"/>
        <w:gridCol w:w="1088"/>
        <w:gridCol w:w="1020"/>
      </w:tblGrid>
      <w:tr w:rsidR="00462631">
        <w:trPr>
          <w:trHeight w:val="340"/>
          <w:jc w:val="center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sz="12" w:space="0" w:color="auto"/>
            </w:tcBorders>
            <w:vAlign w:val="center"/>
          </w:tcPr>
          <w:p w:rsidR="00462631" w:rsidRDefault="00320553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:rsidR="00462631" w:rsidRDefault="0032055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2631" w:rsidRDefault="0032055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62631">
        <w:trPr>
          <w:trHeight w:val="340"/>
          <w:jc w:val="center"/>
        </w:trPr>
        <w:tc>
          <w:tcPr>
            <w:tcW w:w="1589" w:type="dxa"/>
            <w:vMerge/>
            <w:tcBorders>
              <w:left w:val="single" w:sz="12" w:space="0" w:color="auto"/>
            </w:tcBorders>
          </w:tcPr>
          <w:p w:rsidR="00462631" w:rsidRDefault="004626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/>
          </w:tcPr>
          <w:p w:rsidR="00462631" w:rsidRDefault="004626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:rsidR="00462631" w:rsidRDefault="004626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复习上个学期的重点语法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40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課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これから友達と食事に行くところです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+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四级真题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 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41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課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李さんは部長にほめられました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+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四级真题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第一次</w:t>
            </w:r>
            <w:r>
              <w:rPr>
                <w:rFonts w:asciiTheme="minorEastAsia" w:eastAsiaTheme="minorEastAsia" w:hAnsiTheme="minorEastAsia" w:cs="微软雅黑" w:hint="eastAsia"/>
                <w:sz w:val="18"/>
                <w:szCs w:val="18"/>
              </w:rPr>
              <w:t>过程性考试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随堂测试，答案解析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42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課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テレビをつけたまま、出か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lastRenderedPageBreak/>
              <w:t>けてしまいました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+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四级真题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lastRenderedPageBreak/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lastRenderedPageBreak/>
              <w:t>第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43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課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陳さんは、息子をアメリカに留学させます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+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四级真题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大学日语四级真题讲解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测试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二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sz w:val="18"/>
                <w:szCs w:val="18"/>
              </w:rPr>
              <w:t>过程性考试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微软雅黑" w:hint="eastAsia"/>
                <w:sz w:val="18"/>
                <w:szCs w:val="18"/>
              </w:rPr>
              <w:t>随堂测试</w:t>
            </w:r>
            <w:r>
              <w:rPr>
                <w:rFonts w:cs="MS Mincho" w:hint="eastAsia"/>
                <w:sz w:val="18"/>
                <w:szCs w:val="18"/>
              </w:rPr>
              <w:t>，答案解析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44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課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玄関のところにだれかいるようです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+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四级真题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45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課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少子化が進んで、日本の人口はだんだん減っていくでしょう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+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四级真题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大学日语四级真题讲解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三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sz w:val="18"/>
                <w:szCs w:val="18"/>
              </w:rPr>
              <w:t>过程性考试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微软雅黑" w:hint="eastAsia"/>
                <w:sz w:val="18"/>
                <w:szCs w:val="18"/>
              </w:rPr>
              <w:t>随堂测试</w:t>
            </w:r>
            <w:r>
              <w:rPr>
                <w:rFonts w:cs="MS Mincho" w:hint="eastAsia"/>
                <w:sz w:val="18"/>
                <w:szCs w:val="18"/>
              </w:rPr>
              <w:t>，答案解析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46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課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 xml:space="preserve">これは柔らかくて、まるで本物の毛皮のようです　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47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課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 xml:space="preserve">周先生は明日日本へ行かれます　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48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  <w:lang w:eastAsia="ja-JP"/>
              </w:rPr>
              <w:t>課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ja-JP"/>
              </w:rPr>
              <w:t>お荷物は私がお持ちします</w:t>
            </w:r>
          </w:p>
        </w:tc>
        <w:tc>
          <w:tcPr>
            <w:tcW w:w="3041" w:type="dxa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总复习</w:t>
            </w:r>
          </w:p>
        </w:tc>
        <w:tc>
          <w:tcPr>
            <w:tcW w:w="3041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-48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课全部内容</w:t>
            </w:r>
          </w:p>
        </w:tc>
        <w:tc>
          <w:tcPr>
            <w:tcW w:w="173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讨论与随堂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62631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2631" w:rsidRDefault="00320553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1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</w:tr>
    </w:tbl>
    <w:p w:rsidR="00462631" w:rsidRDefault="00320553">
      <w:pPr>
        <w:pStyle w:val="DG2"/>
        <w:spacing w:beforeLines="100" w:before="326" w:after="163"/>
        <w:rPr>
          <w:rFonts w:ascii="黑体" w:hAnsi="宋体"/>
        </w:rPr>
      </w:pPr>
      <w:bookmarkStart w:id="1" w:name="OLE_LINK1"/>
      <w:bookmarkStart w:id="2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99"/>
        <w:gridCol w:w="7177"/>
      </w:tblGrid>
      <w:tr w:rsidR="00462631">
        <w:trPr>
          <w:trHeight w:val="454"/>
        </w:trPr>
        <w:tc>
          <w:tcPr>
            <w:tcW w:w="1299" w:type="dxa"/>
            <w:vAlign w:val="center"/>
          </w:tcPr>
          <w:bookmarkEnd w:id="1"/>
          <w:bookmarkEnd w:id="2"/>
          <w:p w:rsidR="00462631" w:rsidRDefault="00320553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:rsidR="00462631" w:rsidRDefault="00320553">
            <w:pPr>
              <w:pStyle w:val="DG"/>
            </w:pPr>
            <w:r>
              <w:rPr>
                <w:rFonts w:hint="eastAsia"/>
              </w:rPr>
              <w:t>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要点</w:t>
            </w:r>
          </w:p>
        </w:tc>
      </w:tr>
      <w:tr w:rsidR="00462631">
        <w:trPr>
          <w:trHeight w:val="454"/>
        </w:trPr>
        <w:tc>
          <w:tcPr>
            <w:tcW w:w="1299" w:type="dxa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单元</w:t>
            </w:r>
          </w:p>
        </w:tc>
        <w:tc>
          <w:tcPr>
            <w:tcW w:w="7177" w:type="dxa"/>
            <w:vAlign w:val="center"/>
          </w:tcPr>
          <w:p w:rsidR="00462631" w:rsidRDefault="00320553">
            <w:pPr>
              <w:pStyle w:val="DG0"/>
              <w:jc w:val="both"/>
            </w:pPr>
            <w:r>
              <w:rPr>
                <w:rFonts w:hint="eastAsia"/>
              </w:rPr>
              <w:t>本单元结合日本企业文化融入中国企业文化，让学生了解中国企业文化特色。</w:t>
            </w:r>
          </w:p>
        </w:tc>
      </w:tr>
      <w:tr w:rsidR="00462631">
        <w:trPr>
          <w:trHeight w:val="454"/>
        </w:trPr>
        <w:tc>
          <w:tcPr>
            <w:tcW w:w="1299" w:type="dxa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单元</w:t>
            </w:r>
          </w:p>
        </w:tc>
        <w:tc>
          <w:tcPr>
            <w:tcW w:w="7177" w:type="dxa"/>
            <w:vAlign w:val="center"/>
          </w:tcPr>
          <w:p w:rsidR="00462631" w:rsidRDefault="00320553">
            <w:pPr>
              <w:pStyle w:val="DG0"/>
              <w:jc w:val="both"/>
            </w:pPr>
            <w:r>
              <w:rPr>
                <w:rFonts w:hint="eastAsia"/>
              </w:rPr>
              <w:t>本单元通过日语文化融入中国文字对日语文字文法历史的影响。</w:t>
            </w:r>
          </w:p>
        </w:tc>
      </w:tr>
      <w:tr w:rsidR="00462631">
        <w:trPr>
          <w:trHeight w:val="454"/>
        </w:trPr>
        <w:tc>
          <w:tcPr>
            <w:tcW w:w="1299" w:type="dxa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单元复习</w:t>
            </w:r>
          </w:p>
        </w:tc>
        <w:tc>
          <w:tcPr>
            <w:tcW w:w="7177" w:type="dxa"/>
            <w:vAlign w:val="center"/>
          </w:tcPr>
          <w:p w:rsidR="00462631" w:rsidRDefault="00320553">
            <w:pPr>
              <w:pStyle w:val="DG0"/>
              <w:jc w:val="both"/>
            </w:pPr>
            <w:r>
              <w:rPr>
                <w:rFonts w:hint="eastAsia"/>
              </w:rPr>
              <w:t>本单元通过学习，拓展学生国际视野，增强文化自信，学会用日语讲好中国传统文化故事。</w:t>
            </w:r>
          </w:p>
        </w:tc>
      </w:tr>
    </w:tbl>
    <w:p w:rsidR="00462631" w:rsidRDefault="0032055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798"/>
        <w:gridCol w:w="851"/>
        <w:gridCol w:w="799"/>
        <w:gridCol w:w="706"/>
      </w:tblGrid>
      <w:tr w:rsidR="00462631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462631" w:rsidRDefault="0032055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lastRenderedPageBreak/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62631" w:rsidRDefault="0032055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62631" w:rsidRDefault="0032055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2631" w:rsidRDefault="003205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62631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62631" w:rsidRDefault="004626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462631" w:rsidRDefault="00462631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462631" w:rsidRDefault="00462631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462631" w:rsidRDefault="003205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612" w:type="dxa"/>
            <w:vAlign w:val="center"/>
          </w:tcPr>
          <w:p w:rsidR="00462631" w:rsidRDefault="003205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798" w:type="dxa"/>
            <w:vAlign w:val="center"/>
          </w:tcPr>
          <w:p w:rsidR="00462631" w:rsidRDefault="003205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462631" w:rsidRDefault="003205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799" w:type="dxa"/>
            <w:vAlign w:val="center"/>
          </w:tcPr>
          <w:p w:rsidR="00462631" w:rsidRDefault="003205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462631" w:rsidRDefault="0046263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46263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期末测试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98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6263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小测试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98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:rsidR="00462631" w:rsidRDefault="00462631">
            <w:pPr>
              <w:pStyle w:val="DG0"/>
            </w:pPr>
          </w:p>
        </w:tc>
        <w:tc>
          <w:tcPr>
            <w:tcW w:w="799" w:type="dxa"/>
            <w:vAlign w:val="center"/>
          </w:tcPr>
          <w:p w:rsidR="00462631" w:rsidRDefault="00462631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6263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小测试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462631" w:rsidRDefault="00462631">
            <w:pPr>
              <w:pStyle w:val="DG0"/>
            </w:pPr>
          </w:p>
        </w:tc>
        <w:tc>
          <w:tcPr>
            <w:tcW w:w="612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98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99" w:type="dxa"/>
            <w:vAlign w:val="center"/>
          </w:tcPr>
          <w:p w:rsidR="00462631" w:rsidRDefault="00462631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6263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小测试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462631" w:rsidRDefault="00462631">
            <w:pPr>
              <w:pStyle w:val="DG0"/>
              <w:jc w:val="left"/>
            </w:pPr>
          </w:p>
        </w:tc>
        <w:tc>
          <w:tcPr>
            <w:tcW w:w="612" w:type="dxa"/>
            <w:vAlign w:val="center"/>
          </w:tcPr>
          <w:p w:rsidR="00462631" w:rsidRDefault="00462631">
            <w:pPr>
              <w:pStyle w:val="DG0"/>
              <w:jc w:val="left"/>
            </w:pPr>
          </w:p>
        </w:tc>
        <w:tc>
          <w:tcPr>
            <w:tcW w:w="798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99" w:type="dxa"/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462631" w:rsidRDefault="0032055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462631" w:rsidRDefault="00320553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:rsidR="00462631">
        <w:trPr>
          <w:trHeight w:val="283"/>
        </w:trPr>
        <w:tc>
          <w:tcPr>
            <w:tcW w:w="630" w:type="dxa"/>
            <w:vMerge w:val="restart"/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:rsidR="00462631" w:rsidRDefault="003205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:rsidR="00462631" w:rsidRDefault="003205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462631">
        <w:trPr>
          <w:trHeight w:val="283"/>
        </w:trPr>
        <w:tc>
          <w:tcPr>
            <w:tcW w:w="630" w:type="dxa"/>
            <w:vMerge/>
          </w:tcPr>
          <w:p w:rsidR="00462631" w:rsidRDefault="004626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/>
          </w:tcPr>
          <w:p w:rsidR="00462631" w:rsidRDefault="00462631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</w:tcPr>
          <w:p w:rsidR="00462631" w:rsidRDefault="00462631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462631">
        <w:trPr>
          <w:trHeight w:val="454"/>
        </w:trPr>
        <w:tc>
          <w:tcPr>
            <w:tcW w:w="630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:rsidR="00462631" w:rsidRDefault="0046263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:rsidR="00462631" w:rsidRDefault="00462631">
            <w:pPr>
              <w:pStyle w:val="DG0"/>
              <w:jc w:val="both"/>
            </w:pPr>
          </w:p>
        </w:tc>
        <w:tc>
          <w:tcPr>
            <w:tcW w:w="1445" w:type="dxa"/>
          </w:tcPr>
          <w:p w:rsidR="00462631" w:rsidRDefault="00462631">
            <w:pPr>
              <w:pStyle w:val="DG0"/>
              <w:jc w:val="both"/>
            </w:pPr>
          </w:p>
        </w:tc>
        <w:tc>
          <w:tcPr>
            <w:tcW w:w="1445" w:type="dxa"/>
          </w:tcPr>
          <w:p w:rsidR="00462631" w:rsidRDefault="00462631">
            <w:pPr>
              <w:pStyle w:val="DG0"/>
              <w:jc w:val="both"/>
            </w:pPr>
          </w:p>
        </w:tc>
        <w:tc>
          <w:tcPr>
            <w:tcW w:w="1445" w:type="dxa"/>
          </w:tcPr>
          <w:p w:rsidR="00462631" w:rsidRDefault="00462631">
            <w:pPr>
              <w:pStyle w:val="a7"/>
              <w:widowControl/>
              <w:shd w:val="clear" w:color="auto" w:fill="FFFFFF"/>
            </w:pPr>
          </w:p>
        </w:tc>
      </w:tr>
      <w:tr w:rsidR="00462631">
        <w:trPr>
          <w:trHeight w:val="454"/>
        </w:trPr>
        <w:tc>
          <w:tcPr>
            <w:tcW w:w="630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:rsidR="00462631" w:rsidRDefault="0046263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62631">
        <w:trPr>
          <w:trHeight w:val="454"/>
        </w:trPr>
        <w:tc>
          <w:tcPr>
            <w:tcW w:w="630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:rsidR="00462631" w:rsidRDefault="0046263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62631">
        <w:trPr>
          <w:trHeight w:val="454"/>
        </w:trPr>
        <w:tc>
          <w:tcPr>
            <w:tcW w:w="630" w:type="dxa"/>
            <w:vAlign w:val="center"/>
          </w:tcPr>
          <w:p w:rsidR="00462631" w:rsidRDefault="003205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67" w:type="dxa"/>
            <w:vAlign w:val="center"/>
          </w:tcPr>
          <w:p w:rsidR="00462631" w:rsidRDefault="0046263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:rsidR="00462631" w:rsidRDefault="00462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:rsidR="00462631" w:rsidRDefault="0032055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62631">
        <w:tc>
          <w:tcPr>
            <w:tcW w:w="8296" w:type="dxa"/>
          </w:tcPr>
          <w:p w:rsidR="00462631" w:rsidRDefault="00462631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:rsidR="00462631" w:rsidRDefault="0032055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:rsidR="00462631" w:rsidRDefault="00462631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462631" w:rsidRDefault="00462631">
      <w:pPr>
        <w:pStyle w:val="DG1"/>
        <w:rPr>
          <w:rFonts w:ascii="黑体" w:hAnsi="宋体"/>
          <w:sz w:val="18"/>
          <w:szCs w:val="16"/>
        </w:rPr>
      </w:pPr>
    </w:p>
    <w:p w:rsidR="00462631" w:rsidRDefault="00462631">
      <w:pPr>
        <w:pStyle w:val="DG1"/>
        <w:rPr>
          <w:rFonts w:ascii="黑体" w:hAnsi="宋体"/>
        </w:rPr>
      </w:pPr>
    </w:p>
    <w:sectPr w:rsidR="0046263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53" w:rsidRDefault="00320553">
      <w:r>
        <w:separator/>
      </w:r>
    </w:p>
  </w:endnote>
  <w:endnote w:type="continuationSeparator" w:id="0">
    <w:p w:rsidR="00320553" w:rsidRDefault="0032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53" w:rsidRDefault="00320553">
      <w:r>
        <w:separator/>
      </w:r>
    </w:p>
  </w:footnote>
  <w:footnote w:type="continuationSeparator" w:id="0">
    <w:p w:rsidR="00320553" w:rsidRDefault="00320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631" w:rsidRDefault="00320553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62631" w:rsidRDefault="0032055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 w:rsidRPr="00C8740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C87405">
                            <w:rPr>
                              <w:rFonts w:ascii="Times New Roman" w:hAnsi="Times New Roman" w:hint="eastAsia"/>
                            </w:rPr>
                            <w:t>55</w:t>
                          </w:r>
                          <w:r w:rsidRPr="00C87405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C87405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Pr="00C87405">
                            <w:rPr>
                              <w:rFonts w:ascii="Times New Roman" w:hAnsi="Times New Roman" w:hint="eastAsia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462631" w:rsidRDefault="0032055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 w:rsidRPr="00C87405">
                      <w:rPr>
                        <w:rFonts w:ascii="Times New Roman" w:hAnsi="Times New Roman"/>
                      </w:rPr>
                      <w:t>0</w:t>
                    </w:r>
                    <w:r w:rsidRPr="00C87405">
                      <w:rPr>
                        <w:rFonts w:ascii="Times New Roman" w:hAnsi="Times New Roman" w:hint="eastAsia"/>
                      </w:rPr>
                      <w:t>55</w:t>
                    </w:r>
                    <w:r w:rsidRPr="00C87405">
                      <w:rPr>
                        <w:rFonts w:ascii="Times New Roman" w:hAnsi="Times New Roman"/>
                      </w:rPr>
                      <w:t>（</w:t>
                    </w:r>
                    <w:r w:rsidRPr="00C87405">
                      <w:rPr>
                        <w:rFonts w:ascii="Times New Roman" w:hAnsi="Times New Roman"/>
                      </w:rPr>
                      <w:t>A</w:t>
                    </w:r>
                    <w:r w:rsidRPr="00C87405">
                      <w:rPr>
                        <w:rFonts w:ascii="Times New Roman" w:hAnsi="Times New Roman" w:hint="eastAsia"/>
                      </w:rPr>
                      <w:t>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671"/>
    <w:multiLevelType w:val="multilevel"/>
    <w:tmpl w:val="03C956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0330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21E4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5D67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0553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03F3"/>
    <w:rsid w:val="00462631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B61AB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27CE6"/>
    <w:rsid w:val="006331EE"/>
    <w:rsid w:val="006355E6"/>
    <w:rsid w:val="00637262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3E66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27595"/>
    <w:rsid w:val="00732152"/>
    <w:rsid w:val="00742E7A"/>
    <w:rsid w:val="0074424F"/>
    <w:rsid w:val="0075589E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3732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4E21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37A9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485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87405"/>
    <w:rsid w:val="00C9080C"/>
    <w:rsid w:val="00C90CF9"/>
    <w:rsid w:val="00CA18FD"/>
    <w:rsid w:val="00CA27E5"/>
    <w:rsid w:val="00CA4897"/>
    <w:rsid w:val="00CA6928"/>
    <w:rsid w:val="00CA72DD"/>
    <w:rsid w:val="00CB3D3F"/>
    <w:rsid w:val="00CB50D5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061FD"/>
    <w:rsid w:val="00D11D8F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918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2C33576"/>
    <w:rsid w:val="569868B5"/>
    <w:rsid w:val="611F6817"/>
    <w:rsid w:val="66CA1754"/>
    <w:rsid w:val="6F1E65D4"/>
    <w:rsid w:val="6F266C86"/>
    <w:rsid w:val="6F5042C2"/>
    <w:rsid w:val="71AB5A91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FB79D-5128-4AC0-BEAC-38C5E73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a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7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b">
    <w:name w:val="Placeholder Text"/>
    <w:basedOn w:val="a0"/>
    <w:autoRedefine/>
    <w:uiPriority w:val="99"/>
    <w:unhideWhenUsed/>
    <w:qFormat/>
    <w:rPr>
      <w:color w:val="808080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96B1D0-1EBA-4C1B-A49D-4CD732D7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8</cp:revision>
  <cp:lastPrinted>2023-10-23T04:11:00Z</cp:lastPrinted>
  <dcterms:created xsi:type="dcterms:W3CDTF">2024-01-15T01:58:00Z</dcterms:created>
  <dcterms:modified xsi:type="dcterms:W3CDTF">2024-04-23T05:07:00Z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6F3E721066C14BE4B11A6E649787BF76_12</vt:lpwstr>
  </property>
</Properties>
</file>