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4C21D">
      <w:pPr>
        <w:jc w:val="center"/>
        <w:rPr>
          <w:rFonts w:ascii="黑体" w:hAnsi="黑体" w:eastAsia="黑体"/>
          <w:bCs/>
          <w:sz w:val="32"/>
          <w:szCs w:val="32"/>
        </w:rPr>
      </w:pPr>
      <w:r>
        <w:rPr>
          <w:rFonts w:hint="eastAsia" w:ascii="黑体" w:hAnsi="黑体" w:eastAsia="黑体"/>
          <w:bCs/>
          <w:sz w:val="32"/>
          <w:szCs w:val="32"/>
        </w:rPr>
        <w:t>本科课程教学大纲（实验课）</w:t>
      </w:r>
    </w:p>
    <w:p w14:paraId="24F79320">
      <w:pPr>
        <w:pStyle w:val="18"/>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49590525">
        <w:trPr>
          <w:trHeight w:val="340" w:hRule="atLeast"/>
        </w:trPr>
        <w:tc>
          <w:tcPr>
            <w:tcW w:w="1691" w:type="dxa"/>
            <w:vMerge w:val="restart"/>
            <w:tcBorders>
              <w:top w:val="single" w:color="auto" w:sz="12" w:space="0"/>
              <w:left w:val="single" w:color="auto" w:sz="12" w:space="0"/>
            </w:tcBorders>
            <w:shd w:val="clear" w:color="auto" w:fill="auto"/>
            <w:vAlign w:val="center"/>
          </w:tcPr>
          <w:p w14:paraId="48D3FC2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077C5F19">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（中文）口译理论与实践</w:t>
            </w:r>
          </w:p>
        </w:tc>
      </w:tr>
      <w:tr w14:paraId="0B9FE9A6">
        <w:trPr>
          <w:trHeight w:val="340" w:hRule="atLeast"/>
        </w:trPr>
        <w:tc>
          <w:tcPr>
            <w:tcW w:w="1691" w:type="dxa"/>
            <w:vMerge w:val="continue"/>
            <w:tcBorders>
              <w:left w:val="single" w:color="auto" w:sz="12" w:space="0"/>
            </w:tcBorders>
            <w:shd w:val="clear" w:color="auto" w:fill="auto"/>
            <w:vAlign w:val="center"/>
          </w:tcPr>
          <w:p w14:paraId="772725B8">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33DEF669">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imes New Roman" w:hAnsi="Times New Roman" w:eastAsia="DengXian" w:cs="Times New Roman"/>
                <w:color w:val="000000"/>
                <w:sz w:val="21"/>
                <w:szCs w:val="21"/>
              </w:rPr>
              <w:t>Theory and Practice of Interpreting</w:t>
            </w:r>
          </w:p>
        </w:tc>
      </w:tr>
      <w:tr w14:paraId="61C5D436">
        <w:trPr>
          <w:trHeight w:val="340" w:hRule="atLeast"/>
        </w:trPr>
        <w:tc>
          <w:tcPr>
            <w:tcW w:w="1691" w:type="dxa"/>
            <w:tcBorders>
              <w:left w:val="single" w:color="auto" w:sz="12" w:space="0"/>
            </w:tcBorders>
            <w:shd w:val="clear" w:color="auto" w:fill="auto"/>
            <w:vAlign w:val="center"/>
          </w:tcPr>
          <w:p w14:paraId="10D32E1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109B14D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2025009</w:t>
            </w:r>
          </w:p>
        </w:tc>
        <w:tc>
          <w:tcPr>
            <w:tcW w:w="2126" w:type="dxa"/>
            <w:gridSpan w:val="2"/>
            <w:vAlign w:val="center"/>
          </w:tcPr>
          <w:p w14:paraId="287AA38B">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03E0CA84">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r>
      <w:tr w14:paraId="4039E2A0">
        <w:trPr>
          <w:trHeight w:val="340" w:hRule="atLeast"/>
        </w:trPr>
        <w:tc>
          <w:tcPr>
            <w:tcW w:w="1691" w:type="dxa"/>
            <w:tcBorders>
              <w:left w:val="single" w:color="auto" w:sz="12" w:space="0"/>
            </w:tcBorders>
            <w:shd w:val="clear" w:color="auto" w:fill="auto"/>
            <w:vAlign w:val="center"/>
          </w:tcPr>
          <w:p w14:paraId="7D6B0689">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DE6BDB1">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16</w:t>
            </w:r>
          </w:p>
        </w:tc>
        <w:tc>
          <w:tcPr>
            <w:tcW w:w="1272" w:type="dxa"/>
            <w:vAlign w:val="center"/>
          </w:tcPr>
          <w:p w14:paraId="6807F5F5">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14739CDC">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w:t>
            </w:r>
          </w:p>
        </w:tc>
        <w:tc>
          <w:tcPr>
            <w:tcW w:w="1413" w:type="dxa"/>
            <w:gridSpan w:val="2"/>
            <w:vAlign w:val="center"/>
          </w:tcPr>
          <w:p w14:paraId="32556A21">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1D55566">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16</w:t>
            </w:r>
          </w:p>
        </w:tc>
      </w:tr>
      <w:tr w14:paraId="2737B18D">
        <w:trPr>
          <w:trHeight w:val="340" w:hRule="atLeast"/>
        </w:trPr>
        <w:tc>
          <w:tcPr>
            <w:tcW w:w="1691" w:type="dxa"/>
            <w:tcBorders>
              <w:left w:val="single" w:color="auto" w:sz="12" w:space="0"/>
            </w:tcBorders>
            <w:shd w:val="clear" w:color="auto" w:fill="auto"/>
            <w:vAlign w:val="center"/>
          </w:tcPr>
          <w:p w14:paraId="07B7F34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36FD0539">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外国语学院</w:t>
            </w:r>
          </w:p>
        </w:tc>
        <w:tc>
          <w:tcPr>
            <w:tcW w:w="2126" w:type="dxa"/>
            <w:gridSpan w:val="2"/>
            <w:vAlign w:val="center"/>
          </w:tcPr>
          <w:p w14:paraId="23BE1D0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4F6D17D2">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日语专业 四年级</w:t>
            </w:r>
          </w:p>
        </w:tc>
      </w:tr>
      <w:tr w14:paraId="4C0DC3E8">
        <w:trPr>
          <w:trHeight w:val="340" w:hRule="atLeast"/>
        </w:trPr>
        <w:tc>
          <w:tcPr>
            <w:tcW w:w="1691" w:type="dxa"/>
            <w:tcBorders>
              <w:left w:val="single" w:color="auto" w:sz="12" w:space="0"/>
            </w:tcBorders>
            <w:shd w:val="clear" w:color="auto" w:fill="auto"/>
            <w:vAlign w:val="center"/>
          </w:tcPr>
          <w:p w14:paraId="1EA3350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76364055">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系级专业课程 必修课</w:t>
            </w:r>
          </w:p>
        </w:tc>
        <w:tc>
          <w:tcPr>
            <w:tcW w:w="2126" w:type="dxa"/>
            <w:gridSpan w:val="2"/>
            <w:vAlign w:val="center"/>
          </w:tcPr>
          <w:p w14:paraId="1A4EE13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5F22907C">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 全X</w:t>
            </w:r>
          </w:p>
        </w:tc>
      </w:tr>
      <w:tr w14:paraId="0AA066C4">
        <w:trPr>
          <w:trHeight w:val="340" w:hRule="atLeast"/>
        </w:trPr>
        <w:tc>
          <w:tcPr>
            <w:tcW w:w="1691" w:type="dxa"/>
            <w:tcBorders>
              <w:left w:val="single" w:color="auto" w:sz="12" w:space="0"/>
            </w:tcBorders>
            <w:shd w:val="clear" w:color="auto" w:fill="auto"/>
            <w:vAlign w:val="center"/>
          </w:tcPr>
          <w:p w14:paraId="4721737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6957BAC7">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《新编国际商务日语口译</w:t>
            </w:r>
            <w:r>
              <w:rPr>
                <w:rFonts w:ascii="Times New Roman" w:hAnsi="Times New Roman"/>
                <w:color w:val="000000" w:themeColor="text1"/>
                <w:sz w:val="21"/>
                <w:szCs w:val="21"/>
                <w14:textFill>
                  <w14:solidFill>
                    <w14:schemeClr w14:val="tx1"/>
                  </w14:solidFill>
                </w14:textFill>
              </w:rPr>
              <w:t>(</w:t>
            </w:r>
            <w:r>
              <w:rPr>
                <w:rFonts w:hint="eastAsia" w:ascii="Times New Roman" w:hAnsi="Times New Roman"/>
                <w:color w:val="000000" w:themeColor="text1"/>
                <w:sz w:val="21"/>
                <w:szCs w:val="21"/>
                <w14:textFill>
                  <w14:solidFill>
                    <w14:schemeClr w14:val="tx1"/>
                  </w14:solidFill>
                </w14:textFill>
              </w:rPr>
              <w:t>日译汉</w:t>
            </w:r>
            <w:r>
              <w:rPr>
                <w:rFonts w:ascii="Times New Roman" w:hAnsi="Times New Roman"/>
                <w:color w:val="000000" w:themeColor="text1"/>
                <w:sz w:val="21"/>
                <w:szCs w:val="21"/>
                <w14:textFill>
                  <w14:solidFill>
                    <w14:schemeClr w14:val="tx1"/>
                  </w14:solidFill>
                </w14:textFill>
              </w:rPr>
              <w:t>)</w:t>
            </w:r>
            <w:r>
              <w:rPr>
                <w:rFonts w:hint="eastAsia" w:ascii="Times New Roman" w:hAnsi="Times New Roman"/>
                <w:color w:val="000000" w:themeColor="text1"/>
                <w:sz w:val="21"/>
                <w:szCs w:val="21"/>
                <w14:textFill>
                  <w14:solidFill>
                    <w14:schemeClr w14:val="tx1"/>
                  </w14:solidFill>
                </w14:textFill>
              </w:rPr>
              <w:t>》，王凯 陈继海，南开大学出版社，</w:t>
            </w:r>
            <w:r>
              <w:rPr>
                <w:rFonts w:ascii="Times New Roman" w:hAnsi="Times New Roman"/>
                <w:color w:val="000000" w:themeColor="text1"/>
                <w:sz w:val="21"/>
                <w:szCs w:val="21"/>
                <w14:textFill>
                  <w14:solidFill>
                    <w14:schemeClr w14:val="tx1"/>
                  </w14:solidFill>
                </w14:textFill>
              </w:rPr>
              <w:t>2015</w:t>
            </w:r>
            <w:r>
              <w:rPr>
                <w:rFonts w:hint="eastAsia" w:ascii="Times New Roman" w:hAnsi="Times New Roman"/>
                <w:color w:val="000000" w:themeColor="text1"/>
                <w:sz w:val="21"/>
                <w:szCs w:val="21"/>
                <w14:textFill>
                  <w14:solidFill>
                    <w14:schemeClr w14:val="tx1"/>
                  </w14:solidFill>
                </w14:textFill>
              </w:rPr>
              <w:t>年</w:t>
            </w:r>
            <w:r>
              <w:rPr>
                <w:rFonts w:ascii="Times New Roman" w:hAnsi="Times New Roman"/>
                <w:color w:val="000000" w:themeColor="text1"/>
                <w:sz w:val="21"/>
                <w:szCs w:val="21"/>
                <w14:textFill>
                  <w14:solidFill>
                    <w14:schemeClr w14:val="tx1"/>
                  </w14:solidFill>
                </w14:textFill>
              </w:rPr>
              <w:t>9</w:t>
            </w:r>
            <w:r>
              <w:rPr>
                <w:rFonts w:hint="eastAsia" w:ascii="Times New Roman" w:hAnsi="Times New Roman"/>
                <w:color w:val="000000" w:themeColor="text1"/>
                <w:sz w:val="21"/>
                <w:szCs w:val="21"/>
                <w14:textFill>
                  <w14:solidFill>
                    <w14:schemeClr w14:val="tx1"/>
                  </w14:solidFill>
                </w14:textFill>
              </w:rPr>
              <w:t>月</w:t>
            </w:r>
            <w:r>
              <w:rPr>
                <w:rFonts w:ascii="Times New Roman" w:hAnsi="Times New Roman"/>
                <w:color w:val="000000" w:themeColor="text1"/>
                <w:sz w:val="21"/>
                <w:szCs w:val="21"/>
                <w14:textFill>
                  <w14:solidFill>
                    <w14:schemeClr w14:val="tx1"/>
                  </w14:solidFill>
                </w14:textFill>
              </w:rPr>
              <w:t xml:space="preserve"> </w:t>
            </w:r>
          </w:p>
        </w:tc>
        <w:tc>
          <w:tcPr>
            <w:tcW w:w="1413" w:type="dxa"/>
            <w:gridSpan w:val="2"/>
            <w:vAlign w:val="center"/>
          </w:tcPr>
          <w:p w14:paraId="65A54B9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1152D8B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3251E3E4">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45B2D55E">
        <w:trPr>
          <w:trHeight w:val="680" w:hRule="atLeast"/>
        </w:trPr>
        <w:tc>
          <w:tcPr>
            <w:tcW w:w="1691" w:type="dxa"/>
            <w:tcBorders>
              <w:left w:val="single" w:color="auto" w:sz="12" w:space="0"/>
            </w:tcBorders>
            <w:shd w:val="clear" w:color="auto" w:fill="auto"/>
            <w:vAlign w:val="center"/>
          </w:tcPr>
          <w:p w14:paraId="469324E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15FA7DA5">
            <w:pPr>
              <w:pStyle w:val="16"/>
              <w:widowControl w:val="0"/>
              <w:jc w:val="both"/>
            </w:pPr>
            <w:r>
              <w:rPr>
                <w:rFonts w:hint="eastAsia"/>
              </w:rPr>
              <w:t>《笔译理论与实践》</w:t>
            </w:r>
          </w:p>
        </w:tc>
      </w:tr>
      <w:tr w14:paraId="7A33A0EC">
        <w:trPr>
          <w:trHeight w:val="3912" w:hRule="atLeast"/>
        </w:trPr>
        <w:tc>
          <w:tcPr>
            <w:tcW w:w="1691" w:type="dxa"/>
            <w:tcBorders>
              <w:left w:val="single" w:color="auto" w:sz="12" w:space="0"/>
            </w:tcBorders>
            <w:shd w:val="clear" w:color="auto" w:fill="auto"/>
            <w:vAlign w:val="center"/>
          </w:tcPr>
          <w:p w14:paraId="78B05A5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1EDB449C">
            <w:pPr>
              <w:pStyle w:val="16"/>
              <w:widowControl w:val="0"/>
              <w:ind w:firstLine="420" w:firstLineChars="200"/>
              <w:jc w:val="both"/>
              <w:rPr>
                <w:rFonts w:asciiTheme="minorEastAsia" w:hAnsiTheme="minorEastAsia" w:eastAsiaTheme="minorEastAsia"/>
              </w:rPr>
            </w:pPr>
            <w:r>
              <w:rPr>
                <w:rFonts w:hint="eastAsia" w:ascii="Calibri" w:hAnsi="Calibri"/>
              </w:rPr>
              <w:t>口译理论与实践</w:t>
            </w:r>
            <w:r>
              <w:rPr>
                <w:rFonts w:hint="eastAsia" w:asciiTheme="minorEastAsia" w:hAnsiTheme="minorEastAsia" w:eastAsiaTheme="minorEastAsia"/>
              </w:rPr>
              <w:t>建立在前三年基础日语课程的基础上，鼓励学生丰富各领域专业术语的中日文表述，引导学生主动了解各领域的基本常识，培养由日语转换到中文的翻译能力。因此，本课程内容多为难度较高、专业性较强的文章和发言稿。</w:t>
            </w:r>
            <w:r>
              <w:rPr>
                <w:rFonts w:hint="eastAsia"/>
              </w:rPr>
              <w:t xml:space="preserve">内容长度大多在五分钟左右，词汇难度高于日语能力等级考试 </w:t>
            </w:r>
            <w:r>
              <w:t xml:space="preserve">N2 </w:t>
            </w:r>
            <w:r>
              <w:rPr>
                <w:rFonts w:hint="eastAsia"/>
              </w:rPr>
              <w:t>级水平，但题材多为学生熟悉的题材。</w:t>
            </w:r>
            <w:r>
              <w:rPr>
                <w:rFonts w:hint="eastAsia" w:asciiTheme="minorEastAsia" w:hAnsiTheme="minorEastAsia" w:eastAsiaTheme="minorEastAsia"/>
              </w:rPr>
              <w:t>每课都设有一个比较实用、在翻译工作时常涉及的中心话题，并融入了日本经济贸易和社会文化，既有实战性，又兼具趣味性。</w:t>
            </w:r>
          </w:p>
          <w:p w14:paraId="20871B6B">
            <w:pPr>
              <w:pStyle w:val="16"/>
              <w:widowControl w:val="0"/>
              <w:ind w:firstLine="420" w:firstLineChars="200"/>
              <w:jc w:val="both"/>
              <w:rPr>
                <w:rFonts w:asciiTheme="minorEastAsia" w:hAnsiTheme="minorEastAsia" w:eastAsiaTheme="minorEastAsia"/>
              </w:rPr>
            </w:pPr>
            <w:r>
              <w:rPr>
                <w:rFonts w:hint="eastAsia" w:asciiTheme="minorEastAsia" w:hAnsiTheme="minorEastAsia" w:eastAsiaTheme="minorEastAsia"/>
              </w:rPr>
              <w:t>本课程通过对各个场面中发言、短文的听解，侧重日文转换中文的口译练习，提高学生对不同场面的日语发言特点的理解；通过翻译的练习，让学生对已经掌握的日语基础知识进行复习，并同时提高学生的中文表达能力以及随机应变能力。通过本课程的学习，要求学生对日语一些固有短句、固有词汇能进行中文翻译；能理解与分析日语中的“模糊、模棱两可的表达方式”；能根据上下文、语气等，理解及分析说话人隐藏的信息、意图、情感等。</w:t>
            </w:r>
          </w:p>
        </w:tc>
      </w:tr>
      <w:tr w14:paraId="3A47767A">
        <w:trPr>
          <w:trHeight w:val="709" w:hRule="atLeast"/>
        </w:trPr>
        <w:tc>
          <w:tcPr>
            <w:tcW w:w="1691" w:type="dxa"/>
            <w:tcBorders>
              <w:left w:val="single" w:color="auto" w:sz="12" w:space="0"/>
              <w:bottom w:val="double" w:color="auto" w:sz="4" w:space="0"/>
            </w:tcBorders>
            <w:shd w:val="clear" w:color="auto" w:fill="auto"/>
            <w:vAlign w:val="center"/>
          </w:tcPr>
          <w:p w14:paraId="29B181C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19CBCB6B">
            <w:pPr>
              <w:pStyle w:val="16"/>
              <w:widowControl w:val="0"/>
              <w:jc w:val="both"/>
            </w:pPr>
            <w:r>
              <w:rPr>
                <w:rFonts w:hint="eastAsia"/>
              </w:rPr>
              <w:t xml:space="preserve">本课程在本科日语专业第四学年第一学期开设。在基础日语课程的基础上，培养学生由日语转换到中文的翻译能力，为日后就业打下坚实基础。 </w:t>
            </w:r>
          </w:p>
        </w:tc>
      </w:tr>
      <w:tr w14:paraId="5DA5857B">
        <w:trPr>
          <w:trHeight w:val="510" w:hRule="atLeast"/>
        </w:trPr>
        <w:tc>
          <w:tcPr>
            <w:tcW w:w="1691" w:type="dxa"/>
            <w:tcBorders>
              <w:top w:val="double" w:color="auto" w:sz="4" w:space="0"/>
              <w:left w:val="single" w:color="auto" w:sz="12" w:space="0"/>
            </w:tcBorders>
            <w:shd w:val="clear" w:color="auto" w:fill="auto"/>
            <w:vAlign w:val="center"/>
          </w:tcPr>
          <w:p w14:paraId="6298FF6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228B37DD">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0" distR="0">
                  <wp:extent cx="979170" cy="358775"/>
                  <wp:effectExtent l="0" t="0" r="0" b="0"/>
                  <wp:docPr id="1011806455" name="图片 3" descr="图片包含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806455" name="图片 3" descr="图片包含 图示&#10;&#10;描述已自动生成"/>
                          <pic:cNvPicPr>
                            <a:picLocks noChangeAspect="1"/>
                          </pic:cNvPicPr>
                        </pic:nvPicPr>
                        <pic:blipFill>
                          <a:blip r:embed="rId5" cstate="print">
                            <a:extLst>
                              <a:ext uri="{28A0092B-C50C-407E-A947-70E740481C1C}">
                                <a14:useLocalDpi xmlns:a14="http://schemas.microsoft.com/office/drawing/2010/main" val="0"/>
                              </a:ext>
                            </a:extLst>
                          </a:blip>
                          <a:srcRect l="7449" t="19618" r="12408" b="17775"/>
                          <a:stretch>
                            <a:fillRect/>
                          </a:stretch>
                        </pic:blipFill>
                        <pic:spPr>
                          <a:xfrm>
                            <a:off x="0" y="0"/>
                            <a:ext cx="1144327" cy="419097"/>
                          </a:xfrm>
                          <a:prstGeom prst="rect">
                            <a:avLst/>
                          </a:prstGeom>
                          <a:ln>
                            <a:noFill/>
                          </a:ln>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51EACF2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381A2260">
            <w:pPr>
              <w:widowControl w:val="0"/>
              <w:jc w:val="center"/>
              <w:rPr>
                <w:rFonts w:ascii="Times New Roman" w:hAnsi="Times New Roman"/>
                <w:color w:val="000000"/>
                <w:sz w:val="21"/>
                <w:szCs w:val="21"/>
              </w:rPr>
            </w:pPr>
            <w:r>
              <w:rPr>
                <w:rFonts w:hint="eastAsia" w:ascii="Times New Roman" w:hAnsi="Times New Roman"/>
                <w:color w:val="000000"/>
                <w:sz w:val="21"/>
                <w:szCs w:val="21"/>
              </w:rPr>
              <w:t>2024年9月</w:t>
            </w:r>
          </w:p>
        </w:tc>
      </w:tr>
      <w:tr w14:paraId="05D8C3F2">
        <w:trPr>
          <w:trHeight w:val="510" w:hRule="atLeast"/>
        </w:trPr>
        <w:tc>
          <w:tcPr>
            <w:tcW w:w="1691" w:type="dxa"/>
            <w:tcBorders>
              <w:left w:val="single" w:color="auto" w:sz="12" w:space="0"/>
            </w:tcBorders>
            <w:shd w:val="clear" w:color="auto" w:fill="auto"/>
            <w:vAlign w:val="center"/>
          </w:tcPr>
          <w:p w14:paraId="31FE99E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0F62DAB5">
            <w:pPr>
              <w:widowControl w:val="0"/>
              <w:jc w:val="right"/>
              <w:rPr>
                <w:rFonts w:ascii="黑体" w:hAnsi="黑体" w:eastAsia="黑体"/>
                <w:color w:val="000000" w:themeColor="text1"/>
                <w:sz w:val="21"/>
                <w:szCs w:val="21"/>
                <w14:textFill>
                  <w14:solidFill>
                    <w14:schemeClr w14:val="tx1"/>
                  </w14:solidFill>
                </w14:textFill>
              </w:rPr>
            </w:pPr>
            <w:r>
              <w:drawing>
                <wp:inline distT="0" distB="0" distL="0" distR="0">
                  <wp:extent cx="482600" cy="348615"/>
                  <wp:effectExtent l="0" t="0" r="0" b="6985"/>
                  <wp:docPr id="2" name="图片 2" descr="de6864682111cdbb9b8be5557acb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e6864682111cdbb9b8be5557acbb38"/>
                          <pic:cNvPicPr>
                            <a:picLocks noChangeAspect="1" noChangeArrowheads="1"/>
                          </pic:cNvPicPr>
                        </pic:nvPicPr>
                        <pic:blipFill>
                          <a:blip r:embed="rId6" cstate="print">
                            <a:extLst>
                              <a:ext uri="{28A0092B-C50C-407E-A947-70E740481C1C}">
                                <a14:useLocalDpi xmlns:a14="http://schemas.microsoft.com/office/drawing/2010/main" val="0"/>
                              </a:ext>
                            </a:extLst>
                          </a:blip>
                          <a:srcRect l="18773" t="20906" r="13768" b="8952"/>
                          <a:stretch>
                            <a:fillRect/>
                          </a:stretch>
                        </pic:blipFill>
                        <pic:spPr>
                          <a:xfrm>
                            <a:off x="0" y="0"/>
                            <a:ext cx="483650" cy="349588"/>
                          </a:xfrm>
                          <a:prstGeom prst="rect">
                            <a:avLst/>
                          </a:prstGeom>
                          <a:noFill/>
                          <a:ln>
                            <a:noFill/>
                          </a:ln>
                        </pic:spPr>
                      </pic:pic>
                    </a:graphicData>
                  </a:graphic>
                </wp:inline>
              </w:drawing>
            </w:r>
            <w:r>
              <w:rPr>
                <w:rFonts w:hint="eastAsia"/>
                <w:sz w:val="21"/>
                <w:szCs w:val="21"/>
              </w:rPr>
              <w:t>（签名）</w:t>
            </w:r>
          </w:p>
        </w:tc>
        <w:tc>
          <w:tcPr>
            <w:tcW w:w="1425" w:type="dxa"/>
            <w:gridSpan w:val="2"/>
            <w:vAlign w:val="center"/>
          </w:tcPr>
          <w:p w14:paraId="5E6D168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1A067C3C">
            <w:pPr>
              <w:widowControl w:val="0"/>
              <w:jc w:val="center"/>
              <w:rPr>
                <w:rFonts w:ascii="Times New Roman" w:hAnsi="Times New Roman"/>
                <w:color w:val="000000"/>
                <w:sz w:val="21"/>
                <w:szCs w:val="21"/>
              </w:rPr>
            </w:pPr>
            <w:r>
              <w:rPr>
                <w:rFonts w:hint="eastAsia" w:ascii="Times New Roman" w:hAnsi="Times New Roman"/>
                <w:color w:val="000000"/>
                <w:sz w:val="21"/>
                <w:szCs w:val="21"/>
              </w:rPr>
              <w:t>2024年9月</w:t>
            </w:r>
          </w:p>
        </w:tc>
      </w:tr>
      <w:tr w14:paraId="0923D97C">
        <w:trPr>
          <w:trHeight w:val="510" w:hRule="atLeast"/>
        </w:trPr>
        <w:tc>
          <w:tcPr>
            <w:tcW w:w="1691" w:type="dxa"/>
            <w:tcBorders>
              <w:left w:val="single" w:color="auto" w:sz="12" w:space="0"/>
              <w:bottom w:val="single" w:color="auto" w:sz="12" w:space="0"/>
            </w:tcBorders>
            <w:shd w:val="clear" w:color="auto" w:fill="auto"/>
            <w:vAlign w:val="center"/>
          </w:tcPr>
          <w:p w14:paraId="67E1CC9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5C72A71A">
            <w:pPr>
              <w:widowControl w:val="0"/>
              <w:jc w:val="right"/>
              <w:rPr>
                <w:rFonts w:ascii="黑体" w:hAnsi="黑体" w:eastAsia="黑体"/>
                <w:color w:val="000000" w:themeColor="text1"/>
                <w:sz w:val="21"/>
                <w:szCs w:val="21"/>
                <w14:textFill>
                  <w14:solidFill>
                    <w14:schemeClr w14:val="tx1"/>
                  </w14:solidFill>
                </w14:textFill>
              </w:rPr>
            </w:pPr>
            <w:r>
              <w:rPr>
                <w:rFonts w:ascii="宋体" w:hAnsi="宋体" w:cs="宋体"/>
                <w:kern w:val="0"/>
                <w:sz w:val="20"/>
                <w:szCs w:val="21"/>
              </w:rPr>
              <w:drawing>
                <wp:anchor distT="0" distB="0" distL="114300" distR="114300" simplePos="0" relativeHeight="251660288" behindDoc="0" locked="0" layoutInCell="1" allowOverlap="1">
                  <wp:simplePos x="0" y="0"/>
                  <wp:positionH relativeFrom="column">
                    <wp:posOffset>763905</wp:posOffset>
                  </wp:positionH>
                  <wp:positionV relativeFrom="paragraph">
                    <wp:posOffset>-22225</wp:posOffset>
                  </wp:positionV>
                  <wp:extent cx="793115" cy="480695"/>
                  <wp:effectExtent l="0" t="0" r="0" b="1905"/>
                  <wp:wrapNone/>
                  <wp:docPr id="1570903144" name="图片 1570903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903144" name="图片 15709031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93115" cy="480695"/>
                          </a:xfrm>
                          <a:prstGeom prst="rect">
                            <a:avLst/>
                          </a:prstGeom>
                          <a:noFill/>
                        </pic:spPr>
                      </pic:pic>
                    </a:graphicData>
                  </a:graphic>
                </wp:anchor>
              </w:drawing>
            </w:r>
            <w:r>
              <w:rPr>
                <w:rFonts w:hint="eastAsia"/>
                <w:sz w:val="21"/>
                <w:szCs w:val="21"/>
              </w:rPr>
              <w:t>（签名）</w:t>
            </w:r>
          </w:p>
        </w:tc>
        <w:tc>
          <w:tcPr>
            <w:tcW w:w="1425" w:type="dxa"/>
            <w:gridSpan w:val="2"/>
            <w:tcBorders>
              <w:bottom w:val="single" w:color="auto" w:sz="12" w:space="0"/>
            </w:tcBorders>
            <w:vAlign w:val="center"/>
          </w:tcPr>
          <w:p w14:paraId="3581800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4418DEB0">
            <w:pPr>
              <w:widowControl w:val="0"/>
              <w:jc w:val="center"/>
              <w:rPr>
                <w:rFonts w:ascii="Times New Roman" w:hAnsi="Times New Roman"/>
                <w:color w:val="000000"/>
                <w:sz w:val="21"/>
                <w:szCs w:val="21"/>
              </w:rPr>
            </w:pPr>
            <w:r>
              <w:rPr>
                <w:rFonts w:hint="eastAsia" w:ascii="Times New Roman" w:hAnsi="Times New Roman"/>
                <w:color w:val="000000"/>
                <w:sz w:val="21"/>
                <w:szCs w:val="21"/>
              </w:rPr>
              <w:t>2024年9月</w:t>
            </w:r>
          </w:p>
        </w:tc>
      </w:tr>
    </w:tbl>
    <w:p w14:paraId="3F5B31D4">
      <w:pPr>
        <w:spacing w:line="100" w:lineRule="exact"/>
        <w:rPr>
          <w:rFonts w:ascii="Arial" w:hAnsi="Arial" w:eastAsia="黑体"/>
        </w:rPr>
      </w:pPr>
      <w:r>
        <w:br w:type="page"/>
      </w:r>
    </w:p>
    <w:p w14:paraId="28936C4E">
      <w:pPr>
        <w:pStyle w:val="18"/>
        <w:spacing w:before="326" w:beforeLines="100" w:line="360" w:lineRule="auto"/>
        <w:rPr>
          <w:rFonts w:ascii="黑体" w:hAnsi="宋体"/>
        </w:rPr>
      </w:pPr>
      <w:r>
        <w:rPr>
          <w:rFonts w:hint="eastAsia" w:ascii="黑体" w:hAnsi="宋体"/>
        </w:rPr>
        <w:t>二、课程目标与毕业要求</w:t>
      </w:r>
    </w:p>
    <w:p w14:paraId="3AAEC175">
      <w:pPr>
        <w:pStyle w:val="19"/>
        <w:spacing w:before="163" w:after="163"/>
      </w:pPr>
      <w:r>
        <w:rPr>
          <w:rFonts w:hint="eastAsia"/>
        </w:rPr>
        <w:t xml:space="preserve">（一）课程目标 </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14:paraId="4D4B3430">
        <w:trPr>
          <w:trHeight w:val="454" w:hRule="atLeast"/>
          <w:jc w:val="center"/>
        </w:trPr>
        <w:tc>
          <w:tcPr>
            <w:tcW w:w="1206" w:type="dxa"/>
            <w:vAlign w:val="center"/>
          </w:tcPr>
          <w:p w14:paraId="5D40662A">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0A9C5019">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29B985B5">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26F3D18A">
        <w:trPr>
          <w:trHeight w:val="340" w:hRule="atLeast"/>
          <w:jc w:val="center"/>
        </w:trPr>
        <w:tc>
          <w:tcPr>
            <w:tcW w:w="1206" w:type="dxa"/>
            <w:vMerge w:val="restart"/>
            <w:vAlign w:val="center"/>
          </w:tcPr>
          <w:p w14:paraId="591E018F">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6F2EA8E8">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6C12C3F0">
            <w:pPr>
              <w:pStyle w:val="16"/>
              <w:jc w:val="left"/>
              <w:rPr>
                <w:rFonts w:ascii="宋体" w:hAnsi="宋体"/>
                <w:bCs/>
              </w:rPr>
            </w:pPr>
            <w:r>
              <w:rPr>
                <w:rFonts w:hint="eastAsia" w:ascii="Calibri" w:hAnsi="Calibri"/>
                <w:sz w:val="20"/>
                <w:szCs w:val="20"/>
              </w:rPr>
              <w:t>结合教材，掌握各领域专业术语的中日文表述。</w:t>
            </w:r>
          </w:p>
        </w:tc>
      </w:tr>
      <w:tr w14:paraId="7D99B01C">
        <w:trPr>
          <w:trHeight w:val="340" w:hRule="atLeast"/>
          <w:jc w:val="center"/>
        </w:trPr>
        <w:tc>
          <w:tcPr>
            <w:tcW w:w="1206" w:type="dxa"/>
            <w:vMerge w:val="continue"/>
            <w:vAlign w:val="center"/>
          </w:tcPr>
          <w:p w14:paraId="72BA5EA4">
            <w:pPr>
              <w:pStyle w:val="16"/>
              <w:rPr>
                <w:bCs/>
              </w:rPr>
            </w:pPr>
          </w:p>
        </w:tc>
        <w:tc>
          <w:tcPr>
            <w:tcW w:w="764" w:type="dxa"/>
            <w:shd w:val="clear" w:color="auto" w:fill="auto"/>
            <w:vAlign w:val="center"/>
          </w:tcPr>
          <w:p w14:paraId="72CDACAA">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5765F5F6">
            <w:pPr>
              <w:pStyle w:val="16"/>
              <w:jc w:val="left"/>
              <w:rPr>
                <w:rFonts w:ascii="宋体" w:hAnsi="宋体"/>
                <w:bCs/>
              </w:rPr>
            </w:pPr>
            <w:r>
              <w:rPr>
                <w:rFonts w:hint="eastAsia" w:ascii="Calibri" w:hAnsi="Calibri"/>
                <w:sz w:val="20"/>
                <w:szCs w:val="20"/>
              </w:rPr>
              <w:t>理解教材相关的日本经济、社会、文化等各领域的基本知识，培养跨文化交流的能力。</w:t>
            </w:r>
          </w:p>
        </w:tc>
      </w:tr>
      <w:tr w14:paraId="2DC2FCE6">
        <w:trPr>
          <w:trHeight w:val="340" w:hRule="atLeast"/>
          <w:jc w:val="center"/>
        </w:trPr>
        <w:tc>
          <w:tcPr>
            <w:tcW w:w="1206" w:type="dxa"/>
            <w:vMerge w:val="restart"/>
            <w:vAlign w:val="center"/>
          </w:tcPr>
          <w:p w14:paraId="0C0628E5">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635BA372">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4D9A267A">
            <w:pPr>
              <w:pStyle w:val="16"/>
              <w:jc w:val="left"/>
              <w:rPr>
                <w:rFonts w:ascii="宋体" w:hAnsi="宋体"/>
                <w:bCs/>
              </w:rPr>
            </w:pPr>
            <w:r>
              <w:rPr>
                <w:rFonts w:hint="eastAsia" w:ascii="Calibri" w:hAnsi="Calibri"/>
                <w:sz w:val="20"/>
                <w:szCs w:val="20"/>
              </w:rPr>
              <w:t>培养由日语转换到中文的翻译能力，对日语一些固有短句、固有词汇能进行中文翻译。</w:t>
            </w:r>
          </w:p>
        </w:tc>
      </w:tr>
      <w:tr w14:paraId="4389E3E6">
        <w:trPr>
          <w:trHeight w:val="340" w:hRule="atLeast"/>
          <w:jc w:val="center"/>
        </w:trPr>
        <w:tc>
          <w:tcPr>
            <w:tcW w:w="1206" w:type="dxa"/>
            <w:vMerge w:val="continue"/>
            <w:vAlign w:val="center"/>
          </w:tcPr>
          <w:p w14:paraId="2C6CD095">
            <w:pPr>
              <w:pStyle w:val="16"/>
              <w:rPr>
                <w:rFonts w:ascii="宋体" w:hAnsi="宋体"/>
              </w:rPr>
            </w:pPr>
          </w:p>
        </w:tc>
        <w:tc>
          <w:tcPr>
            <w:tcW w:w="764" w:type="dxa"/>
            <w:shd w:val="clear" w:color="auto" w:fill="auto"/>
            <w:vAlign w:val="center"/>
          </w:tcPr>
          <w:p w14:paraId="658AB37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151436E0">
            <w:pPr>
              <w:pStyle w:val="16"/>
              <w:jc w:val="left"/>
              <w:rPr>
                <w:rFonts w:ascii="宋体" w:hAnsi="宋体"/>
                <w:bCs/>
              </w:rPr>
            </w:pPr>
            <w:r>
              <w:rPr>
                <w:rFonts w:hint="eastAsia" w:ascii="Calibri" w:hAnsi="Calibri"/>
                <w:sz w:val="20"/>
                <w:szCs w:val="20"/>
              </w:rPr>
              <w:t>通过翻译的练习，对已经掌握的日语基础知识进行复习，并同时提高中文表达能力以及随机应变能力。</w:t>
            </w:r>
          </w:p>
        </w:tc>
      </w:tr>
      <w:tr w14:paraId="265EB984">
        <w:trPr>
          <w:trHeight w:val="340" w:hRule="atLeast"/>
          <w:jc w:val="center"/>
        </w:trPr>
        <w:tc>
          <w:tcPr>
            <w:tcW w:w="1206" w:type="dxa"/>
            <w:vMerge w:val="restart"/>
            <w:vAlign w:val="center"/>
          </w:tcPr>
          <w:p w14:paraId="1BF8D50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34126682">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40F35CB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5337FFD7">
            <w:pPr>
              <w:pStyle w:val="16"/>
              <w:jc w:val="left"/>
              <w:rPr>
                <w:rFonts w:ascii="宋体" w:hAnsi="宋体"/>
                <w:bCs/>
              </w:rPr>
            </w:pPr>
            <w:r>
              <w:rPr>
                <w:rFonts w:hint="eastAsia" w:ascii="Calibri" w:hAnsi="Calibri"/>
                <w:sz w:val="20"/>
                <w:szCs w:val="20"/>
              </w:rPr>
              <w:t>爱岗敬业，热爱所学专业，勤学多练，锤炼技能。熟悉本专业相关的法律法规，在实习实践中自觉遵守职业规范，具备职业道德操守。</w:t>
            </w:r>
          </w:p>
        </w:tc>
      </w:tr>
      <w:tr w14:paraId="6A06B7C6">
        <w:trPr>
          <w:trHeight w:val="340" w:hRule="atLeast"/>
          <w:jc w:val="center"/>
        </w:trPr>
        <w:tc>
          <w:tcPr>
            <w:tcW w:w="1206" w:type="dxa"/>
            <w:vMerge w:val="continue"/>
            <w:vAlign w:val="center"/>
          </w:tcPr>
          <w:p w14:paraId="1AFFD1B3">
            <w:pPr>
              <w:pStyle w:val="16"/>
              <w:rPr>
                <w:rFonts w:ascii="宋体" w:hAnsi="宋体"/>
              </w:rPr>
            </w:pPr>
          </w:p>
        </w:tc>
        <w:tc>
          <w:tcPr>
            <w:tcW w:w="764" w:type="dxa"/>
            <w:shd w:val="clear" w:color="auto" w:fill="auto"/>
            <w:vAlign w:val="center"/>
          </w:tcPr>
          <w:p w14:paraId="631C843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5808F0B2">
            <w:pPr>
              <w:pStyle w:val="16"/>
              <w:jc w:val="left"/>
              <w:rPr>
                <w:rFonts w:ascii="宋体" w:hAnsi="宋体"/>
                <w:bCs/>
              </w:rPr>
            </w:pPr>
            <w:r>
              <w:rPr>
                <w:rFonts w:hint="eastAsia" w:ascii="宋体" w:hAnsi="宋体"/>
                <w:bCs/>
                <w:sz w:val="20"/>
                <w:szCs w:val="20"/>
              </w:rPr>
              <w:t>能够倾听说话人说话内容，并</w:t>
            </w:r>
            <w:r>
              <w:rPr>
                <w:rFonts w:hint="eastAsia" w:ascii="Calibri" w:hAnsi="Calibri"/>
                <w:sz w:val="20"/>
                <w:szCs w:val="20"/>
              </w:rPr>
              <w:t>根据上下文理解及分析说话人隐藏的信息、意图、情感等的基本技能。</w:t>
            </w:r>
          </w:p>
        </w:tc>
      </w:tr>
    </w:tbl>
    <w:p w14:paraId="1EC52257">
      <w:pPr>
        <w:pStyle w:val="19"/>
        <w:spacing w:before="163" w:after="163"/>
      </w:pPr>
      <w:r>
        <w:rPr>
          <w:rFonts w:hint="eastAsia"/>
        </w:rPr>
        <w:t>（二）课程支撑的毕业要求</w:t>
      </w:r>
    </w:p>
    <w:tbl>
      <w:tblPr>
        <w:tblStyle w:val="9"/>
        <w:tblW w:w="496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92"/>
        <w:gridCol w:w="7130"/>
      </w:tblGrid>
      <w:tr w14:paraId="44B8C6D1">
        <w:trPr>
          <w:trHeight w:val="680" w:hRule="atLeast"/>
          <w:jc w:val="center"/>
        </w:trPr>
        <w:tc>
          <w:tcPr>
            <w:tcW w:w="1261" w:type="dxa"/>
            <w:vAlign w:val="center"/>
          </w:tcPr>
          <w:p w14:paraId="5F24FCFA">
            <w:pPr>
              <w:jc w:val="center"/>
              <w:rPr>
                <w:rFonts w:ascii="黑体" w:hAnsi="黑体" w:eastAsia="黑体"/>
                <w:bCs/>
                <w:color w:val="000000"/>
                <w:sz w:val="21"/>
                <w:szCs w:val="21"/>
              </w:rPr>
            </w:pPr>
            <w:r>
              <w:rPr>
                <w:rFonts w:hint="eastAsia" w:ascii="黑体" w:hAnsi="黑体" w:eastAsia="黑体"/>
                <w:bCs/>
                <w:color w:val="000000"/>
                <w:sz w:val="21"/>
                <w:szCs w:val="21"/>
              </w:rPr>
              <w:t>毕业要求序号</w:t>
            </w:r>
          </w:p>
        </w:tc>
        <w:tc>
          <w:tcPr>
            <w:tcW w:w="6962" w:type="dxa"/>
            <w:shd w:val="clear" w:color="auto" w:fill="auto"/>
            <w:vAlign w:val="center"/>
          </w:tcPr>
          <w:p w14:paraId="2909FEC1">
            <w:pPr>
              <w:jc w:val="center"/>
              <w:rPr>
                <w:rFonts w:ascii="黑体" w:hAnsi="黑体" w:eastAsia="黑体"/>
                <w:bCs/>
                <w:color w:val="000000"/>
                <w:sz w:val="21"/>
                <w:szCs w:val="21"/>
              </w:rPr>
            </w:pPr>
            <w:r>
              <w:rPr>
                <w:rFonts w:hint="eastAsia" w:ascii="黑体" w:hAnsi="黑体" w:eastAsia="黑体"/>
                <w:bCs/>
                <w:color w:val="000000"/>
                <w:sz w:val="21"/>
                <w:szCs w:val="21"/>
              </w:rPr>
              <w:t>毕业要求/指标点</w:t>
            </w:r>
          </w:p>
        </w:tc>
      </w:tr>
      <w:tr w14:paraId="42C72AC5">
        <w:trPr>
          <w:trHeight w:val="340" w:hRule="atLeast"/>
          <w:jc w:val="center"/>
        </w:trPr>
        <w:tc>
          <w:tcPr>
            <w:tcW w:w="1261" w:type="dxa"/>
            <w:vAlign w:val="center"/>
          </w:tcPr>
          <w:p w14:paraId="7FB01F28">
            <w:pPr>
              <w:jc w:val="center"/>
              <w:rPr>
                <w:rFonts w:ascii="Times New Roman" w:hAnsi="Times New Roman" w:cs="Times New Roman"/>
                <w:color w:val="000000"/>
                <w:sz w:val="21"/>
                <w:szCs w:val="21"/>
              </w:rPr>
            </w:pPr>
            <w:r>
              <w:rPr>
                <w:rFonts w:ascii="Times New Roman" w:hAnsi="Times New Roman" w:cs="Times New Roman"/>
                <w:color w:val="000000"/>
                <w:sz w:val="21"/>
                <w:szCs w:val="21"/>
              </w:rPr>
              <w:t>LO15</w:t>
            </w:r>
          </w:p>
        </w:tc>
        <w:tc>
          <w:tcPr>
            <w:tcW w:w="6962" w:type="dxa"/>
            <w:shd w:val="clear" w:color="auto" w:fill="auto"/>
            <w:vAlign w:val="center"/>
          </w:tcPr>
          <w:p w14:paraId="22A83C91">
            <w:pPr>
              <w:rPr>
                <w:bCs/>
                <w:color w:val="000000"/>
                <w:sz w:val="21"/>
                <w:szCs w:val="21"/>
              </w:rPr>
            </w:pPr>
            <w:r>
              <w:rPr>
                <w:bCs/>
                <w:color w:val="000000"/>
                <w:sz w:val="21"/>
                <w:szCs w:val="21"/>
              </w:rPr>
              <w:t>爱岗敬业，热爱所学专业，勤学多练，锤炼技能。熟悉本专业相关的法律法规，在实习实践中自觉遵守职业规范，具备职业道德操守。</w:t>
            </w:r>
          </w:p>
        </w:tc>
      </w:tr>
      <w:tr w14:paraId="1E8AEEC3">
        <w:trPr>
          <w:trHeight w:val="340" w:hRule="atLeast"/>
          <w:jc w:val="center"/>
        </w:trPr>
        <w:tc>
          <w:tcPr>
            <w:tcW w:w="1261" w:type="dxa"/>
            <w:vAlign w:val="center"/>
          </w:tcPr>
          <w:p w14:paraId="6DC09A0F">
            <w:pPr>
              <w:jc w:val="center"/>
              <w:rPr>
                <w:rFonts w:ascii="Times New Roman" w:hAnsi="Times New Roman" w:cs="Times New Roman"/>
                <w:bCs/>
                <w:color w:val="000000"/>
                <w:sz w:val="21"/>
                <w:szCs w:val="21"/>
              </w:rPr>
            </w:pPr>
            <w:r>
              <w:rPr>
                <w:rFonts w:ascii="Times New Roman" w:hAnsi="Times New Roman" w:cs="Times New Roman"/>
                <w:color w:val="000000"/>
                <w:sz w:val="21"/>
                <w:szCs w:val="21"/>
              </w:rPr>
              <w:t>LO2</w:t>
            </w:r>
            <w:r>
              <w:rPr>
                <w:rFonts w:hint="eastAsia" w:ascii="Times New Roman" w:hAnsi="Times New Roman" w:cs="Times New Roman"/>
                <w:color w:val="000000"/>
                <w:sz w:val="21"/>
                <w:szCs w:val="21"/>
              </w:rPr>
              <w:t>2</w:t>
            </w:r>
          </w:p>
        </w:tc>
        <w:tc>
          <w:tcPr>
            <w:tcW w:w="6962" w:type="dxa"/>
            <w:shd w:val="clear" w:color="auto" w:fill="auto"/>
            <w:vAlign w:val="center"/>
          </w:tcPr>
          <w:p w14:paraId="10E33121">
            <w:pPr>
              <w:rPr>
                <w:color w:val="000000"/>
                <w:sz w:val="21"/>
                <w:szCs w:val="21"/>
              </w:rPr>
            </w:pPr>
            <w:r>
              <w:rPr>
                <w:rFonts w:hint="eastAsia"/>
                <w:bCs/>
                <w:sz w:val="21"/>
                <w:szCs w:val="21"/>
              </w:rPr>
              <w:t>掌握日语语言基础知识，具有扎实的语言基本功和听、说、译等语言应用能力</w:t>
            </w:r>
            <w:r>
              <w:rPr>
                <w:rFonts w:hint="eastAsia"/>
                <w:bCs/>
                <w:color w:val="000000"/>
                <w:sz w:val="21"/>
                <w:szCs w:val="21"/>
              </w:rPr>
              <w:t>。</w:t>
            </w:r>
          </w:p>
        </w:tc>
      </w:tr>
      <w:tr w14:paraId="7324F0E0">
        <w:trPr>
          <w:trHeight w:val="340" w:hRule="atLeast"/>
          <w:jc w:val="center"/>
        </w:trPr>
        <w:tc>
          <w:tcPr>
            <w:tcW w:w="1261" w:type="dxa"/>
            <w:vAlign w:val="center"/>
          </w:tcPr>
          <w:p w14:paraId="52F67A97">
            <w:pPr>
              <w:jc w:val="center"/>
              <w:rPr>
                <w:rFonts w:ascii="Times New Roman" w:hAnsi="Times New Roman" w:cs="Times New Roman"/>
                <w:bCs/>
                <w:color w:val="000000"/>
                <w:sz w:val="21"/>
                <w:szCs w:val="21"/>
              </w:rPr>
            </w:pPr>
            <w:r>
              <w:rPr>
                <w:rFonts w:ascii="Times New Roman" w:hAnsi="Times New Roman" w:cs="Times New Roman"/>
                <w:color w:val="000000"/>
                <w:sz w:val="21"/>
                <w:szCs w:val="21"/>
              </w:rPr>
              <w:t>LO31</w:t>
            </w:r>
          </w:p>
        </w:tc>
        <w:tc>
          <w:tcPr>
            <w:tcW w:w="6962" w:type="dxa"/>
            <w:shd w:val="clear" w:color="auto" w:fill="auto"/>
            <w:vAlign w:val="center"/>
          </w:tcPr>
          <w:p w14:paraId="54C9E532">
            <w:pPr>
              <w:rPr>
                <w:color w:val="000000"/>
                <w:sz w:val="21"/>
                <w:szCs w:val="21"/>
              </w:rPr>
            </w:pPr>
            <w:r>
              <w:rPr>
                <w:bCs/>
                <w:color w:val="000000"/>
                <w:sz w:val="21"/>
                <w:szCs w:val="21"/>
              </w:rPr>
              <w:t>倾听他人意见、尊重他人观点、分析他人需求。</w:t>
            </w:r>
          </w:p>
        </w:tc>
      </w:tr>
      <w:tr w14:paraId="401D61E6">
        <w:trPr>
          <w:trHeight w:val="340" w:hRule="atLeast"/>
          <w:jc w:val="center"/>
        </w:trPr>
        <w:tc>
          <w:tcPr>
            <w:tcW w:w="1261" w:type="dxa"/>
            <w:vAlign w:val="center"/>
          </w:tcPr>
          <w:p w14:paraId="6B39BD61">
            <w:pPr>
              <w:jc w:val="center"/>
              <w:rPr>
                <w:rFonts w:ascii="Times New Roman" w:hAnsi="Times New Roman" w:cs="Times New Roman"/>
                <w:color w:val="000000"/>
                <w:sz w:val="21"/>
                <w:szCs w:val="21"/>
              </w:rPr>
            </w:pPr>
            <w:r>
              <w:rPr>
                <w:rFonts w:ascii="Times New Roman" w:hAnsi="Times New Roman" w:cs="Times New Roman"/>
                <w:color w:val="000000"/>
                <w:sz w:val="21"/>
                <w:szCs w:val="21"/>
              </w:rPr>
              <w:t>LO</w:t>
            </w:r>
            <w:r>
              <w:rPr>
                <w:rFonts w:hint="eastAsia" w:ascii="Times New Roman" w:hAnsi="Times New Roman" w:cs="Times New Roman"/>
                <w:color w:val="000000"/>
                <w:sz w:val="21"/>
                <w:szCs w:val="21"/>
              </w:rPr>
              <w:t>3</w:t>
            </w:r>
            <w:r>
              <w:rPr>
                <w:rFonts w:ascii="Times New Roman" w:hAnsi="Times New Roman" w:cs="Times New Roman"/>
                <w:color w:val="000000"/>
                <w:sz w:val="21"/>
                <w:szCs w:val="21"/>
              </w:rPr>
              <w:t>2</w:t>
            </w:r>
          </w:p>
        </w:tc>
        <w:tc>
          <w:tcPr>
            <w:tcW w:w="6962" w:type="dxa"/>
            <w:shd w:val="clear" w:color="auto" w:fill="auto"/>
            <w:vAlign w:val="center"/>
          </w:tcPr>
          <w:p w14:paraId="212323C2">
            <w:pPr>
              <w:rPr>
                <w:color w:val="000000"/>
                <w:sz w:val="21"/>
                <w:szCs w:val="21"/>
              </w:rPr>
            </w:pPr>
            <w:r>
              <w:rPr>
                <w:bCs/>
                <w:sz w:val="21"/>
                <w:szCs w:val="21"/>
              </w:rPr>
              <w:t>应用书面或口头形式，阐释自己的观点，有效沟通</w:t>
            </w:r>
            <w:r>
              <w:rPr>
                <w:bCs/>
                <w:color w:val="000000"/>
                <w:sz w:val="21"/>
                <w:szCs w:val="21"/>
              </w:rPr>
              <w:t>。</w:t>
            </w:r>
          </w:p>
        </w:tc>
      </w:tr>
      <w:tr w14:paraId="4E76E9EA">
        <w:trPr>
          <w:trHeight w:val="340" w:hRule="atLeast"/>
          <w:jc w:val="center"/>
        </w:trPr>
        <w:tc>
          <w:tcPr>
            <w:tcW w:w="1261" w:type="dxa"/>
            <w:vAlign w:val="center"/>
          </w:tcPr>
          <w:p w14:paraId="424181F5">
            <w:pPr>
              <w:jc w:val="center"/>
              <w:rPr>
                <w:rFonts w:ascii="Times New Roman" w:hAnsi="Times New Roman" w:cs="Times New Roman"/>
                <w:color w:val="000000"/>
                <w:sz w:val="21"/>
                <w:szCs w:val="21"/>
              </w:rPr>
            </w:pPr>
            <w:r>
              <w:rPr>
                <w:rFonts w:ascii="Times New Roman" w:hAnsi="Times New Roman" w:cs="Times New Roman"/>
                <w:color w:val="000000"/>
                <w:sz w:val="21"/>
                <w:szCs w:val="21"/>
              </w:rPr>
              <w:t>LO8</w:t>
            </w:r>
            <w:r>
              <w:rPr>
                <w:rFonts w:hint="eastAsia" w:ascii="Times New Roman" w:hAnsi="Times New Roman" w:cs="Times New Roman"/>
                <w:color w:val="000000"/>
                <w:sz w:val="21"/>
                <w:szCs w:val="21"/>
              </w:rPr>
              <w:t>3</w:t>
            </w:r>
          </w:p>
        </w:tc>
        <w:tc>
          <w:tcPr>
            <w:tcW w:w="6962" w:type="dxa"/>
            <w:shd w:val="clear" w:color="auto" w:fill="auto"/>
            <w:vAlign w:val="center"/>
          </w:tcPr>
          <w:p w14:paraId="66235FD4">
            <w:pPr>
              <w:rPr>
                <w:color w:val="000000"/>
                <w:sz w:val="21"/>
                <w:szCs w:val="21"/>
              </w:rPr>
            </w:pPr>
            <w:r>
              <w:rPr>
                <w:bCs/>
                <w:sz w:val="21"/>
                <w:szCs w:val="21"/>
              </w:rPr>
              <w:t>有国际竞争与合作意识</w:t>
            </w:r>
            <w:r>
              <w:rPr>
                <w:rFonts w:hint="eastAsia"/>
                <w:color w:val="000000"/>
                <w:sz w:val="21"/>
                <w:szCs w:val="21"/>
              </w:rPr>
              <w:t>。</w:t>
            </w:r>
          </w:p>
        </w:tc>
      </w:tr>
    </w:tbl>
    <w:p w14:paraId="0D9A7AC9">
      <w:pPr>
        <w:pStyle w:val="19"/>
        <w:spacing w:before="163" w:after="163"/>
      </w:pPr>
      <w:r>
        <w:rPr>
          <w:rFonts w:hint="eastAsia"/>
        </w:rPr>
        <w:t xml:space="preserve">（三）毕业要求与课程目标的关系 </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24ACBD5D">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7A653B0C">
            <w:pPr>
              <w:pStyle w:val="15"/>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189726E2">
            <w:pPr>
              <w:pStyle w:val="15"/>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79BB78C0">
            <w:pPr>
              <w:pStyle w:val="15"/>
              <w:rPr>
                <w:szCs w:val="16"/>
              </w:rPr>
            </w:pPr>
            <w:r>
              <w:rPr>
                <w:rFonts w:hint="eastAsia"/>
                <w:szCs w:val="16"/>
              </w:rPr>
              <w:t>支撑度</w:t>
            </w:r>
          </w:p>
        </w:tc>
        <w:tc>
          <w:tcPr>
            <w:tcW w:w="4651" w:type="dxa"/>
            <w:tcBorders>
              <w:top w:val="single" w:color="auto" w:sz="12" w:space="0"/>
            </w:tcBorders>
            <w:vAlign w:val="center"/>
          </w:tcPr>
          <w:p w14:paraId="64771178">
            <w:pPr>
              <w:pStyle w:val="15"/>
              <w:rPr>
                <w:szCs w:val="16"/>
              </w:rPr>
            </w:pPr>
            <w:r>
              <w:rPr>
                <w:rFonts w:hint="eastAsia"/>
                <w:szCs w:val="16"/>
              </w:rPr>
              <w:t>课程目标</w:t>
            </w:r>
          </w:p>
          <w:p w14:paraId="281456FC">
            <w:pPr>
              <w:pStyle w:val="15"/>
              <w:rPr>
                <w:szCs w:val="16"/>
              </w:rPr>
            </w:pPr>
            <w:r>
              <w:rPr>
                <w:rFonts w:hint="eastAsia"/>
                <w:szCs w:val="16"/>
              </w:rPr>
              <w:t>（细化的预期学习成果）</w:t>
            </w:r>
          </w:p>
        </w:tc>
        <w:tc>
          <w:tcPr>
            <w:tcW w:w="1316" w:type="dxa"/>
            <w:tcBorders>
              <w:top w:val="single" w:color="auto" w:sz="12" w:space="0"/>
              <w:right w:val="single" w:color="auto" w:sz="12" w:space="0"/>
            </w:tcBorders>
            <w:vAlign w:val="center"/>
          </w:tcPr>
          <w:p w14:paraId="2F59D77E">
            <w:pPr>
              <w:pStyle w:val="15"/>
              <w:rPr>
                <w:szCs w:val="16"/>
              </w:rPr>
            </w:pPr>
            <w:r>
              <w:rPr>
                <w:rFonts w:hint="eastAsia"/>
                <w:szCs w:val="16"/>
              </w:rPr>
              <w:t>对指标点的贡献度</w:t>
            </w:r>
          </w:p>
        </w:tc>
      </w:tr>
      <w:tr w14:paraId="44595944">
        <w:trPr>
          <w:trHeight w:val="804" w:hRule="atLeast"/>
          <w:jc w:val="center"/>
        </w:trPr>
        <w:tc>
          <w:tcPr>
            <w:tcW w:w="759" w:type="dxa"/>
            <w:tcBorders>
              <w:left w:val="single" w:color="auto" w:sz="12" w:space="0"/>
              <w:right w:val="single" w:color="auto" w:sz="4" w:space="0"/>
            </w:tcBorders>
            <w:shd w:val="clear" w:color="auto" w:fill="auto"/>
            <w:vAlign w:val="center"/>
          </w:tcPr>
          <w:p w14:paraId="11E9624B">
            <w:pPr>
              <w:pStyle w:val="16"/>
            </w:pPr>
            <w:r>
              <w:rPr>
                <w:rFonts w:cs="Times New Roman"/>
              </w:rPr>
              <w:t>LO15</w:t>
            </w:r>
          </w:p>
        </w:tc>
        <w:tc>
          <w:tcPr>
            <w:tcW w:w="775" w:type="dxa"/>
            <w:tcBorders>
              <w:left w:val="single" w:color="auto" w:sz="4" w:space="0"/>
            </w:tcBorders>
            <w:vAlign w:val="center"/>
          </w:tcPr>
          <w:p w14:paraId="416C91FD">
            <w:pPr>
              <w:pStyle w:val="16"/>
              <w:rPr>
                <w:rFonts w:cs="Times New Roman"/>
                <w:bCs/>
              </w:rPr>
            </w:pPr>
            <w:r>
              <w:rPr>
                <w:rFonts w:cs="Times New Roman"/>
              </w:rPr>
              <w:t>LO15</w:t>
            </w:r>
          </w:p>
        </w:tc>
        <w:tc>
          <w:tcPr>
            <w:tcW w:w="775" w:type="dxa"/>
            <w:tcBorders>
              <w:right w:val="double" w:color="auto" w:sz="4" w:space="0"/>
            </w:tcBorders>
            <w:shd w:val="clear" w:color="auto" w:fill="auto"/>
            <w:vAlign w:val="center"/>
          </w:tcPr>
          <w:p w14:paraId="7D298055">
            <w:pPr>
              <w:pStyle w:val="16"/>
              <w:rPr>
                <w:rFonts w:cs="Times New Roman"/>
              </w:rPr>
            </w:pPr>
            <w:r>
              <w:rPr>
                <w:rFonts w:hint="eastAsia" w:cs="Times New Roman"/>
              </w:rPr>
              <w:t>H</w:t>
            </w:r>
          </w:p>
        </w:tc>
        <w:tc>
          <w:tcPr>
            <w:tcW w:w="4651" w:type="dxa"/>
            <w:vAlign w:val="center"/>
          </w:tcPr>
          <w:p w14:paraId="3C2D2C86">
            <w:pPr>
              <w:pStyle w:val="16"/>
              <w:rPr>
                <w:rFonts w:ascii="宋体" w:hAnsi="宋体"/>
                <w:bCs/>
              </w:rPr>
            </w:pPr>
            <w:r>
              <w:rPr>
                <w:rFonts w:hint="eastAsia" w:ascii="Calibri" w:hAnsi="Calibri"/>
                <w:sz w:val="20"/>
                <w:szCs w:val="20"/>
              </w:rPr>
              <w:t>爱岗敬业，热爱所学专业，勤学多练，锤炼技能。熟悉本专业相关的法律法规，在实习实践中自觉遵守职业规范，具备职业道德操守。</w:t>
            </w:r>
          </w:p>
        </w:tc>
        <w:tc>
          <w:tcPr>
            <w:tcW w:w="1316" w:type="dxa"/>
            <w:tcBorders>
              <w:right w:val="single" w:color="auto" w:sz="12" w:space="0"/>
            </w:tcBorders>
            <w:vAlign w:val="center"/>
          </w:tcPr>
          <w:p w14:paraId="2C11DD08">
            <w:pPr>
              <w:pStyle w:val="16"/>
              <w:rPr>
                <w:rFonts w:ascii="宋体" w:hAnsi="宋体"/>
                <w:bCs/>
              </w:rPr>
            </w:pPr>
            <w:r>
              <w:rPr>
                <w:rFonts w:hint="eastAsia" w:cs="Times New Roman"/>
              </w:rPr>
              <w:t>H</w:t>
            </w:r>
          </w:p>
        </w:tc>
      </w:tr>
      <w:tr w14:paraId="25037E1C">
        <w:trPr>
          <w:trHeight w:val="217" w:hRule="atLeast"/>
          <w:jc w:val="center"/>
        </w:trPr>
        <w:tc>
          <w:tcPr>
            <w:tcW w:w="759" w:type="dxa"/>
            <w:tcBorders>
              <w:left w:val="single" w:color="auto" w:sz="12" w:space="0"/>
              <w:right w:val="single" w:color="auto" w:sz="4" w:space="0"/>
            </w:tcBorders>
            <w:shd w:val="clear" w:color="auto" w:fill="auto"/>
            <w:vAlign w:val="center"/>
          </w:tcPr>
          <w:p w14:paraId="451AE676">
            <w:pPr>
              <w:pStyle w:val="16"/>
            </w:pPr>
            <w:r>
              <w:rPr>
                <w:rFonts w:cs="Times New Roman"/>
              </w:rPr>
              <w:t>LO2</w:t>
            </w:r>
            <w:r>
              <w:rPr>
                <w:rFonts w:hint="eastAsia" w:cs="Times New Roman"/>
              </w:rPr>
              <w:t>2</w:t>
            </w:r>
          </w:p>
        </w:tc>
        <w:tc>
          <w:tcPr>
            <w:tcW w:w="775" w:type="dxa"/>
            <w:tcBorders>
              <w:left w:val="single" w:color="auto" w:sz="4" w:space="0"/>
            </w:tcBorders>
            <w:vAlign w:val="center"/>
          </w:tcPr>
          <w:p w14:paraId="34080A0B">
            <w:pPr>
              <w:pStyle w:val="16"/>
              <w:rPr>
                <w:rFonts w:cs="Times New Roman"/>
                <w:bCs/>
              </w:rPr>
            </w:pPr>
            <w:r>
              <w:rPr>
                <w:rFonts w:cs="Times New Roman"/>
              </w:rPr>
              <w:t>LO2</w:t>
            </w:r>
            <w:r>
              <w:rPr>
                <w:rFonts w:hint="eastAsia" w:cs="Times New Roman"/>
              </w:rPr>
              <w:t>2</w:t>
            </w:r>
          </w:p>
        </w:tc>
        <w:tc>
          <w:tcPr>
            <w:tcW w:w="775" w:type="dxa"/>
            <w:tcBorders>
              <w:right w:val="double" w:color="auto" w:sz="4" w:space="0"/>
            </w:tcBorders>
            <w:shd w:val="clear" w:color="auto" w:fill="auto"/>
            <w:vAlign w:val="center"/>
          </w:tcPr>
          <w:p w14:paraId="33762548">
            <w:pPr>
              <w:pStyle w:val="16"/>
              <w:rPr>
                <w:rFonts w:cs="Times New Roman"/>
              </w:rPr>
            </w:pPr>
            <w:r>
              <w:rPr>
                <w:rFonts w:cs="Times New Roman"/>
              </w:rPr>
              <w:t>H</w:t>
            </w:r>
          </w:p>
        </w:tc>
        <w:tc>
          <w:tcPr>
            <w:tcW w:w="4651" w:type="dxa"/>
            <w:vAlign w:val="center"/>
          </w:tcPr>
          <w:p w14:paraId="56811A77">
            <w:pPr>
              <w:pStyle w:val="16"/>
              <w:rPr>
                <w:rFonts w:ascii="宋体" w:hAnsi="宋体"/>
              </w:rPr>
            </w:pPr>
            <w:r>
              <w:rPr>
                <w:rFonts w:hint="eastAsia" w:ascii="Calibri" w:hAnsi="Calibri"/>
                <w:sz w:val="20"/>
                <w:szCs w:val="20"/>
              </w:rPr>
              <w:t>结合教材，丰富各领域专业术语的中日文表述，了解各领域的基本常识，培养由日语转换到中文的翻译能力。</w:t>
            </w:r>
          </w:p>
        </w:tc>
        <w:tc>
          <w:tcPr>
            <w:tcW w:w="1316" w:type="dxa"/>
            <w:tcBorders>
              <w:right w:val="single" w:color="auto" w:sz="12" w:space="0"/>
            </w:tcBorders>
            <w:vAlign w:val="center"/>
          </w:tcPr>
          <w:p w14:paraId="31E122DE">
            <w:pPr>
              <w:pStyle w:val="16"/>
              <w:rPr>
                <w:rFonts w:ascii="宋体" w:hAnsi="宋体"/>
                <w:bCs/>
              </w:rPr>
            </w:pPr>
            <w:r>
              <w:rPr>
                <w:rFonts w:cs="Times New Roman"/>
              </w:rPr>
              <w:t>H</w:t>
            </w:r>
          </w:p>
        </w:tc>
      </w:tr>
      <w:tr w14:paraId="60E6D977">
        <w:trPr>
          <w:trHeight w:val="340" w:hRule="atLeast"/>
          <w:jc w:val="center"/>
        </w:trPr>
        <w:tc>
          <w:tcPr>
            <w:tcW w:w="759" w:type="dxa"/>
            <w:tcBorders>
              <w:left w:val="single" w:color="auto" w:sz="12" w:space="0"/>
              <w:right w:val="single" w:color="auto" w:sz="4" w:space="0"/>
            </w:tcBorders>
            <w:shd w:val="clear" w:color="auto" w:fill="auto"/>
            <w:vAlign w:val="center"/>
          </w:tcPr>
          <w:p w14:paraId="15FAB095">
            <w:pPr>
              <w:pStyle w:val="16"/>
            </w:pPr>
            <w:r>
              <w:t>LO31</w:t>
            </w:r>
          </w:p>
        </w:tc>
        <w:tc>
          <w:tcPr>
            <w:tcW w:w="775" w:type="dxa"/>
            <w:tcBorders>
              <w:left w:val="single" w:color="auto" w:sz="4" w:space="0"/>
            </w:tcBorders>
            <w:vAlign w:val="center"/>
          </w:tcPr>
          <w:p w14:paraId="4D54F97A">
            <w:pPr>
              <w:pStyle w:val="16"/>
              <w:rPr>
                <w:rFonts w:cs="Times New Roman"/>
                <w:bCs/>
              </w:rPr>
            </w:pPr>
            <w:r>
              <w:t>LO31</w:t>
            </w:r>
          </w:p>
        </w:tc>
        <w:tc>
          <w:tcPr>
            <w:tcW w:w="775" w:type="dxa"/>
            <w:tcBorders>
              <w:right w:val="double" w:color="auto" w:sz="4" w:space="0"/>
            </w:tcBorders>
            <w:shd w:val="clear" w:color="auto" w:fill="auto"/>
            <w:vAlign w:val="center"/>
          </w:tcPr>
          <w:p w14:paraId="4FF3A3BF">
            <w:pPr>
              <w:pStyle w:val="16"/>
              <w:rPr>
                <w:rFonts w:cs="Times New Roman"/>
              </w:rPr>
            </w:pPr>
            <w:r>
              <w:rPr>
                <w:rFonts w:cs="Times New Roman"/>
              </w:rPr>
              <w:t>H</w:t>
            </w:r>
          </w:p>
        </w:tc>
        <w:tc>
          <w:tcPr>
            <w:tcW w:w="4651" w:type="dxa"/>
            <w:vAlign w:val="center"/>
          </w:tcPr>
          <w:p w14:paraId="50DDBBD7">
            <w:pPr>
              <w:pStyle w:val="16"/>
              <w:rPr>
                <w:rFonts w:ascii="宋体" w:hAnsi="宋体"/>
                <w:bCs/>
              </w:rPr>
            </w:pPr>
            <w:r>
              <w:rPr>
                <w:rFonts w:hint="eastAsia" w:ascii="宋体" w:hAnsi="宋体"/>
                <w:bCs/>
                <w:sz w:val="20"/>
                <w:szCs w:val="20"/>
              </w:rPr>
              <w:t>能够倾听说话人说话内容，并</w:t>
            </w:r>
            <w:r>
              <w:rPr>
                <w:rFonts w:hint="eastAsia" w:ascii="Calibri" w:hAnsi="Calibri"/>
                <w:sz w:val="20"/>
                <w:szCs w:val="20"/>
              </w:rPr>
              <w:t>根据上下文理解及分析说话人隐藏的信息、意图、情感等的基本技能。</w:t>
            </w:r>
          </w:p>
        </w:tc>
        <w:tc>
          <w:tcPr>
            <w:tcW w:w="1316" w:type="dxa"/>
            <w:tcBorders>
              <w:right w:val="single" w:color="auto" w:sz="12" w:space="0"/>
            </w:tcBorders>
            <w:vAlign w:val="center"/>
          </w:tcPr>
          <w:p w14:paraId="657BFEB2">
            <w:pPr>
              <w:pStyle w:val="16"/>
              <w:rPr>
                <w:rFonts w:ascii="宋体" w:hAnsi="宋体"/>
                <w:bCs/>
              </w:rPr>
            </w:pPr>
            <w:r>
              <w:rPr>
                <w:rFonts w:cs="Times New Roman"/>
              </w:rPr>
              <w:t>H</w:t>
            </w:r>
          </w:p>
        </w:tc>
      </w:tr>
      <w:tr w14:paraId="5D638E16">
        <w:trPr>
          <w:trHeight w:val="340" w:hRule="atLeast"/>
          <w:jc w:val="center"/>
        </w:trPr>
        <w:tc>
          <w:tcPr>
            <w:tcW w:w="759" w:type="dxa"/>
            <w:tcBorders>
              <w:left w:val="single" w:color="auto" w:sz="12" w:space="0"/>
              <w:right w:val="single" w:color="auto" w:sz="4" w:space="0"/>
            </w:tcBorders>
            <w:shd w:val="clear" w:color="auto" w:fill="auto"/>
            <w:vAlign w:val="center"/>
          </w:tcPr>
          <w:p w14:paraId="6E1411A6">
            <w:pPr>
              <w:pStyle w:val="16"/>
            </w:pPr>
            <w:r>
              <w:t>LO</w:t>
            </w:r>
            <w:r>
              <w:rPr>
                <w:rFonts w:hint="eastAsia"/>
              </w:rPr>
              <w:t>3</w:t>
            </w:r>
            <w:r>
              <w:t>2</w:t>
            </w:r>
          </w:p>
        </w:tc>
        <w:tc>
          <w:tcPr>
            <w:tcW w:w="775" w:type="dxa"/>
            <w:tcBorders>
              <w:left w:val="single" w:color="auto" w:sz="4" w:space="0"/>
            </w:tcBorders>
            <w:vAlign w:val="center"/>
          </w:tcPr>
          <w:p w14:paraId="12F6069E">
            <w:pPr>
              <w:pStyle w:val="16"/>
              <w:rPr>
                <w:rFonts w:cs="Times New Roman"/>
                <w:bCs/>
              </w:rPr>
            </w:pPr>
            <w:r>
              <w:t>LO</w:t>
            </w:r>
            <w:r>
              <w:rPr>
                <w:rFonts w:hint="eastAsia"/>
              </w:rPr>
              <w:t>3</w:t>
            </w:r>
            <w:r>
              <w:t>2</w:t>
            </w:r>
          </w:p>
        </w:tc>
        <w:tc>
          <w:tcPr>
            <w:tcW w:w="775" w:type="dxa"/>
            <w:tcBorders>
              <w:right w:val="double" w:color="auto" w:sz="4" w:space="0"/>
            </w:tcBorders>
            <w:shd w:val="clear" w:color="auto" w:fill="auto"/>
            <w:vAlign w:val="center"/>
          </w:tcPr>
          <w:p w14:paraId="036891E0">
            <w:pPr>
              <w:pStyle w:val="16"/>
              <w:rPr>
                <w:rFonts w:cs="Times New Roman"/>
              </w:rPr>
            </w:pPr>
            <w:r>
              <w:rPr>
                <w:rFonts w:cs="Times New Roman"/>
              </w:rPr>
              <w:t>M</w:t>
            </w:r>
          </w:p>
        </w:tc>
        <w:tc>
          <w:tcPr>
            <w:tcW w:w="4651" w:type="dxa"/>
            <w:vAlign w:val="center"/>
          </w:tcPr>
          <w:p w14:paraId="5DB0F3DF">
            <w:pPr>
              <w:pStyle w:val="16"/>
              <w:rPr>
                <w:rFonts w:ascii="宋体" w:hAnsi="宋体"/>
              </w:rPr>
            </w:pPr>
            <w:r>
              <w:rPr>
                <w:rFonts w:hint="eastAsia" w:ascii="Calibri" w:hAnsi="Calibri"/>
                <w:sz w:val="20"/>
                <w:szCs w:val="20"/>
              </w:rPr>
              <w:t>通过翻译的练习，对已经掌握的日语基础知识进行复习，并同时提高中文表达能力以及随机应变能力。</w:t>
            </w:r>
          </w:p>
        </w:tc>
        <w:tc>
          <w:tcPr>
            <w:tcW w:w="1316" w:type="dxa"/>
            <w:tcBorders>
              <w:right w:val="single" w:color="auto" w:sz="12" w:space="0"/>
            </w:tcBorders>
            <w:vAlign w:val="center"/>
          </w:tcPr>
          <w:p w14:paraId="6888A660">
            <w:pPr>
              <w:pStyle w:val="16"/>
              <w:rPr>
                <w:rFonts w:ascii="宋体" w:hAnsi="宋体"/>
                <w:bCs/>
              </w:rPr>
            </w:pPr>
            <w:r>
              <w:rPr>
                <w:rFonts w:cs="Times New Roman"/>
              </w:rPr>
              <w:t>M</w:t>
            </w:r>
          </w:p>
        </w:tc>
      </w:tr>
      <w:tr w14:paraId="0F171F5E">
        <w:trPr>
          <w:trHeight w:val="340" w:hRule="atLeast"/>
          <w:jc w:val="center"/>
        </w:trPr>
        <w:tc>
          <w:tcPr>
            <w:tcW w:w="759" w:type="dxa"/>
            <w:tcBorders>
              <w:left w:val="single" w:color="auto" w:sz="12" w:space="0"/>
              <w:bottom w:val="single" w:color="auto" w:sz="12" w:space="0"/>
              <w:right w:val="single" w:color="auto" w:sz="4" w:space="0"/>
            </w:tcBorders>
            <w:shd w:val="clear" w:color="auto" w:fill="auto"/>
            <w:vAlign w:val="center"/>
          </w:tcPr>
          <w:p w14:paraId="1876953B">
            <w:pPr>
              <w:pStyle w:val="16"/>
            </w:pPr>
            <w:r>
              <w:t>LO8</w:t>
            </w:r>
            <w:r>
              <w:rPr>
                <w:rFonts w:hint="eastAsia"/>
              </w:rPr>
              <w:t>3</w:t>
            </w:r>
          </w:p>
        </w:tc>
        <w:tc>
          <w:tcPr>
            <w:tcW w:w="775" w:type="dxa"/>
            <w:tcBorders>
              <w:left w:val="single" w:color="auto" w:sz="4" w:space="0"/>
              <w:bottom w:val="single" w:color="auto" w:sz="12" w:space="0"/>
            </w:tcBorders>
            <w:vAlign w:val="center"/>
          </w:tcPr>
          <w:p w14:paraId="1847CA42">
            <w:pPr>
              <w:pStyle w:val="16"/>
              <w:rPr>
                <w:rFonts w:cs="Times New Roman"/>
                <w:bCs/>
              </w:rPr>
            </w:pPr>
            <w:r>
              <w:t>LO8</w:t>
            </w:r>
            <w:r>
              <w:rPr>
                <w:rFonts w:hint="eastAsia"/>
              </w:rPr>
              <w:t>3</w:t>
            </w:r>
          </w:p>
        </w:tc>
        <w:tc>
          <w:tcPr>
            <w:tcW w:w="775" w:type="dxa"/>
            <w:tcBorders>
              <w:bottom w:val="single" w:color="auto" w:sz="12" w:space="0"/>
              <w:right w:val="double" w:color="auto" w:sz="4" w:space="0"/>
            </w:tcBorders>
            <w:shd w:val="clear" w:color="auto" w:fill="auto"/>
            <w:vAlign w:val="center"/>
          </w:tcPr>
          <w:p w14:paraId="152706F1">
            <w:pPr>
              <w:pStyle w:val="16"/>
              <w:rPr>
                <w:rFonts w:cs="Times New Roman"/>
              </w:rPr>
            </w:pPr>
            <w:r>
              <w:rPr>
                <w:rFonts w:cs="Times New Roman"/>
              </w:rPr>
              <w:t>M</w:t>
            </w:r>
          </w:p>
        </w:tc>
        <w:tc>
          <w:tcPr>
            <w:tcW w:w="4651" w:type="dxa"/>
            <w:tcBorders>
              <w:bottom w:val="single" w:color="auto" w:sz="12" w:space="0"/>
            </w:tcBorders>
            <w:vAlign w:val="center"/>
          </w:tcPr>
          <w:p w14:paraId="15421189">
            <w:pPr>
              <w:pStyle w:val="16"/>
              <w:rPr>
                <w:rFonts w:ascii="宋体" w:hAnsi="宋体"/>
                <w:bCs/>
              </w:rPr>
            </w:pPr>
            <w:r>
              <w:rPr>
                <w:rFonts w:hint="eastAsia" w:ascii="Calibri" w:hAnsi="Calibri"/>
                <w:sz w:val="20"/>
                <w:szCs w:val="20"/>
              </w:rPr>
              <w:t>理解日本社会历史文化，培养跨文化交流的能力。</w:t>
            </w:r>
          </w:p>
        </w:tc>
        <w:tc>
          <w:tcPr>
            <w:tcW w:w="1316" w:type="dxa"/>
            <w:tcBorders>
              <w:bottom w:val="single" w:color="auto" w:sz="12" w:space="0"/>
              <w:right w:val="single" w:color="auto" w:sz="12" w:space="0"/>
            </w:tcBorders>
            <w:vAlign w:val="center"/>
          </w:tcPr>
          <w:p w14:paraId="22A78146">
            <w:pPr>
              <w:pStyle w:val="16"/>
              <w:rPr>
                <w:rFonts w:ascii="宋体" w:hAnsi="宋体"/>
                <w:bCs/>
              </w:rPr>
            </w:pPr>
            <w:r>
              <w:rPr>
                <w:rFonts w:cs="Times New Roman"/>
              </w:rPr>
              <w:t>M</w:t>
            </w:r>
          </w:p>
        </w:tc>
      </w:tr>
    </w:tbl>
    <w:p w14:paraId="13318C2A">
      <w:pPr>
        <w:pStyle w:val="15"/>
      </w:pPr>
    </w:p>
    <w:p w14:paraId="6EDAEA3E">
      <w:pPr>
        <w:pStyle w:val="18"/>
        <w:spacing w:before="326" w:beforeLines="100" w:line="360" w:lineRule="auto"/>
        <w:rPr>
          <w:rFonts w:ascii="黑体" w:hAnsi="宋体"/>
        </w:rPr>
      </w:pPr>
      <w:bookmarkStart w:id="0" w:name="OLE_LINK2"/>
      <w:bookmarkStart w:id="1" w:name="OLE_LINK1"/>
      <w:r>
        <w:rPr>
          <w:rFonts w:hint="eastAsia" w:ascii="黑体" w:hAnsi="宋体"/>
        </w:rPr>
        <w:t>三、实验</w:t>
      </w:r>
      <w:r>
        <w:rPr>
          <w:rFonts w:hint="eastAsia"/>
          <w:color w:val="000000"/>
          <w:szCs w:val="28"/>
        </w:rPr>
        <w:t>内容与要求</w:t>
      </w:r>
    </w:p>
    <w:p w14:paraId="5F593532">
      <w:pPr>
        <w:pStyle w:val="19"/>
        <w:spacing w:before="163" w:after="163"/>
      </w:pPr>
      <w:r>
        <w:rPr>
          <w:rFonts w:hint="eastAsia"/>
        </w:rPr>
        <w:t>（一）各实验项目的基本信息</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3597"/>
        <w:gridCol w:w="1303"/>
        <w:gridCol w:w="870"/>
        <w:gridCol w:w="868"/>
        <w:gridCol w:w="805"/>
      </w:tblGrid>
      <w:tr w14:paraId="50FF5BF2">
        <w:trPr>
          <w:trHeight w:val="149" w:hRule="atLeast"/>
          <w:jc w:val="center"/>
        </w:trPr>
        <w:tc>
          <w:tcPr>
            <w:tcW w:w="1009" w:type="dxa"/>
            <w:vMerge w:val="restart"/>
            <w:tcBorders>
              <w:top w:val="single" w:color="auto" w:sz="12" w:space="0"/>
              <w:bottom w:val="single" w:color="auto" w:sz="4" w:space="0"/>
            </w:tcBorders>
            <w:shd w:val="clear" w:color="auto" w:fill="auto"/>
            <w:vAlign w:val="center"/>
          </w:tcPr>
          <w:p w14:paraId="7C5AB5EC">
            <w:pPr>
              <w:pStyle w:val="15"/>
              <w:rPr>
                <w:szCs w:val="16"/>
              </w:rPr>
            </w:pPr>
            <w:r>
              <w:rPr>
                <w:rFonts w:hint="eastAsia"/>
                <w:szCs w:val="16"/>
              </w:rPr>
              <w:t>序号</w:t>
            </w:r>
          </w:p>
        </w:tc>
        <w:tc>
          <w:tcPr>
            <w:tcW w:w="3512" w:type="dxa"/>
            <w:vMerge w:val="restart"/>
            <w:tcBorders>
              <w:top w:val="single" w:color="auto" w:sz="12" w:space="0"/>
              <w:bottom w:val="single" w:color="auto" w:sz="4" w:space="0"/>
            </w:tcBorders>
            <w:shd w:val="clear" w:color="auto" w:fill="auto"/>
            <w:vAlign w:val="center"/>
          </w:tcPr>
          <w:p w14:paraId="3F021B1E">
            <w:pPr>
              <w:pStyle w:val="15"/>
              <w:rPr>
                <w:szCs w:val="16"/>
              </w:rPr>
            </w:pPr>
            <w:r>
              <w:rPr>
                <w:rFonts w:hint="eastAsia"/>
                <w:szCs w:val="16"/>
              </w:rPr>
              <w:t>实验项目名称</w:t>
            </w:r>
          </w:p>
        </w:tc>
        <w:tc>
          <w:tcPr>
            <w:tcW w:w="1272" w:type="dxa"/>
            <w:vMerge w:val="restart"/>
            <w:tcBorders>
              <w:top w:val="single" w:color="auto" w:sz="12" w:space="0"/>
              <w:bottom w:val="single" w:color="auto" w:sz="4" w:space="0"/>
            </w:tcBorders>
            <w:vAlign w:val="center"/>
          </w:tcPr>
          <w:p w14:paraId="4ED71574">
            <w:pPr>
              <w:pStyle w:val="15"/>
              <w:rPr>
                <w:szCs w:val="16"/>
              </w:rPr>
            </w:pPr>
            <w:r>
              <w:rPr>
                <w:rFonts w:hint="eastAsia"/>
                <w:szCs w:val="16"/>
              </w:rPr>
              <w:t>实验类型</w:t>
            </w:r>
          </w:p>
        </w:tc>
        <w:tc>
          <w:tcPr>
            <w:tcW w:w="2483" w:type="dxa"/>
            <w:gridSpan w:val="3"/>
            <w:tcBorders>
              <w:top w:val="single" w:color="auto" w:sz="12" w:space="0"/>
              <w:bottom w:val="single" w:color="auto" w:sz="4" w:space="0"/>
            </w:tcBorders>
            <w:shd w:val="clear" w:color="auto" w:fill="auto"/>
            <w:vAlign w:val="center"/>
          </w:tcPr>
          <w:p w14:paraId="2C5EEEE4">
            <w:pPr>
              <w:pStyle w:val="15"/>
              <w:rPr>
                <w:szCs w:val="16"/>
              </w:rPr>
            </w:pPr>
            <w:r>
              <w:rPr>
                <w:rFonts w:hint="eastAsia" w:ascii="黑体" w:hAnsi="黑体"/>
                <w:szCs w:val="21"/>
              </w:rPr>
              <w:t>学时</w:t>
            </w:r>
            <w:r>
              <w:rPr>
                <w:rFonts w:hint="eastAsia" w:ascii="黑体" w:hAnsi="黑体"/>
                <w:bCs w:val="0"/>
                <w:szCs w:val="21"/>
              </w:rPr>
              <w:t>分配</w:t>
            </w:r>
          </w:p>
        </w:tc>
      </w:tr>
      <w:tr w14:paraId="5DC5E754">
        <w:trPr>
          <w:trHeight w:val="149" w:hRule="atLeast"/>
          <w:jc w:val="center"/>
        </w:trPr>
        <w:tc>
          <w:tcPr>
            <w:tcW w:w="1009" w:type="dxa"/>
            <w:vMerge w:val="continue"/>
            <w:tcBorders>
              <w:top w:val="single" w:color="auto" w:sz="4" w:space="0"/>
              <w:bottom w:val="single" w:color="auto" w:sz="4" w:space="0"/>
            </w:tcBorders>
            <w:shd w:val="clear" w:color="auto" w:fill="auto"/>
            <w:vAlign w:val="center"/>
          </w:tcPr>
          <w:p w14:paraId="6F7738D0">
            <w:pPr>
              <w:pStyle w:val="15"/>
              <w:rPr>
                <w:szCs w:val="16"/>
              </w:rPr>
            </w:pPr>
          </w:p>
        </w:tc>
        <w:tc>
          <w:tcPr>
            <w:tcW w:w="3512" w:type="dxa"/>
            <w:vMerge w:val="continue"/>
            <w:tcBorders>
              <w:top w:val="single" w:color="auto" w:sz="4" w:space="0"/>
              <w:bottom w:val="single" w:color="auto" w:sz="4" w:space="0"/>
            </w:tcBorders>
            <w:shd w:val="clear" w:color="auto" w:fill="auto"/>
            <w:vAlign w:val="center"/>
          </w:tcPr>
          <w:p w14:paraId="4BCB84F7">
            <w:pPr>
              <w:pStyle w:val="15"/>
              <w:rPr>
                <w:szCs w:val="16"/>
              </w:rPr>
            </w:pPr>
          </w:p>
        </w:tc>
        <w:tc>
          <w:tcPr>
            <w:tcW w:w="1272" w:type="dxa"/>
            <w:vMerge w:val="continue"/>
            <w:tcBorders>
              <w:top w:val="single" w:color="auto" w:sz="4" w:space="0"/>
              <w:bottom w:val="single" w:color="auto" w:sz="4" w:space="0"/>
            </w:tcBorders>
            <w:vAlign w:val="center"/>
          </w:tcPr>
          <w:p w14:paraId="59B8C5E1">
            <w:pPr>
              <w:pStyle w:val="15"/>
              <w:rPr>
                <w:szCs w:val="16"/>
              </w:rPr>
            </w:pPr>
          </w:p>
        </w:tc>
        <w:tc>
          <w:tcPr>
            <w:tcW w:w="849" w:type="dxa"/>
            <w:tcBorders>
              <w:top w:val="single" w:color="auto" w:sz="4" w:space="0"/>
              <w:bottom w:val="single" w:color="auto" w:sz="4" w:space="0"/>
            </w:tcBorders>
            <w:shd w:val="clear" w:color="auto" w:fill="auto"/>
            <w:vAlign w:val="center"/>
          </w:tcPr>
          <w:p w14:paraId="208C33E3">
            <w:pPr>
              <w:pStyle w:val="15"/>
              <w:rPr>
                <w:rFonts w:ascii="黑体" w:hAnsi="黑体"/>
                <w:szCs w:val="21"/>
              </w:rPr>
            </w:pPr>
            <w:r>
              <w:rPr>
                <w:rFonts w:hint="eastAsia" w:ascii="黑体" w:hAnsi="黑体"/>
                <w:szCs w:val="21"/>
              </w:rPr>
              <w:t>理论</w:t>
            </w:r>
          </w:p>
        </w:tc>
        <w:tc>
          <w:tcPr>
            <w:tcW w:w="848" w:type="dxa"/>
            <w:tcBorders>
              <w:top w:val="single" w:color="auto" w:sz="4" w:space="0"/>
              <w:bottom w:val="single" w:color="auto" w:sz="4" w:space="0"/>
            </w:tcBorders>
            <w:shd w:val="clear" w:color="auto" w:fill="auto"/>
            <w:vAlign w:val="center"/>
          </w:tcPr>
          <w:p w14:paraId="3DAF5B90">
            <w:pPr>
              <w:pStyle w:val="15"/>
              <w:rPr>
                <w:rFonts w:ascii="黑体" w:hAnsi="黑体"/>
                <w:szCs w:val="21"/>
              </w:rPr>
            </w:pPr>
            <w:r>
              <w:rPr>
                <w:rFonts w:hint="eastAsia" w:ascii="黑体" w:hAnsi="黑体"/>
              </w:rPr>
              <w:t>实践</w:t>
            </w:r>
          </w:p>
        </w:tc>
        <w:tc>
          <w:tcPr>
            <w:tcW w:w="786" w:type="dxa"/>
            <w:tcBorders>
              <w:top w:val="single" w:color="auto" w:sz="4" w:space="0"/>
              <w:bottom w:val="single" w:color="auto" w:sz="4" w:space="0"/>
            </w:tcBorders>
            <w:shd w:val="clear" w:color="auto" w:fill="auto"/>
            <w:vAlign w:val="center"/>
          </w:tcPr>
          <w:p w14:paraId="0B5883D3">
            <w:pPr>
              <w:pStyle w:val="15"/>
              <w:rPr>
                <w:rFonts w:ascii="黑体" w:hAnsi="黑体"/>
                <w:szCs w:val="21"/>
              </w:rPr>
            </w:pPr>
            <w:r>
              <w:rPr>
                <w:rFonts w:hint="eastAsia" w:ascii="黑体" w:hAnsi="黑体"/>
              </w:rPr>
              <w:t>小计</w:t>
            </w:r>
          </w:p>
        </w:tc>
      </w:tr>
      <w:tr w14:paraId="6E2B05B2">
        <w:trPr>
          <w:trHeight w:val="454" w:hRule="atLeast"/>
          <w:jc w:val="center"/>
        </w:trPr>
        <w:tc>
          <w:tcPr>
            <w:tcW w:w="1009" w:type="dxa"/>
            <w:tcBorders>
              <w:top w:val="single" w:color="auto" w:sz="4" w:space="0"/>
              <w:bottom w:val="single" w:color="auto" w:sz="4" w:space="0"/>
            </w:tcBorders>
            <w:shd w:val="clear" w:color="auto" w:fill="auto"/>
            <w:vAlign w:val="center"/>
          </w:tcPr>
          <w:p w14:paraId="0C486BC4">
            <w:pPr>
              <w:pStyle w:val="16"/>
            </w:pPr>
            <w:r>
              <w:rPr>
                <w:rFonts w:hint="eastAsia"/>
              </w:rPr>
              <w:t>1</w:t>
            </w:r>
          </w:p>
        </w:tc>
        <w:tc>
          <w:tcPr>
            <w:tcW w:w="3512" w:type="dxa"/>
            <w:tcBorders>
              <w:top w:val="single" w:color="auto" w:sz="4" w:space="0"/>
              <w:bottom w:val="single" w:color="auto" w:sz="4" w:space="0"/>
            </w:tcBorders>
            <w:shd w:val="clear" w:color="auto" w:fill="auto"/>
            <w:vAlign w:val="center"/>
          </w:tcPr>
          <w:p w14:paraId="515B0768">
            <w:pPr>
              <w:pStyle w:val="16"/>
            </w:pPr>
            <w:r>
              <w:rPr>
                <w:rFonts w:hint="eastAsia" w:ascii="宋体" w:hAnsi="宋体"/>
                <w:bCs/>
              </w:rPr>
              <w:t>“中日政治经济类”相关翻译</w:t>
            </w:r>
          </w:p>
        </w:tc>
        <w:tc>
          <w:tcPr>
            <w:tcW w:w="1272" w:type="dxa"/>
            <w:tcBorders>
              <w:top w:val="single" w:color="auto" w:sz="4" w:space="0"/>
              <w:bottom w:val="single" w:color="auto" w:sz="4" w:space="0"/>
            </w:tcBorders>
            <w:vAlign w:val="center"/>
          </w:tcPr>
          <w:p w14:paraId="2C380C61">
            <w:pPr>
              <w:pStyle w:val="16"/>
              <w:numPr>
                <w:ilvl w:val="0"/>
                <w:numId w:val="1"/>
              </w:numPr>
            </w:pPr>
          </w:p>
        </w:tc>
        <w:tc>
          <w:tcPr>
            <w:tcW w:w="849" w:type="dxa"/>
            <w:tcBorders>
              <w:top w:val="single" w:color="auto" w:sz="4" w:space="0"/>
              <w:bottom w:val="single" w:color="auto" w:sz="4" w:space="0"/>
            </w:tcBorders>
            <w:shd w:val="clear" w:color="auto" w:fill="auto"/>
            <w:vAlign w:val="center"/>
          </w:tcPr>
          <w:p w14:paraId="7D3FB8C8">
            <w:pPr>
              <w:pStyle w:val="15"/>
              <w:rPr>
                <w:szCs w:val="16"/>
              </w:rPr>
            </w:pPr>
          </w:p>
        </w:tc>
        <w:tc>
          <w:tcPr>
            <w:tcW w:w="848" w:type="dxa"/>
            <w:tcBorders>
              <w:top w:val="single" w:color="auto" w:sz="4" w:space="0"/>
              <w:bottom w:val="single" w:color="auto" w:sz="4" w:space="0"/>
            </w:tcBorders>
            <w:vAlign w:val="center"/>
          </w:tcPr>
          <w:p w14:paraId="10A0BECE">
            <w:pPr>
              <w:pStyle w:val="16"/>
              <w:rPr>
                <w:rFonts w:ascii="Arial" w:hAnsi="Arial" w:eastAsia="黑体"/>
                <w:bCs/>
                <w:szCs w:val="16"/>
              </w:rPr>
            </w:pPr>
            <w:r>
              <w:rPr>
                <w:rFonts w:ascii="Arial" w:hAnsi="Arial" w:eastAsia="黑体"/>
                <w:bCs/>
                <w:szCs w:val="16"/>
              </w:rPr>
              <w:t>8</w:t>
            </w:r>
          </w:p>
        </w:tc>
        <w:tc>
          <w:tcPr>
            <w:tcW w:w="786" w:type="dxa"/>
            <w:tcBorders>
              <w:top w:val="single" w:color="auto" w:sz="4" w:space="0"/>
              <w:bottom w:val="single" w:color="auto" w:sz="4" w:space="0"/>
            </w:tcBorders>
            <w:shd w:val="clear" w:color="auto" w:fill="auto"/>
            <w:vAlign w:val="center"/>
          </w:tcPr>
          <w:p w14:paraId="01C498EA">
            <w:pPr>
              <w:pStyle w:val="16"/>
              <w:rPr>
                <w:rFonts w:ascii="Arial" w:hAnsi="Arial" w:eastAsia="黑体"/>
                <w:bCs/>
                <w:szCs w:val="16"/>
              </w:rPr>
            </w:pPr>
          </w:p>
        </w:tc>
      </w:tr>
      <w:tr w14:paraId="248B7966">
        <w:trPr>
          <w:trHeight w:val="454" w:hRule="atLeast"/>
          <w:jc w:val="center"/>
        </w:trPr>
        <w:tc>
          <w:tcPr>
            <w:tcW w:w="1009" w:type="dxa"/>
            <w:tcBorders>
              <w:top w:val="single" w:color="auto" w:sz="4" w:space="0"/>
              <w:bottom w:val="single" w:color="auto" w:sz="4" w:space="0"/>
            </w:tcBorders>
            <w:shd w:val="clear" w:color="auto" w:fill="auto"/>
            <w:vAlign w:val="center"/>
          </w:tcPr>
          <w:p w14:paraId="038682D1">
            <w:pPr>
              <w:pStyle w:val="16"/>
            </w:pPr>
            <w:r>
              <w:rPr>
                <w:rFonts w:hint="eastAsia"/>
              </w:rPr>
              <w:t>2</w:t>
            </w:r>
          </w:p>
        </w:tc>
        <w:tc>
          <w:tcPr>
            <w:tcW w:w="3512" w:type="dxa"/>
            <w:tcBorders>
              <w:top w:val="single" w:color="auto" w:sz="4" w:space="0"/>
              <w:bottom w:val="single" w:color="auto" w:sz="4" w:space="0"/>
            </w:tcBorders>
            <w:shd w:val="clear" w:color="auto" w:fill="auto"/>
            <w:vAlign w:val="center"/>
          </w:tcPr>
          <w:p w14:paraId="5A554DC9">
            <w:pPr>
              <w:pStyle w:val="16"/>
            </w:pPr>
            <w:r>
              <w:rPr>
                <w:rFonts w:hint="eastAsia" w:ascii="宋体" w:hAnsi="宋体"/>
                <w:bCs/>
              </w:rPr>
              <w:t>“中日旅游文化类”相关翻译</w:t>
            </w:r>
          </w:p>
        </w:tc>
        <w:tc>
          <w:tcPr>
            <w:tcW w:w="1272" w:type="dxa"/>
            <w:tcBorders>
              <w:top w:val="single" w:color="auto" w:sz="4" w:space="0"/>
              <w:bottom w:val="single" w:color="auto" w:sz="4" w:space="0"/>
            </w:tcBorders>
            <w:vAlign w:val="center"/>
          </w:tcPr>
          <w:p w14:paraId="15960B43">
            <w:pPr>
              <w:pStyle w:val="16"/>
              <w:numPr>
                <w:ilvl w:val="0"/>
                <w:numId w:val="2"/>
              </w:numPr>
            </w:pPr>
          </w:p>
        </w:tc>
        <w:tc>
          <w:tcPr>
            <w:tcW w:w="849" w:type="dxa"/>
            <w:tcBorders>
              <w:top w:val="single" w:color="auto" w:sz="4" w:space="0"/>
              <w:bottom w:val="single" w:color="auto" w:sz="4" w:space="0"/>
            </w:tcBorders>
            <w:shd w:val="clear" w:color="auto" w:fill="auto"/>
            <w:vAlign w:val="center"/>
          </w:tcPr>
          <w:p w14:paraId="383ACAC1">
            <w:pPr>
              <w:pStyle w:val="15"/>
              <w:rPr>
                <w:szCs w:val="16"/>
              </w:rPr>
            </w:pPr>
          </w:p>
        </w:tc>
        <w:tc>
          <w:tcPr>
            <w:tcW w:w="848" w:type="dxa"/>
            <w:tcBorders>
              <w:top w:val="single" w:color="auto" w:sz="4" w:space="0"/>
              <w:bottom w:val="single" w:color="auto" w:sz="4" w:space="0"/>
            </w:tcBorders>
            <w:vAlign w:val="center"/>
          </w:tcPr>
          <w:p w14:paraId="4281178B">
            <w:pPr>
              <w:pStyle w:val="16"/>
              <w:rPr>
                <w:rFonts w:ascii="Arial" w:hAnsi="Arial" w:eastAsia="黑体"/>
                <w:bCs/>
                <w:szCs w:val="16"/>
              </w:rPr>
            </w:pPr>
            <w:r>
              <w:rPr>
                <w:rFonts w:ascii="Arial" w:hAnsi="Arial" w:eastAsia="黑体"/>
                <w:bCs/>
                <w:szCs w:val="16"/>
              </w:rPr>
              <w:t>8</w:t>
            </w:r>
          </w:p>
        </w:tc>
        <w:tc>
          <w:tcPr>
            <w:tcW w:w="786" w:type="dxa"/>
            <w:tcBorders>
              <w:top w:val="single" w:color="auto" w:sz="4" w:space="0"/>
              <w:bottom w:val="single" w:color="auto" w:sz="4" w:space="0"/>
            </w:tcBorders>
            <w:shd w:val="clear" w:color="auto" w:fill="auto"/>
            <w:vAlign w:val="center"/>
          </w:tcPr>
          <w:p w14:paraId="6D7109A2">
            <w:pPr>
              <w:pStyle w:val="16"/>
              <w:rPr>
                <w:rFonts w:ascii="Arial" w:hAnsi="Arial" w:eastAsia="黑体"/>
                <w:bCs/>
                <w:szCs w:val="16"/>
              </w:rPr>
            </w:pPr>
          </w:p>
        </w:tc>
      </w:tr>
      <w:tr w14:paraId="5E73F0BB">
        <w:trPr>
          <w:trHeight w:val="454" w:hRule="atLeast"/>
          <w:jc w:val="center"/>
        </w:trPr>
        <w:tc>
          <w:tcPr>
            <w:tcW w:w="8276" w:type="dxa"/>
            <w:gridSpan w:val="6"/>
            <w:tcBorders>
              <w:top w:val="single" w:color="auto" w:sz="12" w:space="0"/>
              <w:left w:val="nil"/>
              <w:bottom w:val="nil"/>
              <w:right w:val="nil"/>
            </w:tcBorders>
            <w:shd w:val="clear" w:color="auto" w:fill="auto"/>
            <w:vAlign w:val="center"/>
          </w:tcPr>
          <w:p w14:paraId="6E9B7F6A">
            <w:pPr>
              <w:pStyle w:val="15"/>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20E70D14">
      <w:pPr>
        <w:pStyle w:val="19"/>
        <w:spacing w:before="163" w:after="163"/>
      </w:pPr>
      <w:r>
        <w:rPr>
          <w:rFonts w:hint="eastAsia"/>
        </w:rPr>
        <w:t>（二）各实验项目教学目标、内容与要求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62B83945">
        <w:tc>
          <w:tcPr>
            <w:tcW w:w="8296" w:type="dxa"/>
          </w:tcPr>
          <w:p w14:paraId="5AED7542">
            <w:pPr>
              <w:widowControl w:val="0"/>
              <w:spacing w:line="440" w:lineRule="exact"/>
              <w:jc w:val="both"/>
              <w:rPr>
                <w:rFonts w:cs="仿宋"/>
                <w:bCs/>
                <w:color w:val="000000"/>
                <w:szCs w:val="21"/>
              </w:rPr>
            </w:pPr>
            <w:r>
              <w:rPr>
                <w:rFonts w:hint="eastAsia" w:cs="仿宋"/>
                <w:bCs/>
                <w:color w:val="000000"/>
                <w:szCs w:val="21"/>
              </w:rPr>
              <w:t>实验1：</w:t>
            </w:r>
            <w:r>
              <w:rPr>
                <w:rFonts w:hint="eastAsia" w:cs="仿宋"/>
                <w:bCs/>
                <w:szCs w:val="21"/>
              </w:rPr>
              <w:t>（实验名称）</w:t>
            </w:r>
            <w:r>
              <w:rPr>
                <w:rFonts w:hint="eastAsia"/>
                <w:bCs/>
                <w:color w:val="000000"/>
                <w:szCs w:val="21"/>
              </w:rPr>
              <w:t>“中日政治经济类”相关翻译</w:t>
            </w:r>
          </w:p>
        </w:tc>
      </w:tr>
      <w:tr w14:paraId="4A276D2C">
        <w:tc>
          <w:tcPr>
            <w:tcW w:w="8296" w:type="dxa"/>
          </w:tcPr>
          <w:p w14:paraId="530D8EAD">
            <w:pPr>
              <w:pStyle w:val="16"/>
              <w:widowControl w:val="0"/>
              <w:jc w:val="left"/>
              <w:rPr>
                <w:rFonts w:ascii="宋体" w:hAnsi="宋体"/>
                <w:bCs/>
              </w:rPr>
            </w:pPr>
            <w:r>
              <w:rPr>
                <w:rFonts w:hint="eastAsia" w:ascii="宋体" w:hAnsi="宋体" w:cs="仿宋"/>
                <w:bCs/>
              </w:rPr>
              <w:t>本实验结合了日本政要演讲及记者招待会，中日经济贸易相关等内容。这些内容专业性较强，对学生的灵活性和应变性有较高要求。通过本课学习，大家可以体言到不同风格的高级翻译用语及智慧。</w:t>
            </w:r>
          </w:p>
        </w:tc>
      </w:tr>
      <w:tr w14:paraId="79FD4301">
        <w:tc>
          <w:tcPr>
            <w:tcW w:w="8296" w:type="dxa"/>
          </w:tcPr>
          <w:p w14:paraId="65940128">
            <w:pPr>
              <w:widowControl w:val="0"/>
              <w:spacing w:line="440" w:lineRule="exact"/>
              <w:jc w:val="both"/>
              <w:rPr>
                <w:rFonts w:cs="仿宋"/>
                <w:bCs/>
                <w:color w:val="000000"/>
                <w:szCs w:val="21"/>
              </w:rPr>
            </w:pPr>
            <w:r>
              <w:rPr>
                <w:rFonts w:hint="eastAsia" w:cs="仿宋"/>
                <w:bCs/>
                <w:color w:val="000000"/>
                <w:szCs w:val="21"/>
              </w:rPr>
              <w:t>实验2：</w:t>
            </w:r>
            <w:r>
              <w:rPr>
                <w:rFonts w:hint="eastAsia" w:cs="仿宋"/>
                <w:bCs/>
                <w:szCs w:val="21"/>
              </w:rPr>
              <w:t>（实验名称）</w:t>
            </w:r>
            <w:r>
              <w:rPr>
                <w:rFonts w:hint="eastAsia"/>
                <w:bCs/>
                <w:color w:val="000000"/>
                <w:szCs w:val="21"/>
              </w:rPr>
              <w:t>“中日旅游文化类”相关翻译</w:t>
            </w:r>
          </w:p>
        </w:tc>
      </w:tr>
      <w:tr w14:paraId="123F376B">
        <w:tc>
          <w:tcPr>
            <w:tcW w:w="8296" w:type="dxa"/>
          </w:tcPr>
          <w:p w14:paraId="535F835C">
            <w:pPr>
              <w:pStyle w:val="16"/>
              <w:widowControl w:val="0"/>
              <w:jc w:val="left"/>
              <w:rPr>
                <w:rFonts w:ascii="宋体" w:hAnsi="宋体"/>
                <w:bCs/>
              </w:rPr>
            </w:pPr>
            <w:r>
              <w:rPr>
                <w:rFonts w:hint="eastAsia" w:ascii="宋体" w:hAnsi="宋体" w:cs="仿宋"/>
                <w:bCs/>
              </w:rPr>
              <w:t>随着中国经济的发展，人民生活水平的提高，赴日旅游的人数逐年上涨。此类翻译一方面介绍了两国风土人情，一方面加强了两国之间的交流，促进了两国人民的相互理解。</w:t>
            </w:r>
          </w:p>
        </w:tc>
      </w:tr>
    </w:tbl>
    <w:p w14:paraId="1E3DB2EE">
      <w:pPr>
        <w:pStyle w:val="19"/>
        <w:spacing w:before="163" w:after="163"/>
      </w:pPr>
      <w:r>
        <w:rPr>
          <w:rFonts w:hint="eastAsia"/>
        </w:rPr>
        <w:t>（三）各实验项目对课程目标的支撑关系</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600"/>
        <w:gridCol w:w="979"/>
        <w:gridCol w:w="979"/>
        <w:gridCol w:w="979"/>
        <w:gridCol w:w="979"/>
        <w:gridCol w:w="979"/>
        <w:gridCol w:w="980"/>
      </w:tblGrid>
      <w:tr w14:paraId="4BFF8197">
        <w:trPr>
          <w:trHeight w:val="794" w:hRule="atLeast"/>
          <w:jc w:val="center"/>
        </w:trPr>
        <w:tc>
          <w:tcPr>
            <w:tcW w:w="2539" w:type="dxa"/>
            <w:tcBorders>
              <w:top w:val="single" w:color="auto" w:sz="12" w:space="0"/>
              <w:left w:val="single" w:color="auto" w:sz="12" w:space="0"/>
              <w:tl2br w:val="single" w:color="auto" w:sz="4" w:space="0"/>
            </w:tcBorders>
          </w:tcPr>
          <w:p w14:paraId="40060AA2">
            <w:pPr>
              <w:pStyle w:val="15"/>
              <w:ind w:firstLine="489"/>
              <w:jc w:val="right"/>
              <w:rPr>
                <w:szCs w:val="16"/>
              </w:rPr>
            </w:pPr>
            <w:r>
              <w:rPr>
                <w:rFonts w:hint="eastAsia"/>
                <w:szCs w:val="16"/>
              </w:rPr>
              <w:t>课程目标</w:t>
            </w:r>
          </w:p>
          <w:p w14:paraId="42D2CF34">
            <w:pPr>
              <w:pStyle w:val="15"/>
              <w:ind w:right="210"/>
              <w:jc w:val="left"/>
              <w:rPr>
                <w:szCs w:val="16"/>
              </w:rPr>
            </w:pPr>
          </w:p>
          <w:p w14:paraId="2C63DC60">
            <w:pPr>
              <w:pStyle w:val="15"/>
              <w:ind w:right="210"/>
              <w:jc w:val="left"/>
              <w:rPr>
                <w:szCs w:val="16"/>
              </w:rPr>
            </w:pPr>
            <w:r>
              <w:rPr>
                <w:rFonts w:hint="eastAsia"/>
                <w:szCs w:val="16"/>
              </w:rPr>
              <w:t>实验项目名称</w:t>
            </w:r>
          </w:p>
        </w:tc>
        <w:tc>
          <w:tcPr>
            <w:tcW w:w="956" w:type="dxa"/>
            <w:tcBorders>
              <w:top w:val="single" w:color="auto" w:sz="12" w:space="0"/>
            </w:tcBorders>
            <w:vAlign w:val="center"/>
          </w:tcPr>
          <w:p w14:paraId="0E0A2A97">
            <w:pPr>
              <w:pStyle w:val="15"/>
              <w:rPr>
                <w:szCs w:val="16"/>
              </w:rPr>
            </w:pPr>
            <w:r>
              <w:rPr>
                <w:szCs w:val="16"/>
              </w:rPr>
              <w:t>1</w:t>
            </w:r>
          </w:p>
        </w:tc>
        <w:tc>
          <w:tcPr>
            <w:tcW w:w="956" w:type="dxa"/>
            <w:tcBorders>
              <w:top w:val="single" w:color="auto" w:sz="12" w:space="0"/>
            </w:tcBorders>
            <w:vAlign w:val="center"/>
          </w:tcPr>
          <w:p w14:paraId="3710A2EC">
            <w:pPr>
              <w:pStyle w:val="15"/>
              <w:rPr>
                <w:szCs w:val="16"/>
              </w:rPr>
            </w:pPr>
            <w:r>
              <w:rPr>
                <w:szCs w:val="16"/>
              </w:rPr>
              <w:t>2</w:t>
            </w:r>
          </w:p>
        </w:tc>
        <w:tc>
          <w:tcPr>
            <w:tcW w:w="956" w:type="dxa"/>
            <w:tcBorders>
              <w:top w:val="single" w:color="auto" w:sz="12" w:space="0"/>
            </w:tcBorders>
            <w:vAlign w:val="center"/>
          </w:tcPr>
          <w:p w14:paraId="1446F6D4">
            <w:pPr>
              <w:pStyle w:val="15"/>
              <w:rPr>
                <w:szCs w:val="16"/>
              </w:rPr>
            </w:pPr>
            <w:r>
              <w:rPr>
                <w:szCs w:val="16"/>
              </w:rPr>
              <w:t>3</w:t>
            </w:r>
          </w:p>
        </w:tc>
        <w:tc>
          <w:tcPr>
            <w:tcW w:w="956" w:type="dxa"/>
            <w:tcBorders>
              <w:top w:val="single" w:color="auto" w:sz="12" w:space="0"/>
            </w:tcBorders>
            <w:vAlign w:val="center"/>
          </w:tcPr>
          <w:p w14:paraId="0177D43F">
            <w:pPr>
              <w:pStyle w:val="15"/>
              <w:rPr>
                <w:szCs w:val="16"/>
              </w:rPr>
            </w:pPr>
            <w:r>
              <w:rPr>
                <w:szCs w:val="16"/>
              </w:rPr>
              <w:t>4</w:t>
            </w:r>
          </w:p>
        </w:tc>
        <w:tc>
          <w:tcPr>
            <w:tcW w:w="956" w:type="dxa"/>
            <w:tcBorders>
              <w:top w:val="single" w:color="auto" w:sz="12" w:space="0"/>
            </w:tcBorders>
            <w:vAlign w:val="center"/>
          </w:tcPr>
          <w:p w14:paraId="6D163553">
            <w:pPr>
              <w:pStyle w:val="15"/>
              <w:rPr>
                <w:szCs w:val="16"/>
              </w:rPr>
            </w:pPr>
            <w:r>
              <w:rPr>
                <w:szCs w:val="16"/>
              </w:rPr>
              <w:t>5</w:t>
            </w:r>
          </w:p>
        </w:tc>
        <w:tc>
          <w:tcPr>
            <w:tcW w:w="957" w:type="dxa"/>
            <w:tcBorders>
              <w:top w:val="single" w:color="auto" w:sz="12" w:space="0"/>
              <w:right w:val="single" w:color="auto" w:sz="12" w:space="0"/>
            </w:tcBorders>
            <w:vAlign w:val="center"/>
          </w:tcPr>
          <w:p w14:paraId="08089317">
            <w:pPr>
              <w:pStyle w:val="15"/>
              <w:rPr>
                <w:szCs w:val="16"/>
              </w:rPr>
            </w:pPr>
            <w:r>
              <w:rPr>
                <w:szCs w:val="16"/>
              </w:rPr>
              <w:t>6</w:t>
            </w:r>
          </w:p>
        </w:tc>
      </w:tr>
      <w:tr w14:paraId="533468B5">
        <w:trPr>
          <w:trHeight w:val="283" w:hRule="atLeast"/>
          <w:jc w:val="center"/>
        </w:trPr>
        <w:tc>
          <w:tcPr>
            <w:tcW w:w="2539" w:type="dxa"/>
            <w:tcBorders>
              <w:left w:val="single" w:color="auto" w:sz="12" w:space="0"/>
            </w:tcBorders>
          </w:tcPr>
          <w:p w14:paraId="241B6C74">
            <w:pPr>
              <w:pStyle w:val="16"/>
            </w:pPr>
            <w:r>
              <w:rPr>
                <w:rFonts w:hint="eastAsia" w:ascii="宋体" w:hAnsi="宋体"/>
                <w:bCs/>
                <w:sz w:val="20"/>
                <w:szCs w:val="20"/>
              </w:rPr>
              <w:t>“中日政治经济类”相关翻译</w:t>
            </w:r>
          </w:p>
        </w:tc>
        <w:tc>
          <w:tcPr>
            <w:tcW w:w="956" w:type="dxa"/>
            <w:vAlign w:val="center"/>
          </w:tcPr>
          <w:p w14:paraId="4B1C5583">
            <w:pPr>
              <w:pStyle w:val="16"/>
            </w:pPr>
            <w:r>
              <w:rPr>
                <w:rFonts w:hint="eastAsia"/>
              </w:rPr>
              <w:t>√</w:t>
            </w:r>
          </w:p>
        </w:tc>
        <w:tc>
          <w:tcPr>
            <w:tcW w:w="956" w:type="dxa"/>
            <w:vAlign w:val="center"/>
          </w:tcPr>
          <w:p w14:paraId="19096559">
            <w:pPr>
              <w:pStyle w:val="16"/>
            </w:pPr>
            <w:r>
              <w:rPr>
                <w:rFonts w:hint="eastAsia"/>
              </w:rPr>
              <w:t>√</w:t>
            </w:r>
          </w:p>
        </w:tc>
        <w:tc>
          <w:tcPr>
            <w:tcW w:w="956" w:type="dxa"/>
            <w:vAlign w:val="center"/>
          </w:tcPr>
          <w:p w14:paraId="1881CA3F">
            <w:pPr>
              <w:pStyle w:val="16"/>
            </w:pPr>
            <w:r>
              <w:rPr>
                <w:rFonts w:hint="eastAsia"/>
              </w:rPr>
              <w:t>√</w:t>
            </w:r>
          </w:p>
        </w:tc>
        <w:tc>
          <w:tcPr>
            <w:tcW w:w="956" w:type="dxa"/>
            <w:vAlign w:val="center"/>
          </w:tcPr>
          <w:p w14:paraId="46388E3B">
            <w:pPr>
              <w:pStyle w:val="16"/>
            </w:pPr>
            <w:r>
              <w:rPr>
                <w:rFonts w:hint="eastAsia"/>
              </w:rPr>
              <w:t>√</w:t>
            </w:r>
          </w:p>
        </w:tc>
        <w:tc>
          <w:tcPr>
            <w:tcW w:w="956" w:type="dxa"/>
            <w:vAlign w:val="center"/>
          </w:tcPr>
          <w:p w14:paraId="02B541E2">
            <w:pPr>
              <w:pStyle w:val="16"/>
            </w:pPr>
            <w:r>
              <w:rPr>
                <w:rFonts w:hint="eastAsia"/>
              </w:rPr>
              <w:t>√</w:t>
            </w:r>
          </w:p>
        </w:tc>
        <w:tc>
          <w:tcPr>
            <w:tcW w:w="957" w:type="dxa"/>
            <w:tcBorders>
              <w:right w:val="single" w:color="auto" w:sz="12" w:space="0"/>
            </w:tcBorders>
            <w:vAlign w:val="center"/>
          </w:tcPr>
          <w:p w14:paraId="7EAD2369">
            <w:pPr>
              <w:pStyle w:val="16"/>
            </w:pPr>
            <w:r>
              <w:rPr>
                <w:rFonts w:hint="eastAsia"/>
              </w:rPr>
              <w:t>√</w:t>
            </w:r>
          </w:p>
        </w:tc>
      </w:tr>
      <w:tr w14:paraId="64904F7F">
        <w:trPr>
          <w:trHeight w:val="283" w:hRule="atLeast"/>
          <w:jc w:val="center"/>
        </w:trPr>
        <w:tc>
          <w:tcPr>
            <w:tcW w:w="2539" w:type="dxa"/>
            <w:tcBorders>
              <w:left w:val="single" w:color="auto" w:sz="12" w:space="0"/>
            </w:tcBorders>
          </w:tcPr>
          <w:p w14:paraId="1CA1D860">
            <w:pPr>
              <w:pStyle w:val="16"/>
            </w:pPr>
            <w:r>
              <w:rPr>
                <w:rFonts w:hint="eastAsia" w:ascii="宋体" w:hAnsi="宋体"/>
                <w:bCs/>
                <w:sz w:val="20"/>
                <w:szCs w:val="20"/>
              </w:rPr>
              <w:t>“中日旅游文化类”相关翻译</w:t>
            </w:r>
          </w:p>
        </w:tc>
        <w:tc>
          <w:tcPr>
            <w:tcW w:w="956" w:type="dxa"/>
            <w:vAlign w:val="center"/>
          </w:tcPr>
          <w:p w14:paraId="07F68E94">
            <w:pPr>
              <w:pStyle w:val="16"/>
            </w:pPr>
            <w:r>
              <w:rPr>
                <w:rFonts w:hint="eastAsia"/>
              </w:rPr>
              <w:t>√</w:t>
            </w:r>
          </w:p>
        </w:tc>
        <w:tc>
          <w:tcPr>
            <w:tcW w:w="956" w:type="dxa"/>
            <w:vAlign w:val="center"/>
          </w:tcPr>
          <w:p w14:paraId="18C883FB">
            <w:pPr>
              <w:pStyle w:val="16"/>
            </w:pPr>
            <w:r>
              <w:rPr>
                <w:rFonts w:hint="eastAsia"/>
              </w:rPr>
              <w:t>√</w:t>
            </w:r>
          </w:p>
        </w:tc>
        <w:tc>
          <w:tcPr>
            <w:tcW w:w="956" w:type="dxa"/>
            <w:vAlign w:val="center"/>
          </w:tcPr>
          <w:p w14:paraId="5F7C0135">
            <w:pPr>
              <w:pStyle w:val="16"/>
            </w:pPr>
          </w:p>
        </w:tc>
        <w:tc>
          <w:tcPr>
            <w:tcW w:w="956" w:type="dxa"/>
            <w:vAlign w:val="center"/>
          </w:tcPr>
          <w:p w14:paraId="334743F8">
            <w:pPr>
              <w:pStyle w:val="16"/>
            </w:pPr>
            <w:r>
              <w:rPr>
                <w:rFonts w:hint="eastAsia"/>
              </w:rPr>
              <w:t>√</w:t>
            </w:r>
          </w:p>
        </w:tc>
        <w:tc>
          <w:tcPr>
            <w:tcW w:w="956" w:type="dxa"/>
            <w:vAlign w:val="center"/>
          </w:tcPr>
          <w:p w14:paraId="50074248">
            <w:pPr>
              <w:pStyle w:val="16"/>
            </w:pPr>
          </w:p>
        </w:tc>
        <w:tc>
          <w:tcPr>
            <w:tcW w:w="957" w:type="dxa"/>
            <w:tcBorders>
              <w:right w:val="single" w:color="auto" w:sz="12" w:space="0"/>
            </w:tcBorders>
            <w:vAlign w:val="center"/>
          </w:tcPr>
          <w:p w14:paraId="41869F0B">
            <w:pPr>
              <w:pStyle w:val="16"/>
            </w:pPr>
            <w:r>
              <w:rPr>
                <w:rFonts w:hint="eastAsia"/>
              </w:rPr>
              <w:t>√</w:t>
            </w:r>
          </w:p>
        </w:tc>
      </w:tr>
      <w:bookmarkEnd w:id="0"/>
      <w:bookmarkEnd w:id="1"/>
    </w:tbl>
    <w:p w14:paraId="339CBD9B">
      <w:pPr>
        <w:pStyle w:val="18"/>
        <w:spacing w:before="326" w:beforeLines="100" w:line="360" w:lineRule="auto"/>
        <w:rPr>
          <w:rFonts w:ascii="黑体" w:hAnsi="宋体"/>
          <w:highlight w:val="green"/>
        </w:rPr>
      </w:pPr>
      <w:bookmarkStart w:id="2" w:name="OLE_LINK3"/>
      <w:bookmarkStart w:id="3" w:name="OLE_LINK4"/>
      <w:r>
        <w:rPr>
          <w:rFonts w:hint="eastAsia" w:ascii="黑体" w:hAnsi="宋体"/>
        </w:rPr>
        <w:t>四、课程思政教学设计</w:t>
      </w:r>
    </w:p>
    <w:tbl>
      <w:tblPr>
        <w:tblStyle w:val="10"/>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D4D82EC">
        <w:tc>
          <w:tcPr>
            <w:tcW w:w="8276" w:type="dxa"/>
          </w:tcPr>
          <w:p w14:paraId="0363B436">
            <w:pPr>
              <w:widowControl w:val="0"/>
              <w:spacing w:line="400" w:lineRule="exact"/>
              <w:ind w:firstLine="420" w:firstLineChars="200"/>
              <w:jc w:val="both"/>
              <w:rPr>
                <w:rFonts w:cs="仿宋"/>
                <w:bCs/>
                <w:color w:val="000000"/>
                <w:sz w:val="21"/>
                <w:szCs w:val="21"/>
              </w:rPr>
            </w:pPr>
            <w:r>
              <w:rPr>
                <w:rFonts w:hint="eastAsia" w:cs="仿宋"/>
                <w:bCs/>
                <w:color w:val="000000"/>
                <w:sz w:val="21"/>
                <w:szCs w:val="21"/>
              </w:rPr>
              <w:t>本课程内容设计，适应了新形势的要求，教学内容与市场需求相接近。选取涉及中日友好交流、中日经贸合作案例、企业文化与社会责任等主题的材料作为口译实践的内容，让紧密相关的思政素材帮助学生在口译实践中感受和学习国家的发展理念和外交。</w:t>
            </w:r>
          </w:p>
          <w:p w14:paraId="4B2B75A8">
            <w:pPr>
              <w:widowControl w:val="0"/>
              <w:spacing w:line="400" w:lineRule="exact"/>
              <w:ind w:firstLine="420" w:firstLineChars="200"/>
              <w:jc w:val="both"/>
              <w:rPr>
                <w:rFonts w:cs="仿宋"/>
                <w:bCs/>
                <w:color w:val="000000"/>
                <w:sz w:val="21"/>
                <w:szCs w:val="21"/>
              </w:rPr>
            </w:pPr>
            <w:r>
              <w:rPr>
                <w:rFonts w:hint="eastAsia" w:cs="仿宋"/>
                <w:bCs/>
                <w:color w:val="000000"/>
                <w:sz w:val="21"/>
                <w:szCs w:val="21"/>
              </w:rPr>
              <w:t>在课程内容中注重培养学生的跨文化沟通能力，在教授日语口译技巧的同时，深入挖掘课程中的思政元素。例如，在分析口译案例时，可以引导学生关注其中涉及的国家利益、文化传承、社会责任等方面的问题，让学生在思考这些问题的过程中形成正确的价值观。注重对学生的价值引领，通过案例分析、讨论等方式引导学生正确认识和理解中日关系、国际形势等问题。同时，鼓励学生在口译实践中积极传播中华文化，增强文化自信和国家认同感。</w:t>
            </w:r>
          </w:p>
        </w:tc>
      </w:tr>
      <w:bookmarkEnd w:id="2"/>
      <w:bookmarkEnd w:id="3"/>
    </w:tbl>
    <w:p w14:paraId="01A49039">
      <w:pPr>
        <w:pStyle w:val="18"/>
        <w:spacing w:before="326" w:beforeLines="100" w:line="360" w:lineRule="auto"/>
        <w:rPr>
          <w:rFonts w:ascii="黑体" w:hAnsi="宋体"/>
        </w:rPr>
      </w:pPr>
      <w:r>
        <w:rPr>
          <w:rFonts w:hint="eastAsia" w:ascii="黑体" w:hAnsi="宋体"/>
        </w:rPr>
        <w:t>五、课程考核</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2C14DAEC">
        <w:trPr>
          <w:trHeight w:val="454" w:hRule="atLeast"/>
        </w:trPr>
        <w:tc>
          <w:tcPr>
            <w:tcW w:w="836" w:type="dxa"/>
            <w:vMerge w:val="restart"/>
            <w:tcBorders>
              <w:top w:val="single" w:color="auto" w:sz="12" w:space="0"/>
              <w:left w:val="single" w:color="auto" w:sz="12" w:space="0"/>
            </w:tcBorders>
            <w:vAlign w:val="center"/>
          </w:tcPr>
          <w:p w14:paraId="213D912F">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51F76D93">
            <w:pPr>
              <w:pStyle w:val="18"/>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1C3379E8">
            <w:pPr>
              <w:pStyle w:val="18"/>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7DD87ED0">
            <w:pPr>
              <w:pStyle w:val="18"/>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7585E0FA">
            <w:pPr>
              <w:pStyle w:val="18"/>
              <w:widowControl w:val="0"/>
              <w:spacing w:line="240" w:lineRule="auto"/>
              <w:jc w:val="center"/>
              <w:rPr>
                <w:rFonts w:ascii="黑体" w:hAnsi="黑体"/>
                <w:bCs/>
                <w:sz w:val="21"/>
                <w:szCs w:val="21"/>
              </w:rPr>
            </w:pPr>
            <w:r>
              <w:rPr>
                <w:rFonts w:hint="eastAsia" w:ascii="黑体" w:hAnsi="黑体"/>
                <w:bCs/>
                <w:sz w:val="21"/>
                <w:szCs w:val="21"/>
              </w:rPr>
              <w:t>合计</w:t>
            </w:r>
          </w:p>
        </w:tc>
      </w:tr>
      <w:tr w14:paraId="0766B699">
        <w:trPr>
          <w:trHeight w:val="454" w:hRule="atLeast"/>
        </w:trPr>
        <w:tc>
          <w:tcPr>
            <w:tcW w:w="836" w:type="dxa"/>
            <w:vMerge w:val="continue"/>
            <w:tcBorders>
              <w:left w:val="single" w:color="auto" w:sz="12" w:space="0"/>
            </w:tcBorders>
          </w:tcPr>
          <w:p w14:paraId="371F4C34">
            <w:pPr>
              <w:widowControl w:val="0"/>
              <w:snapToGrid w:val="0"/>
              <w:jc w:val="center"/>
              <w:rPr>
                <w:rFonts w:ascii="黑体" w:hAnsi="黑体" w:eastAsia="黑体"/>
                <w:bCs/>
                <w:sz w:val="21"/>
                <w:szCs w:val="21"/>
              </w:rPr>
            </w:pPr>
          </w:p>
        </w:tc>
        <w:tc>
          <w:tcPr>
            <w:tcW w:w="709" w:type="dxa"/>
            <w:vMerge w:val="continue"/>
          </w:tcPr>
          <w:p w14:paraId="46BB30C5">
            <w:pPr>
              <w:pStyle w:val="18"/>
              <w:widowControl w:val="0"/>
              <w:jc w:val="both"/>
              <w:rPr>
                <w:rFonts w:ascii="黑体" w:hAnsi="黑体"/>
                <w:bCs/>
                <w:sz w:val="21"/>
                <w:szCs w:val="21"/>
              </w:rPr>
            </w:pPr>
          </w:p>
        </w:tc>
        <w:tc>
          <w:tcPr>
            <w:tcW w:w="2353" w:type="dxa"/>
            <w:vMerge w:val="continue"/>
            <w:tcBorders>
              <w:right w:val="double" w:color="auto" w:sz="4" w:space="0"/>
            </w:tcBorders>
          </w:tcPr>
          <w:p w14:paraId="164AD328">
            <w:pPr>
              <w:pStyle w:val="18"/>
              <w:widowControl w:val="0"/>
              <w:jc w:val="both"/>
              <w:rPr>
                <w:rFonts w:ascii="黑体" w:hAnsi="黑体"/>
                <w:bCs/>
                <w:sz w:val="21"/>
                <w:szCs w:val="21"/>
              </w:rPr>
            </w:pPr>
          </w:p>
        </w:tc>
        <w:tc>
          <w:tcPr>
            <w:tcW w:w="612" w:type="dxa"/>
            <w:tcBorders>
              <w:left w:val="double" w:color="auto" w:sz="4" w:space="0"/>
            </w:tcBorders>
            <w:vAlign w:val="center"/>
          </w:tcPr>
          <w:p w14:paraId="4F9353FC">
            <w:pPr>
              <w:pStyle w:val="18"/>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6209DC10">
            <w:pPr>
              <w:pStyle w:val="18"/>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2F4C32C5">
            <w:pPr>
              <w:pStyle w:val="18"/>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19448B0E">
            <w:pPr>
              <w:pStyle w:val="18"/>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7597699B">
            <w:pPr>
              <w:pStyle w:val="18"/>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vAlign w:val="center"/>
          </w:tcPr>
          <w:p w14:paraId="4CBB5120">
            <w:pPr>
              <w:pStyle w:val="18"/>
              <w:widowControl w:val="0"/>
              <w:spacing w:line="240" w:lineRule="auto"/>
              <w:jc w:val="center"/>
              <w:rPr>
                <w:rFonts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14:paraId="49240F2B">
            <w:pPr>
              <w:pStyle w:val="18"/>
              <w:widowControl w:val="0"/>
              <w:spacing w:line="240" w:lineRule="auto"/>
              <w:jc w:val="center"/>
              <w:rPr>
                <w:rFonts w:ascii="黑体" w:hAnsi="黑体"/>
                <w:bCs/>
                <w:sz w:val="21"/>
                <w:szCs w:val="21"/>
              </w:rPr>
            </w:pPr>
          </w:p>
        </w:tc>
      </w:tr>
      <w:tr w14:paraId="73C7F153">
        <w:trPr>
          <w:trHeight w:val="454" w:hRule="atLeast"/>
        </w:trPr>
        <w:tc>
          <w:tcPr>
            <w:tcW w:w="836" w:type="dxa"/>
            <w:tcBorders>
              <w:left w:val="single" w:color="auto" w:sz="12" w:space="0"/>
            </w:tcBorders>
            <w:vAlign w:val="center"/>
          </w:tcPr>
          <w:p w14:paraId="0488B9A3">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0C464463">
            <w:pPr>
              <w:pStyle w:val="16"/>
              <w:widowControl w:val="0"/>
            </w:pPr>
            <w:r>
              <w:rPr>
                <w:rFonts w:hint="eastAsia"/>
              </w:rPr>
              <w:t>20%</w:t>
            </w:r>
          </w:p>
        </w:tc>
        <w:tc>
          <w:tcPr>
            <w:tcW w:w="2353" w:type="dxa"/>
            <w:tcBorders>
              <w:right w:val="double" w:color="auto" w:sz="4" w:space="0"/>
            </w:tcBorders>
            <w:vAlign w:val="center"/>
          </w:tcPr>
          <w:p w14:paraId="7EBA36D8">
            <w:pPr>
              <w:pStyle w:val="16"/>
              <w:widowControl w:val="0"/>
            </w:pPr>
            <w:r>
              <w:rPr>
                <w:rFonts w:hint="eastAsia"/>
              </w:rPr>
              <w:t>考查</w:t>
            </w:r>
          </w:p>
        </w:tc>
        <w:tc>
          <w:tcPr>
            <w:tcW w:w="612" w:type="dxa"/>
            <w:tcBorders>
              <w:left w:val="double" w:color="auto" w:sz="4" w:space="0"/>
            </w:tcBorders>
            <w:vAlign w:val="center"/>
          </w:tcPr>
          <w:p w14:paraId="48D6F51A">
            <w:pPr>
              <w:pStyle w:val="16"/>
              <w:widowControl w:val="0"/>
            </w:pPr>
          </w:p>
        </w:tc>
        <w:tc>
          <w:tcPr>
            <w:tcW w:w="612" w:type="dxa"/>
            <w:vAlign w:val="center"/>
          </w:tcPr>
          <w:p w14:paraId="7985D15D">
            <w:pPr>
              <w:pStyle w:val="16"/>
              <w:widowControl w:val="0"/>
            </w:pPr>
            <w:r>
              <w:rPr>
                <w:rFonts w:hint="eastAsia"/>
              </w:rPr>
              <w:t>√</w:t>
            </w:r>
          </w:p>
        </w:tc>
        <w:tc>
          <w:tcPr>
            <w:tcW w:w="612" w:type="dxa"/>
            <w:vAlign w:val="center"/>
          </w:tcPr>
          <w:p w14:paraId="1DBDE4B5">
            <w:pPr>
              <w:pStyle w:val="16"/>
              <w:widowControl w:val="0"/>
            </w:pPr>
            <w:r>
              <w:rPr>
                <w:rFonts w:hint="eastAsia"/>
              </w:rPr>
              <w:t>√</w:t>
            </w:r>
          </w:p>
        </w:tc>
        <w:tc>
          <w:tcPr>
            <w:tcW w:w="612" w:type="dxa"/>
            <w:vAlign w:val="center"/>
          </w:tcPr>
          <w:p w14:paraId="18FBBA6A">
            <w:pPr>
              <w:pStyle w:val="16"/>
              <w:widowControl w:val="0"/>
            </w:pPr>
          </w:p>
        </w:tc>
        <w:tc>
          <w:tcPr>
            <w:tcW w:w="612" w:type="dxa"/>
            <w:vAlign w:val="center"/>
          </w:tcPr>
          <w:p w14:paraId="0C2B3300">
            <w:pPr>
              <w:pStyle w:val="16"/>
              <w:widowControl w:val="0"/>
            </w:pPr>
          </w:p>
        </w:tc>
        <w:tc>
          <w:tcPr>
            <w:tcW w:w="612" w:type="dxa"/>
            <w:vAlign w:val="center"/>
          </w:tcPr>
          <w:p w14:paraId="70504D35">
            <w:pPr>
              <w:pStyle w:val="16"/>
              <w:widowControl w:val="0"/>
            </w:pPr>
            <w:r>
              <w:rPr>
                <w:rFonts w:hint="eastAsia"/>
              </w:rPr>
              <w:t>√</w:t>
            </w:r>
          </w:p>
        </w:tc>
        <w:tc>
          <w:tcPr>
            <w:tcW w:w="706" w:type="dxa"/>
            <w:tcBorders>
              <w:right w:val="single" w:color="auto" w:sz="12" w:space="0"/>
            </w:tcBorders>
            <w:vAlign w:val="center"/>
          </w:tcPr>
          <w:p w14:paraId="53AECBA9">
            <w:pPr>
              <w:pStyle w:val="16"/>
              <w:widowControl w:val="0"/>
            </w:pPr>
            <w:r>
              <w:rPr>
                <w:rFonts w:hint="eastAsia"/>
              </w:rPr>
              <w:t>1</w:t>
            </w:r>
            <w:r>
              <w:t>00</w:t>
            </w:r>
          </w:p>
        </w:tc>
      </w:tr>
      <w:tr w14:paraId="360FB5EB">
        <w:trPr>
          <w:trHeight w:val="454" w:hRule="atLeast"/>
        </w:trPr>
        <w:tc>
          <w:tcPr>
            <w:tcW w:w="836" w:type="dxa"/>
            <w:tcBorders>
              <w:left w:val="single" w:color="auto" w:sz="12" w:space="0"/>
            </w:tcBorders>
            <w:vAlign w:val="center"/>
          </w:tcPr>
          <w:p w14:paraId="588202AC">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0EAD74B4">
            <w:pPr>
              <w:pStyle w:val="16"/>
              <w:widowControl w:val="0"/>
            </w:pPr>
            <w:r>
              <w:rPr>
                <w:rFonts w:hint="eastAsia"/>
              </w:rPr>
              <w:t>20%</w:t>
            </w:r>
          </w:p>
        </w:tc>
        <w:tc>
          <w:tcPr>
            <w:tcW w:w="2353" w:type="dxa"/>
            <w:tcBorders>
              <w:right w:val="double" w:color="auto" w:sz="4" w:space="0"/>
            </w:tcBorders>
            <w:vAlign w:val="center"/>
          </w:tcPr>
          <w:p w14:paraId="2F62C64E">
            <w:pPr>
              <w:pStyle w:val="16"/>
              <w:widowControl w:val="0"/>
            </w:pPr>
            <w:r>
              <w:rPr>
                <w:rFonts w:hint="eastAsia"/>
              </w:rPr>
              <w:t>考查</w:t>
            </w:r>
          </w:p>
        </w:tc>
        <w:tc>
          <w:tcPr>
            <w:tcW w:w="612" w:type="dxa"/>
            <w:tcBorders>
              <w:left w:val="double" w:color="auto" w:sz="4" w:space="0"/>
            </w:tcBorders>
            <w:vAlign w:val="center"/>
          </w:tcPr>
          <w:p w14:paraId="7B5E588D">
            <w:pPr>
              <w:pStyle w:val="16"/>
              <w:widowControl w:val="0"/>
            </w:pPr>
          </w:p>
        </w:tc>
        <w:tc>
          <w:tcPr>
            <w:tcW w:w="612" w:type="dxa"/>
            <w:vAlign w:val="center"/>
          </w:tcPr>
          <w:p w14:paraId="6D781E98">
            <w:pPr>
              <w:pStyle w:val="16"/>
              <w:widowControl w:val="0"/>
            </w:pPr>
            <w:r>
              <w:rPr>
                <w:rFonts w:hint="eastAsia"/>
              </w:rPr>
              <w:t>√</w:t>
            </w:r>
          </w:p>
        </w:tc>
        <w:tc>
          <w:tcPr>
            <w:tcW w:w="612" w:type="dxa"/>
            <w:vAlign w:val="center"/>
          </w:tcPr>
          <w:p w14:paraId="343A9359">
            <w:pPr>
              <w:pStyle w:val="16"/>
              <w:widowControl w:val="0"/>
            </w:pPr>
            <w:r>
              <w:rPr>
                <w:rFonts w:hint="eastAsia"/>
              </w:rPr>
              <w:t>√</w:t>
            </w:r>
          </w:p>
        </w:tc>
        <w:tc>
          <w:tcPr>
            <w:tcW w:w="612" w:type="dxa"/>
            <w:vAlign w:val="center"/>
          </w:tcPr>
          <w:p w14:paraId="463386FD">
            <w:pPr>
              <w:pStyle w:val="16"/>
              <w:widowControl w:val="0"/>
            </w:pPr>
          </w:p>
        </w:tc>
        <w:tc>
          <w:tcPr>
            <w:tcW w:w="612" w:type="dxa"/>
            <w:vAlign w:val="center"/>
          </w:tcPr>
          <w:p w14:paraId="41CE6097">
            <w:pPr>
              <w:pStyle w:val="16"/>
              <w:widowControl w:val="0"/>
            </w:pPr>
          </w:p>
        </w:tc>
        <w:tc>
          <w:tcPr>
            <w:tcW w:w="612" w:type="dxa"/>
            <w:vAlign w:val="center"/>
          </w:tcPr>
          <w:p w14:paraId="255C620A">
            <w:pPr>
              <w:pStyle w:val="16"/>
              <w:widowControl w:val="0"/>
            </w:pPr>
            <w:r>
              <w:rPr>
                <w:rFonts w:hint="eastAsia"/>
              </w:rPr>
              <w:t>√</w:t>
            </w:r>
          </w:p>
        </w:tc>
        <w:tc>
          <w:tcPr>
            <w:tcW w:w="706" w:type="dxa"/>
            <w:tcBorders>
              <w:right w:val="single" w:color="auto" w:sz="12" w:space="0"/>
            </w:tcBorders>
            <w:vAlign w:val="center"/>
          </w:tcPr>
          <w:p w14:paraId="6429E3A9">
            <w:pPr>
              <w:pStyle w:val="16"/>
              <w:widowControl w:val="0"/>
            </w:pPr>
            <w:r>
              <w:rPr>
                <w:rFonts w:hint="eastAsia"/>
              </w:rPr>
              <w:t>1</w:t>
            </w:r>
            <w:r>
              <w:t>00</w:t>
            </w:r>
          </w:p>
        </w:tc>
      </w:tr>
      <w:tr w14:paraId="3E0CAFBC">
        <w:trPr>
          <w:trHeight w:val="454" w:hRule="atLeast"/>
        </w:trPr>
        <w:tc>
          <w:tcPr>
            <w:tcW w:w="836" w:type="dxa"/>
            <w:tcBorders>
              <w:left w:val="single" w:color="auto" w:sz="12" w:space="0"/>
            </w:tcBorders>
            <w:vAlign w:val="center"/>
          </w:tcPr>
          <w:p w14:paraId="13C2C4F3">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320A6A2E">
            <w:pPr>
              <w:pStyle w:val="16"/>
              <w:widowControl w:val="0"/>
            </w:pPr>
            <w:r>
              <w:rPr>
                <w:rFonts w:hint="eastAsia"/>
              </w:rPr>
              <w:t>60%</w:t>
            </w:r>
          </w:p>
        </w:tc>
        <w:tc>
          <w:tcPr>
            <w:tcW w:w="2353" w:type="dxa"/>
            <w:tcBorders>
              <w:right w:val="double" w:color="auto" w:sz="4" w:space="0"/>
            </w:tcBorders>
            <w:vAlign w:val="center"/>
          </w:tcPr>
          <w:p w14:paraId="549840A0">
            <w:pPr>
              <w:pStyle w:val="16"/>
              <w:widowControl w:val="0"/>
            </w:pPr>
            <w:r>
              <w:rPr>
                <w:rFonts w:hint="eastAsia"/>
              </w:rPr>
              <w:t>考查</w:t>
            </w:r>
          </w:p>
        </w:tc>
        <w:tc>
          <w:tcPr>
            <w:tcW w:w="612" w:type="dxa"/>
            <w:tcBorders>
              <w:left w:val="double" w:color="auto" w:sz="4" w:space="0"/>
            </w:tcBorders>
            <w:vAlign w:val="center"/>
          </w:tcPr>
          <w:p w14:paraId="6FF412C3">
            <w:pPr>
              <w:pStyle w:val="16"/>
              <w:widowControl w:val="0"/>
            </w:pPr>
            <w:r>
              <w:rPr>
                <w:rFonts w:hint="eastAsia"/>
              </w:rPr>
              <w:t>√</w:t>
            </w:r>
          </w:p>
        </w:tc>
        <w:tc>
          <w:tcPr>
            <w:tcW w:w="612" w:type="dxa"/>
            <w:vAlign w:val="center"/>
          </w:tcPr>
          <w:p w14:paraId="0180BE7A">
            <w:pPr>
              <w:pStyle w:val="16"/>
              <w:widowControl w:val="0"/>
            </w:pPr>
            <w:r>
              <w:rPr>
                <w:rFonts w:hint="eastAsia"/>
              </w:rPr>
              <w:t>√</w:t>
            </w:r>
          </w:p>
        </w:tc>
        <w:tc>
          <w:tcPr>
            <w:tcW w:w="612" w:type="dxa"/>
            <w:vAlign w:val="center"/>
          </w:tcPr>
          <w:p w14:paraId="4317F6B5">
            <w:pPr>
              <w:pStyle w:val="16"/>
              <w:widowControl w:val="0"/>
            </w:pPr>
            <w:r>
              <w:rPr>
                <w:rFonts w:hint="eastAsia"/>
              </w:rPr>
              <w:t>√</w:t>
            </w:r>
          </w:p>
        </w:tc>
        <w:tc>
          <w:tcPr>
            <w:tcW w:w="612" w:type="dxa"/>
            <w:vAlign w:val="center"/>
          </w:tcPr>
          <w:p w14:paraId="096053ED">
            <w:pPr>
              <w:pStyle w:val="16"/>
              <w:widowControl w:val="0"/>
            </w:pPr>
            <w:r>
              <w:rPr>
                <w:rFonts w:hint="eastAsia"/>
              </w:rPr>
              <w:t>√</w:t>
            </w:r>
          </w:p>
        </w:tc>
        <w:tc>
          <w:tcPr>
            <w:tcW w:w="612" w:type="dxa"/>
            <w:vAlign w:val="center"/>
          </w:tcPr>
          <w:p w14:paraId="4F8065B1">
            <w:pPr>
              <w:pStyle w:val="16"/>
              <w:widowControl w:val="0"/>
            </w:pPr>
            <w:r>
              <w:rPr>
                <w:rFonts w:hint="eastAsia"/>
              </w:rPr>
              <w:t>√</w:t>
            </w:r>
          </w:p>
        </w:tc>
        <w:tc>
          <w:tcPr>
            <w:tcW w:w="612" w:type="dxa"/>
            <w:vAlign w:val="center"/>
          </w:tcPr>
          <w:p w14:paraId="0BCA12CB">
            <w:pPr>
              <w:pStyle w:val="16"/>
              <w:widowControl w:val="0"/>
            </w:pPr>
            <w:r>
              <w:rPr>
                <w:rFonts w:hint="eastAsia"/>
              </w:rPr>
              <w:t>√</w:t>
            </w:r>
          </w:p>
        </w:tc>
        <w:tc>
          <w:tcPr>
            <w:tcW w:w="706" w:type="dxa"/>
            <w:tcBorders>
              <w:right w:val="single" w:color="auto" w:sz="12" w:space="0"/>
            </w:tcBorders>
            <w:vAlign w:val="center"/>
          </w:tcPr>
          <w:p w14:paraId="623FA0E7">
            <w:pPr>
              <w:pStyle w:val="16"/>
              <w:widowControl w:val="0"/>
            </w:pPr>
            <w:r>
              <w:rPr>
                <w:rFonts w:hint="eastAsia"/>
              </w:rPr>
              <w:t>1</w:t>
            </w:r>
            <w:r>
              <w:t>00</w:t>
            </w:r>
          </w:p>
        </w:tc>
      </w:tr>
    </w:tbl>
    <w:p w14:paraId="01D6EE2E">
      <w:pPr>
        <w:pStyle w:val="19"/>
        <w:spacing w:before="326" w:beforeLines="100" w:after="163"/>
        <w:rPr>
          <w:rFonts w:ascii="黑体" w:hAnsi="宋体"/>
        </w:rPr>
      </w:pPr>
      <w:bookmarkStart w:id="4" w:name="_GoBack"/>
      <w:bookmarkEnd w:id="4"/>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DengXian">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Helvetica">
    <w:panose1 w:val="00000000000000000000"/>
    <w:charset w:val="00"/>
    <w:family w:val="auto"/>
    <w:pitch w:val="default"/>
    <w:sig w:usb0="E00002FF" w:usb1="5000785B" w:usb2="00000000" w:usb3="00000000" w:csb0="2000019F" w:csb1="4F01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等线KW">
    <w:panose1 w:val="01010104010101010101"/>
    <w:charset w:val="86"/>
    <w:family w:val="auto"/>
    <w:pitch w:val="default"/>
    <w:sig w:usb0="800002BF" w:usb1="004F7CFA" w:usb2="00000000" w:usb3="00000000" w:csb0="00040001"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2888E">
    <w:pPr>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A9B234D">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C+4ZKZ1AAAAAkBAAAPAAAAAAAAAAEAIAAAADgAAABkcnMvZG93bnJl&#10;di54bWxQSwECFAAUAAAACACHTuJAE483810CAAClBAAADgAAAAAAAAABACAAAAA5AQAAZHJzL2Uy&#10;b0RvYy54bWxQSwUGAAAAAAYABgBZAQAACAYAAAAA&#10;">
              <v:fill on="t" focussize="0,0"/>
              <v:stroke on="f" weight="0.5pt"/>
              <v:imagedata o:title=""/>
              <o:lock v:ext="edit" aspectratio="f"/>
              <v:textbox>
                <w:txbxContent>
                  <w:p w14:paraId="2A9B234D">
                    <w:pPr>
                      <w:rPr>
                        <w:rFonts w:ascii="Times New Roman" w:hAnsi="Times New Roman"/>
                      </w:rPr>
                    </w:pPr>
                    <w:r>
                      <w:rPr>
                        <w:rFonts w:ascii="Times New Roman" w:hAnsi="Times New Roman"/>
                      </w:rPr>
                      <w:t>SJQU-QR-JW-056（A0）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185BD6"/>
    <w:multiLevelType w:val="multilevel"/>
    <w:tmpl w:val="19185BD6"/>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405361E9"/>
    <w:multiLevelType w:val="multilevel"/>
    <w:tmpl w:val="405361E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ZWFkMzhhNjc0NzYwYjI3ZjA5M2Q0MGFlNTkyYzkifQ=="/>
  </w:docVars>
  <w:rsids>
    <w:rsidRoot w:val="00B7651F"/>
    <w:rsid w:val="00005D92"/>
    <w:rsid w:val="00010438"/>
    <w:rsid w:val="000203E0"/>
    <w:rsid w:val="000210E0"/>
    <w:rsid w:val="00023965"/>
    <w:rsid w:val="00033082"/>
    <w:rsid w:val="00042697"/>
    <w:rsid w:val="0006001D"/>
    <w:rsid w:val="000634A6"/>
    <w:rsid w:val="000656D4"/>
    <w:rsid w:val="00066041"/>
    <w:rsid w:val="0007448A"/>
    <w:rsid w:val="00075686"/>
    <w:rsid w:val="00077A2D"/>
    <w:rsid w:val="00077F47"/>
    <w:rsid w:val="0008122A"/>
    <w:rsid w:val="00082C4B"/>
    <w:rsid w:val="00087488"/>
    <w:rsid w:val="000944E8"/>
    <w:rsid w:val="000976DB"/>
    <w:rsid w:val="000A4E73"/>
    <w:rsid w:val="000A6D2E"/>
    <w:rsid w:val="000B1BD2"/>
    <w:rsid w:val="000B3B8E"/>
    <w:rsid w:val="000C0F0D"/>
    <w:rsid w:val="000C6E8A"/>
    <w:rsid w:val="000D28E5"/>
    <w:rsid w:val="000D34D7"/>
    <w:rsid w:val="000D55D4"/>
    <w:rsid w:val="000E37C5"/>
    <w:rsid w:val="000E604B"/>
    <w:rsid w:val="000F6414"/>
    <w:rsid w:val="00100633"/>
    <w:rsid w:val="001072BC"/>
    <w:rsid w:val="0011026D"/>
    <w:rsid w:val="00110371"/>
    <w:rsid w:val="00114BD6"/>
    <w:rsid w:val="00126491"/>
    <w:rsid w:val="00130F6D"/>
    <w:rsid w:val="001329FC"/>
    <w:rsid w:val="00142C42"/>
    <w:rsid w:val="00144082"/>
    <w:rsid w:val="001577BD"/>
    <w:rsid w:val="00163A48"/>
    <w:rsid w:val="00164E36"/>
    <w:rsid w:val="0016786A"/>
    <w:rsid w:val="00183AA1"/>
    <w:rsid w:val="00190E3F"/>
    <w:rsid w:val="001A068C"/>
    <w:rsid w:val="001A135C"/>
    <w:rsid w:val="001A72D7"/>
    <w:rsid w:val="001B0D49"/>
    <w:rsid w:val="001B546F"/>
    <w:rsid w:val="001B55E5"/>
    <w:rsid w:val="001C0A76"/>
    <w:rsid w:val="001C2E3E"/>
    <w:rsid w:val="001C388D"/>
    <w:rsid w:val="001D0453"/>
    <w:rsid w:val="001E1D2D"/>
    <w:rsid w:val="001E32B7"/>
    <w:rsid w:val="001E4230"/>
    <w:rsid w:val="001E5A17"/>
    <w:rsid w:val="001F332E"/>
    <w:rsid w:val="001F37CB"/>
    <w:rsid w:val="001F4610"/>
    <w:rsid w:val="001F4920"/>
    <w:rsid w:val="002009A8"/>
    <w:rsid w:val="00200AF0"/>
    <w:rsid w:val="002056AB"/>
    <w:rsid w:val="002125E7"/>
    <w:rsid w:val="00217861"/>
    <w:rsid w:val="002204E4"/>
    <w:rsid w:val="002211BF"/>
    <w:rsid w:val="00232CD3"/>
    <w:rsid w:val="002339E7"/>
    <w:rsid w:val="00233F15"/>
    <w:rsid w:val="002362EC"/>
    <w:rsid w:val="002420F1"/>
    <w:rsid w:val="00253AC8"/>
    <w:rsid w:val="00256B39"/>
    <w:rsid w:val="0025768A"/>
    <w:rsid w:val="0026033C"/>
    <w:rsid w:val="0027339A"/>
    <w:rsid w:val="00274E82"/>
    <w:rsid w:val="002757AB"/>
    <w:rsid w:val="0027777C"/>
    <w:rsid w:val="00277FE7"/>
    <w:rsid w:val="00285625"/>
    <w:rsid w:val="002877FA"/>
    <w:rsid w:val="00290962"/>
    <w:rsid w:val="002A4649"/>
    <w:rsid w:val="002A7227"/>
    <w:rsid w:val="002B0773"/>
    <w:rsid w:val="002B0C48"/>
    <w:rsid w:val="002B13CA"/>
    <w:rsid w:val="002B7322"/>
    <w:rsid w:val="002C58B6"/>
    <w:rsid w:val="002C6DDD"/>
    <w:rsid w:val="002D0E86"/>
    <w:rsid w:val="002D7C47"/>
    <w:rsid w:val="002E33CE"/>
    <w:rsid w:val="002E3567"/>
    <w:rsid w:val="002E3721"/>
    <w:rsid w:val="002E5EA0"/>
    <w:rsid w:val="002F1B12"/>
    <w:rsid w:val="002F3157"/>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5C74"/>
    <w:rsid w:val="003C61A5"/>
    <w:rsid w:val="003C72F4"/>
    <w:rsid w:val="003D1968"/>
    <w:rsid w:val="003D4994"/>
    <w:rsid w:val="003E10A5"/>
    <w:rsid w:val="003E7D72"/>
    <w:rsid w:val="003F3923"/>
    <w:rsid w:val="003F43F6"/>
    <w:rsid w:val="0040433E"/>
    <w:rsid w:val="0040726A"/>
    <w:rsid w:val="004100B0"/>
    <w:rsid w:val="0041267F"/>
    <w:rsid w:val="00424BA5"/>
    <w:rsid w:val="00425431"/>
    <w:rsid w:val="00431829"/>
    <w:rsid w:val="00431B5F"/>
    <w:rsid w:val="004405E6"/>
    <w:rsid w:val="00443C84"/>
    <w:rsid w:val="004540AA"/>
    <w:rsid w:val="00456BD8"/>
    <w:rsid w:val="00456DC8"/>
    <w:rsid w:val="0046549D"/>
    <w:rsid w:val="00471668"/>
    <w:rsid w:val="00481F98"/>
    <w:rsid w:val="004852BF"/>
    <w:rsid w:val="00487A46"/>
    <w:rsid w:val="00494579"/>
    <w:rsid w:val="004968F2"/>
    <w:rsid w:val="00496AC0"/>
    <w:rsid w:val="00497334"/>
    <w:rsid w:val="004A1BDF"/>
    <w:rsid w:val="004A4D68"/>
    <w:rsid w:val="004B408D"/>
    <w:rsid w:val="004B6F68"/>
    <w:rsid w:val="004B73F7"/>
    <w:rsid w:val="004D4FB3"/>
    <w:rsid w:val="004D75A6"/>
    <w:rsid w:val="004E3456"/>
    <w:rsid w:val="004E4889"/>
    <w:rsid w:val="004F1DBB"/>
    <w:rsid w:val="004F3DF0"/>
    <w:rsid w:val="00502362"/>
    <w:rsid w:val="005074E1"/>
    <w:rsid w:val="00510B09"/>
    <w:rsid w:val="005126F1"/>
    <w:rsid w:val="0051358A"/>
    <w:rsid w:val="00513F2F"/>
    <w:rsid w:val="0051612A"/>
    <w:rsid w:val="00517176"/>
    <w:rsid w:val="005228CA"/>
    <w:rsid w:val="00524300"/>
    <w:rsid w:val="00526288"/>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56F19"/>
    <w:rsid w:val="00571DF1"/>
    <w:rsid w:val="0059045B"/>
    <w:rsid w:val="005A13AB"/>
    <w:rsid w:val="005B1150"/>
    <w:rsid w:val="005B1FFC"/>
    <w:rsid w:val="005B2B6D"/>
    <w:rsid w:val="005B36F9"/>
    <w:rsid w:val="005B4B4E"/>
    <w:rsid w:val="005C424E"/>
    <w:rsid w:val="005D5B6F"/>
    <w:rsid w:val="005D5F10"/>
    <w:rsid w:val="005E38A5"/>
    <w:rsid w:val="005E59A4"/>
    <w:rsid w:val="005F5185"/>
    <w:rsid w:val="006042A0"/>
    <w:rsid w:val="006128C8"/>
    <w:rsid w:val="00616096"/>
    <w:rsid w:val="0062115C"/>
    <w:rsid w:val="0062265B"/>
    <w:rsid w:val="00624B5C"/>
    <w:rsid w:val="00624FE1"/>
    <w:rsid w:val="0062577D"/>
    <w:rsid w:val="006331EE"/>
    <w:rsid w:val="006355E6"/>
    <w:rsid w:val="00635C1E"/>
    <w:rsid w:val="0063776A"/>
    <w:rsid w:val="00637E00"/>
    <w:rsid w:val="0065167D"/>
    <w:rsid w:val="00652D13"/>
    <w:rsid w:val="0066595A"/>
    <w:rsid w:val="00666206"/>
    <w:rsid w:val="00666ED3"/>
    <w:rsid w:val="00671F67"/>
    <w:rsid w:val="00672788"/>
    <w:rsid w:val="00680DA3"/>
    <w:rsid w:val="0068377F"/>
    <w:rsid w:val="00691970"/>
    <w:rsid w:val="00691B24"/>
    <w:rsid w:val="00695B93"/>
    <w:rsid w:val="006978C1"/>
    <w:rsid w:val="00697C16"/>
    <w:rsid w:val="006A478F"/>
    <w:rsid w:val="006A5A89"/>
    <w:rsid w:val="006B2D7F"/>
    <w:rsid w:val="006B3BB9"/>
    <w:rsid w:val="006B48AC"/>
    <w:rsid w:val="006B5977"/>
    <w:rsid w:val="006D1B59"/>
    <w:rsid w:val="006D2F9C"/>
    <w:rsid w:val="006E5CA9"/>
    <w:rsid w:val="006E5E98"/>
    <w:rsid w:val="006F07B8"/>
    <w:rsid w:val="006F3151"/>
    <w:rsid w:val="007056DE"/>
    <w:rsid w:val="00706121"/>
    <w:rsid w:val="00710B6B"/>
    <w:rsid w:val="00712A2C"/>
    <w:rsid w:val="00712E84"/>
    <w:rsid w:val="00714914"/>
    <w:rsid w:val="007208D6"/>
    <w:rsid w:val="00726786"/>
    <w:rsid w:val="00732152"/>
    <w:rsid w:val="00742E7A"/>
    <w:rsid w:val="0074424F"/>
    <w:rsid w:val="00774C1F"/>
    <w:rsid w:val="00776D86"/>
    <w:rsid w:val="0078248F"/>
    <w:rsid w:val="0078676A"/>
    <w:rsid w:val="007934A4"/>
    <w:rsid w:val="007A0AC9"/>
    <w:rsid w:val="007A1B70"/>
    <w:rsid w:val="007A49D7"/>
    <w:rsid w:val="007A57F6"/>
    <w:rsid w:val="007B4FFB"/>
    <w:rsid w:val="007B5898"/>
    <w:rsid w:val="007B6423"/>
    <w:rsid w:val="007C0BCE"/>
    <w:rsid w:val="007C3566"/>
    <w:rsid w:val="007C794A"/>
    <w:rsid w:val="007D5A33"/>
    <w:rsid w:val="007E620F"/>
    <w:rsid w:val="007E663C"/>
    <w:rsid w:val="007E7795"/>
    <w:rsid w:val="0080066B"/>
    <w:rsid w:val="00803578"/>
    <w:rsid w:val="008036DF"/>
    <w:rsid w:val="00811A86"/>
    <w:rsid w:val="00815B8E"/>
    <w:rsid w:val="00816D99"/>
    <w:rsid w:val="00817EA1"/>
    <w:rsid w:val="0082324C"/>
    <w:rsid w:val="00823D71"/>
    <w:rsid w:val="008245AF"/>
    <w:rsid w:val="0082699E"/>
    <w:rsid w:val="00833778"/>
    <w:rsid w:val="0083705D"/>
    <w:rsid w:val="00840C6F"/>
    <w:rsid w:val="0084242F"/>
    <w:rsid w:val="00861D05"/>
    <w:rsid w:val="00871DCB"/>
    <w:rsid w:val="00874D6F"/>
    <w:rsid w:val="00877DAE"/>
    <w:rsid w:val="008901A2"/>
    <w:rsid w:val="008A08B0"/>
    <w:rsid w:val="008B0385"/>
    <w:rsid w:val="008B188E"/>
    <w:rsid w:val="008B397C"/>
    <w:rsid w:val="008B47F4"/>
    <w:rsid w:val="008B70B6"/>
    <w:rsid w:val="008B7448"/>
    <w:rsid w:val="008B7E1E"/>
    <w:rsid w:val="008C2AE6"/>
    <w:rsid w:val="008C2DE8"/>
    <w:rsid w:val="008C31EC"/>
    <w:rsid w:val="008C34F3"/>
    <w:rsid w:val="008C5113"/>
    <w:rsid w:val="008C5B8A"/>
    <w:rsid w:val="008D3D5F"/>
    <w:rsid w:val="008D4E81"/>
    <w:rsid w:val="008D6232"/>
    <w:rsid w:val="008E0F55"/>
    <w:rsid w:val="008F2339"/>
    <w:rsid w:val="008F253F"/>
    <w:rsid w:val="00900019"/>
    <w:rsid w:val="0090362C"/>
    <w:rsid w:val="009147D6"/>
    <w:rsid w:val="00925F8C"/>
    <w:rsid w:val="00927324"/>
    <w:rsid w:val="0093161D"/>
    <w:rsid w:val="00932ED7"/>
    <w:rsid w:val="00941B89"/>
    <w:rsid w:val="00941DEA"/>
    <w:rsid w:val="00970E8C"/>
    <w:rsid w:val="00971671"/>
    <w:rsid w:val="00976FFF"/>
    <w:rsid w:val="009830B2"/>
    <w:rsid w:val="0099063E"/>
    <w:rsid w:val="00992356"/>
    <w:rsid w:val="00994793"/>
    <w:rsid w:val="00996AE3"/>
    <w:rsid w:val="009A1E27"/>
    <w:rsid w:val="009B04E7"/>
    <w:rsid w:val="009B14E8"/>
    <w:rsid w:val="009B4B85"/>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2A12"/>
    <w:rsid w:val="00A333EF"/>
    <w:rsid w:val="00A60C2B"/>
    <w:rsid w:val="00A754C8"/>
    <w:rsid w:val="00A76199"/>
    <w:rsid w:val="00A76411"/>
    <w:rsid w:val="00A769B1"/>
    <w:rsid w:val="00A77DA3"/>
    <w:rsid w:val="00A837D5"/>
    <w:rsid w:val="00A83E04"/>
    <w:rsid w:val="00A91091"/>
    <w:rsid w:val="00A93EE3"/>
    <w:rsid w:val="00A9614A"/>
    <w:rsid w:val="00AA05A0"/>
    <w:rsid w:val="00AA46CB"/>
    <w:rsid w:val="00AA4970"/>
    <w:rsid w:val="00AA536D"/>
    <w:rsid w:val="00AA5B52"/>
    <w:rsid w:val="00AA6494"/>
    <w:rsid w:val="00AB22C0"/>
    <w:rsid w:val="00AC40F1"/>
    <w:rsid w:val="00AC4A9B"/>
    <w:rsid w:val="00AC4C45"/>
    <w:rsid w:val="00AD1085"/>
    <w:rsid w:val="00AD5B40"/>
    <w:rsid w:val="00AD71BD"/>
    <w:rsid w:val="00AE61FA"/>
    <w:rsid w:val="00AE69E9"/>
    <w:rsid w:val="00AF30B9"/>
    <w:rsid w:val="00AF350B"/>
    <w:rsid w:val="00AF43DF"/>
    <w:rsid w:val="00AF67A4"/>
    <w:rsid w:val="00AF7510"/>
    <w:rsid w:val="00B10EEC"/>
    <w:rsid w:val="00B12D31"/>
    <w:rsid w:val="00B15F6E"/>
    <w:rsid w:val="00B21BEE"/>
    <w:rsid w:val="00B23284"/>
    <w:rsid w:val="00B37D43"/>
    <w:rsid w:val="00B46F21"/>
    <w:rsid w:val="00B511A5"/>
    <w:rsid w:val="00B51CDE"/>
    <w:rsid w:val="00B56541"/>
    <w:rsid w:val="00B605ED"/>
    <w:rsid w:val="00B71F97"/>
    <w:rsid w:val="00B72538"/>
    <w:rsid w:val="00B736A7"/>
    <w:rsid w:val="00B753C5"/>
    <w:rsid w:val="00B7651F"/>
    <w:rsid w:val="00B815DE"/>
    <w:rsid w:val="00B94A16"/>
    <w:rsid w:val="00BA2348"/>
    <w:rsid w:val="00BA6044"/>
    <w:rsid w:val="00BB5B31"/>
    <w:rsid w:val="00BB5CF2"/>
    <w:rsid w:val="00BB6BA0"/>
    <w:rsid w:val="00BC2625"/>
    <w:rsid w:val="00BC3200"/>
    <w:rsid w:val="00BC338A"/>
    <w:rsid w:val="00BD7AB0"/>
    <w:rsid w:val="00BD7E8C"/>
    <w:rsid w:val="00BE005E"/>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291A"/>
    <w:rsid w:val="00C5350C"/>
    <w:rsid w:val="00C56E09"/>
    <w:rsid w:val="00C61B1B"/>
    <w:rsid w:val="00C66F2E"/>
    <w:rsid w:val="00C673D1"/>
    <w:rsid w:val="00C746CB"/>
    <w:rsid w:val="00C775C2"/>
    <w:rsid w:val="00C81564"/>
    <w:rsid w:val="00C9080C"/>
    <w:rsid w:val="00CA18FD"/>
    <w:rsid w:val="00CA3C8C"/>
    <w:rsid w:val="00CA4897"/>
    <w:rsid w:val="00CA6928"/>
    <w:rsid w:val="00CB3D3F"/>
    <w:rsid w:val="00CB5A1A"/>
    <w:rsid w:val="00CC39B0"/>
    <w:rsid w:val="00CC53D3"/>
    <w:rsid w:val="00CC59E6"/>
    <w:rsid w:val="00CD5BDD"/>
    <w:rsid w:val="00CE560F"/>
    <w:rsid w:val="00CF096B"/>
    <w:rsid w:val="00CF10F7"/>
    <w:rsid w:val="00CF5EA3"/>
    <w:rsid w:val="00CF5EE3"/>
    <w:rsid w:val="00CF691F"/>
    <w:rsid w:val="00D00898"/>
    <w:rsid w:val="00D026DC"/>
    <w:rsid w:val="00D11F44"/>
    <w:rsid w:val="00D15595"/>
    <w:rsid w:val="00D25F66"/>
    <w:rsid w:val="00D3328B"/>
    <w:rsid w:val="00D44860"/>
    <w:rsid w:val="00D47689"/>
    <w:rsid w:val="00D50C42"/>
    <w:rsid w:val="00D57CF5"/>
    <w:rsid w:val="00D612BC"/>
    <w:rsid w:val="00D62F98"/>
    <w:rsid w:val="00D66FD6"/>
    <w:rsid w:val="00D8285B"/>
    <w:rsid w:val="00D86619"/>
    <w:rsid w:val="00D915E2"/>
    <w:rsid w:val="00D9311B"/>
    <w:rsid w:val="00D93E7C"/>
    <w:rsid w:val="00DA0FF2"/>
    <w:rsid w:val="00DB2BE6"/>
    <w:rsid w:val="00DB604B"/>
    <w:rsid w:val="00DB6793"/>
    <w:rsid w:val="00DB76B3"/>
    <w:rsid w:val="00DC4A84"/>
    <w:rsid w:val="00DD0A5A"/>
    <w:rsid w:val="00DD1052"/>
    <w:rsid w:val="00DD3C7B"/>
    <w:rsid w:val="00DD4C54"/>
    <w:rsid w:val="00DD6564"/>
    <w:rsid w:val="00DE2B21"/>
    <w:rsid w:val="00DE48DE"/>
    <w:rsid w:val="00DF25F2"/>
    <w:rsid w:val="00DF4166"/>
    <w:rsid w:val="00E000F4"/>
    <w:rsid w:val="00E01231"/>
    <w:rsid w:val="00E04279"/>
    <w:rsid w:val="00E06A02"/>
    <w:rsid w:val="00E11393"/>
    <w:rsid w:val="00E125D9"/>
    <w:rsid w:val="00E16D30"/>
    <w:rsid w:val="00E20936"/>
    <w:rsid w:val="00E31E69"/>
    <w:rsid w:val="00E33169"/>
    <w:rsid w:val="00E34A7B"/>
    <w:rsid w:val="00E40973"/>
    <w:rsid w:val="00E5023B"/>
    <w:rsid w:val="00E50B2B"/>
    <w:rsid w:val="00E545FF"/>
    <w:rsid w:val="00E6080E"/>
    <w:rsid w:val="00E62524"/>
    <w:rsid w:val="00E64168"/>
    <w:rsid w:val="00E66B0E"/>
    <w:rsid w:val="00E7081D"/>
    <w:rsid w:val="00E70904"/>
    <w:rsid w:val="00E71319"/>
    <w:rsid w:val="00E75171"/>
    <w:rsid w:val="00E8501B"/>
    <w:rsid w:val="00E86772"/>
    <w:rsid w:val="00E90B8B"/>
    <w:rsid w:val="00E93ADD"/>
    <w:rsid w:val="00E952D8"/>
    <w:rsid w:val="00EA6473"/>
    <w:rsid w:val="00EB00E4"/>
    <w:rsid w:val="00EB28DA"/>
    <w:rsid w:val="00EB3812"/>
    <w:rsid w:val="00EB44EB"/>
    <w:rsid w:val="00EB45BC"/>
    <w:rsid w:val="00EB66B8"/>
    <w:rsid w:val="00EB791E"/>
    <w:rsid w:val="00EC2EAF"/>
    <w:rsid w:val="00EC70A9"/>
    <w:rsid w:val="00ED2474"/>
    <w:rsid w:val="00ED4C3A"/>
    <w:rsid w:val="00ED5492"/>
    <w:rsid w:val="00EE1C85"/>
    <w:rsid w:val="00EF21D9"/>
    <w:rsid w:val="00EF2A94"/>
    <w:rsid w:val="00EF32FB"/>
    <w:rsid w:val="00EF44B1"/>
    <w:rsid w:val="00EF45CD"/>
    <w:rsid w:val="00EF4865"/>
    <w:rsid w:val="00F03BFF"/>
    <w:rsid w:val="00F048A7"/>
    <w:rsid w:val="00F100D2"/>
    <w:rsid w:val="00F12942"/>
    <w:rsid w:val="00F14886"/>
    <w:rsid w:val="00F16421"/>
    <w:rsid w:val="00F201EE"/>
    <w:rsid w:val="00F20B5D"/>
    <w:rsid w:val="00F23637"/>
    <w:rsid w:val="00F318B6"/>
    <w:rsid w:val="00F35AA0"/>
    <w:rsid w:val="00F43C49"/>
    <w:rsid w:val="00F45C12"/>
    <w:rsid w:val="00F544A2"/>
    <w:rsid w:val="00F568E1"/>
    <w:rsid w:val="00F644D2"/>
    <w:rsid w:val="00F65F51"/>
    <w:rsid w:val="00F67E65"/>
    <w:rsid w:val="00F76CB9"/>
    <w:rsid w:val="00F77A73"/>
    <w:rsid w:val="00F96236"/>
    <w:rsid w:val="00F9663C"/>
    <w:rsid w:val="00FA10CE"/>
    <w:rsid w:val="00FA222F"/>
    <w:rsid w:val="00FA2891"/>
    <w:rsid w:val="00FB693D"/>
    <w:rsid w:val="00FB7768"/>
    <w:rsid w:val="00FC7489"/>
    <w:rsid w:val="00FD1BA8"/>
    <w:rsid w:val="00FD218F"/>
    <w:rsid w:val="00FD5663"/>
    <w:rsid w:val="00FD56C6"/>
    <w:rsid w:val="00FE3221"/>
    <w:rsid w:val="00FE571F"/>
    <w:rsid w:val="00FF47F6"/>
    <w:rsid w:val="00FF7F68"/>
    <w:rsid w:val="016E63C2"/>
    <w:rsid w:val="024B0C39"/>
    <w:rsid w:val="0A8128A6"/>
    <w:rsid w:val="0BF32A1B"/>
    <w:rsid w:val="10BD2C22"/>
    <w:rsid w:val="22987C80"/>
    <w:rsid w:val="24192CCC"/>
    <w:rsid w:val="39A66CD4"/>
    <w:rsid w:val="3CD52CE1"/>
    <w:rsid w:val="410F2E6A"/>
    <w:rsid w:val="4430136C"/>
    <w:rsid w:val="4AB0382B"/>
    <w:rsid w:val="54600CF1"/>
    <w:rsid w:val="569868B5"/>
    <w:rsid w:val="611F6817"/>
    <w:rsid w:val="66CA1754"/>
    <w:rsid w:val="6F1E65D4"/>
    <w:rsid w:val="6F266C86"/>
    <w:rsid w:val="6F5042C2"/>
    <w:rsid w:val="74316312"/>
    <w:rsid w:val="780F13C8"/>
    <w:rsid w:val="7C385448"/>
    <w:rsid w:val="7CB3663D"/>
    <w:rsid w:val="7CF1DF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semiHidden="0"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2"/>
    <w:qFormat/>
    <w:uiPriority w:val="99"/>
    <w:pPr>
      <w:widowControl w:val="0"/>
    </w:pPr>
    <w:rPr>
      <w:rFonts w:ascii="Times New Roman" w:hAnsi="Times New Roman" w:cs="Times New Roman"/>
      <w:kern w:val="2"/>
      <w:sz w:val="21"/>
    </w:rPr>
  </w:style>
  <w:style w:type="paragraph" w:styleId="4">
    <w:name w:val="footer"/>
    <w:basedOn w:val="1"/>
    <w:link w:val="14"/>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oc 6"/>
    <w:basedOn w:val="1"/>
    <w:next w:val="1"/>
    <w:unhideWhenUsed/>
    <w:uiPriority w:val="39"/>
    <w:pPr>
      <w:widowControl w:val="0"/>
      <w:ind w:left="2100" w:leftChars="1000"/>
      <w:jc w:val="both"/>
    </w:pPr>
    <w:rPr>
      <w:rFonts w:asciiTheme="minorHAnsi" w:hAnsiTheme="minorHAnsi" w:eastAsiaTheme="minorEastAsia" w:cstheme="minorBidi"/>
      <w:kern w:val="2"/>
      <w:sz w:val="21"/>
      <w:szCs w:val="22"/>
    </w:rPr>
  </w:style>
  <w:style w:type="paragraph" w:styleId="7">
    <w:name w:val="Normal (Web)"/>
    <w:basedOn w:val="1"/>
    <w:unhideWhenUsed/>
    <w:uiPriority w:val="99"/>
    <w:pPr>
      <w:spacing w:before="100" w:beforeAutospacing="1" w:after="100" w:afterAutospacing="1"/>
    </w:pPr>
  </w:style>
  <w:style w:type="paragraph" w:styleId="8">
    <w:name w:val="Title"/>
    <w:basedOn w:val="1"/>
    <w:next w:val="1"/>
    <w:link w:val="24"/>
    <w:qFormat/>
    <w:uiPriority w:val="10"/>
    <w:pPr>
      <w:widowControl w:val="0"/>
      <w:spacing w:after="80"/>
      <w:contextualSpacing/>
      <w:jc w:val="center"/>
    </w:pPr>
    <w:rPr>
      <w:rFonts w:asciiTheme="majorHAnsi" w:hAnsiTheme="majorHAnsi" w:eastAsiaTheme="majorEastAsia" w:cstheme="majorBidi"/>
      <w:spacing w:val="-10"/>
      <w:kern w:val="28"/>
      <w:sz w:val="56"/>
      <w:szCs w:val="56"/>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customStyle="1" w:styleId="13">
    <w:name w:val="页眉 字符"/>
    <w:basedOn w:val="11"/>
    <w:link w:val="5"/>
    <w:semiHidden/>
    <w:qFormat/>
    <w:uiPriority w:val="99"/>
    <w:rPr>
      <w:sz w:val="18"/>
      <w:szCs w:val="18"/>
    </w:rPr>
  </w:style>
  <w:style w:type="character" w:customStyle="1" w:styleId="14">
    <w:name w:val="页脚 字符"/>
    <w:basedOn w:val="11"/>
    <w:link w:val="4"/>
    <w:semiHidden/>
    <w:qFormat/>
    <w:uiPriority w:val="99"/>
    <w:rPr>
      <w:sz w:val="18"/>
      <w:szCs w:val="18"/>
    </w:rPr>
  </w:style>
  <w:style w:type="paragraph" w:customStyle="1" w:styleId="15">
    <w:name w:val="表格标题DG"/>
    <w:basedOn w:val="1"/>
    <w:qFormat/>
    <w:uiPriority w:val="0"/>
    <w:pPr>
      <w:snapToGrid w:val="0"/>
      <w:jc w:val="center"/>
    </w:pPr>
    <w:rPr>
      <w:rFonts w:ascii="Arial" w:hAnsi="Arial" w:eastAsia="黑体"/>
      <w:bCs/>
      <w:color w:val="000000"/>
      <w:sz w:val="21"/>
      <w:szCs w:val="20"/>
    </w:rPr>
  </w:style>
  <w:style w:type="paragraph" w:customStyle="1" w:styleId="16">
    <w:name w:val="表格正文DG"/>
    <w:basedOn w:val="1"/>
    <w:qFormat/>
    <w:uiPriority w:val="0"/>
    <w:pPr>
      <w:jc w:val="center"/>
    </w:pPr>
    <w:rPr>
      <w:rFonts w:ascii="Times New Roman" w:hAnsi="Times New Roman"/>
      <w:color w:val="000000"/>
      <w:sz w:val="21"/>
      <w:szCs w:val="21"/>
    </w:rPr>
  </w:style>
  <w:style w:type="paragraph" w:styleId="17">
    <w:name w:val="List Paragraph"/>
    <w:basedOn w:val="1"/>
    <w:unhideWhenUsed/>
    <w:qFormat/>
    <w:uiPriority w:val="34"/>
    <w:pPr>
      <w:ind w:firstLine="420" w:firstLineChars="200"/>
    </w:pPr>
  </w:style>
  <w:style w:type="paragraph" w:customStyle="1" w:styleId="18">
    <w:name w:val="一级标题DG"/>
    <w:basedOn w:val="1"/>
    <w:qFormat/>
    <w:uiPriority w:val="0"/>
    <w:pPr>
      <w:spacing w:line="480" w:lineRule="auto"/>
      <w:outlineLvl w:val="0"/>
    </w:pPr>
    <w:rPr>
      <w:rFonts w:ascii="Arial" w:hAnsi="Arial" w:eastAsia="黑体"/>
      <w:sz w:val="28"/>
    </w:rPr>
  </w:style>
  <w:style w:type="paragraph" w:customStyle="1" w:styleId="19">
    <w:name w:val="二级标题DG"/>
    <w:basedOn w:val="7"/>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20">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1">
    <w:name w:val="标题 1 字符"/>
    <w:basedOn w:val="11"/>
    <w:link w:val="2"/>
    <w:uiPriority w:val="9"/>
    <w:rPr>
      <w:rFonts w:ascii="Calibri" w:hAnsi="Calibri" w:eastAsia="宋体" w:cs="Times New Roman"/>
      <w:b/>
      <w:bCs/>
      <w:kern w:val="44"/>
      <w:sz w:val="44"/>
      <w:szCs w:val="44"/>
    </w:rPr>
  </w:style>
  <w:style w:type="character" w:customStyle="1" w:styleId="22">
    <w:name w:val="批注文字 字符"/>
    <w:basedOn w:val="11"/>
    <w:link w:val="3"/>
    <w:uiPriority w:val="99"/>
    <w:rPr>
      <w:rFonts w:ascii="Times New Roman" w:hAnsi="Times New Roman" w:eastAsia="宋体" w:cs="Times New Roman"/>
      <w:kern w:val="2"/>
      <w:sz w:val="21"/>
      <w:szCs w:val="24"/>
    </w:rPr>
  </w:style>
  <w:style w:type="character" w:customStyle="1" w:styleId="23">
    <w:name w:val="editor-text-node"/>
    <w:basedOn w:val="11"/>
    <w:uiPriority w:val="0"/>
  </w:style>
  <w:style w:type="character" w:customStyle="1" w:styleId="24">
    <w:name w:val="标题 字符"/>
    <w:basedOn w:val="11"/>
    <w:link w:val="8"/>
    <w:uiPriority w:val="10"/>
    <w:rPr>
      <w:rFonts w:asciiTheme="majorHAnsi" w:hAnsiTheme="majorHAnsi" w:eastAsiaTheme="majorEastAsia" w:cstheme="majorBidi"/>
      <w:spacing w:val="-10"/>
      <w:kern w:val="28"/>
      <w:sz w:val="56"/>
      <w:szCs w:val="5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410</Words>
  <Characters>2340</Characters>
  <Lines>19</Lines>
  <Paragraphs>5</Paragraphs>
  <TotalTime>0</TotalTime>
  <ScaleCrop>false</ScaleCrop>
  <LinksUpToDate>false</LinksUpToDate>
  <CharactersWithSpaces>2745</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2023-10-22T17:09:00Z</dcterms:created>
  <dc:creator>juvg</dc:creator>
  <cp:lastModifiedBy>假字稻遮劳</cp:lastModifiedBy>
  <cp:lastPrinted>2023-09-17T15:48:00Z</cp:lastPrinted>
  <dcterms:modified xsi:type="dcterms:W3CDTF">2024-09-25T22:22:25Z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7AC353F1EE8E4F678DA76F9D20FDCBF8_12</vt:lpwstr>
  </property>
</Properties>
</file>