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0FFB6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 学术写作与研究方法》课程教学大纲</w:t>
      </w:r>
    </w:p>
    <w:p w14:paraId="527FCD5E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1086"/>
      </w:tblGrid>
      <w:tr w14:paraId="7F685F3E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752E03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8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D3D9DD">
            <w:pPr>
              <w:widowControl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学术写作与研究方法</w:t>
            </w:r>
          </w:p>
        </w:tc>
      </w:tr>
      <w:tr w14:paraId="62BB748E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7CFCBA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5" w:type="dxa"/>
            <w:gridSpan w:val="6"/>
            <w:tcBorders>
              <w:right w:val="single" w:color="auto" w:sz="12" w:space="0"/>
            </w:tcBorders>
            <w:vAlign w:val="center"/>
          </w:tcPr>
          <w:p w14:paraId="5DECFD7C">
            <w:pPr>
              <w:widowControl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Theme="minorEastAsia" w:hAnsiTheme="minorEastAsia" w:eastAsiaTheme="minorEastAsia" w:cstheme="minorEastAsia"/>
              </w:rPr>
              <w:t>Academic  Writing and Research Method</w:t>
            </w:r>
          </w:p>
        </w:tc>
      </w:tr>
      <w:tr w14:paraId="3A94FB18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EBC40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7E333E7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202</w:t>
            </w:r>
            <w:r>
              <w:rPr>
                <w:rFonts w:asciiTheme="minorEastAsia" w:hAnsiTheme="minorEastAsia" w:eastAsiaTheme="minorEastAsia"/>
                <w:bCs/>
                <w:color w:val="000000"/>
              </w:rPr>
              <w:t>5008</w:t>
            </w:r>
          </w:p>
        </w:tc>
        <w:tc>
          <w:tcPr>
            <w:tcW w:w="2126" w:type="dxa"/>
            <w:gridSpan w:val="2"/>
            <w:vAlign w:val="center"/>
          </w:tcPr>
          <w:p w14:paraId="2A2C8A56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499" w:type="dxa"/>
            <w:gridSpan w:val="3"/>
            <w:tcBorders>
              <w:right w:val="single" w:color="auto" w:sz="12" w:space="0"/>
            </w:tcBorders>
            <w:vAlign w:val="center"/>
          </w:tcPr>
          <w:p w14:paraId="6BC137BC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60A6ADD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7790D5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6F22B35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5A28012C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E8B1891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28B6CE72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1086" w:type="dxa"/>
            <w:tcBorders>
              <w:right w:val="single" w:color="auto" w:sz="12" w:space="0"/>
            </w:tcBorders>
            <w:vAlign w:val="center"/>
          </w:tcPr>
          <w:p w14:paraId="7555B5EA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AD6667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29576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E7E15AB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4676C6C2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499" w:type="dxa"/>
            <w:gridSpan w:val="3"/>
            <w:tcBorders>
              <w:right w:val="single" w:color="auto" w:sz="12" w:space="0"/>
            </w:tcBorders>
            <w:vAlign w:val="center"/>
          </w:tcPr>
          <w:p w14:paraId="641714FB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日语专业四年级</w:t>
            </w:r>
          </w:p>
        </w:tc>
      </w:tr>
      <w:tr w14:paraId="574AF740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356E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FECBDFF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2126" w:type="dxa"/>
            <w:gridSpan w:val="2"/>
            <w:vAlign w:val="center"/>
          </w:tcPr>
          <w:p w14:paraId="4ECE28F5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499" w:type="dxa"/>
            <w:gridSpan w:val="3"/>
            <w:tcBorders>
              <w:right w:val="single" w:color="auto" w:sz="12" w:space="0"/>
            </w:tcBorders>
            <w:vAlign w:val="center"/>
          </w:tcPr>
          <w:p w14:paraId="2EE0922B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考察</w:t>
            </w:r>
          </w:p>
        </w:tc>
      </w:tr>
      <w:tr w14:paraId="45512AAE">
        <w:trPr>
          <w:trHeight w:val="40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2EFAB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C1CDF59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《日语学术与研究方法》华东理工大学出版社</w:t>
            </w:r>
          </w:p>
        </w:tc>
        <w:tc>
          <w:tcPr>
            <w:tcW w:w="1413" w:type="dxa"/>
            <w:gridSpan w:val="2"/>
            <w:vAlign w:val="center"/>
          </w:tcPr>
          <w:p w14:paraId="4602E294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29F0584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1086" w:type="dxa"/>
            <w:tcBorders>
              <w:right w:val="single" w:color="auto" w:sz="12" w:space="0"/>
            </w:tcBorders>
            <w:vAlign w:val="center"/>
          </w:tcPr>
          <w:p w14:paraId="047AD9F4">
            <w:pPr>
              <w:widowControl w:val="0"/>
              <w:ind w:left="120" w:leftChars="50"/>
              <w:jc w:val="left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2488718">
        <w:trPr>
          <w:trHeight w:val="48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5BA81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885" w:type="dxa"/>
            <w:gridSpan w:val="6"/>
            <w:tcBorders>
              <w:right w:val="single" w:color="auto" w:sz="12" w:space="0"/>
            </w:tcBorders>
            <w:vAlign w:val="center"/>
          </w:tcPr>
          <w:p w14:paraId="40327F19">
            <w:pPr>
              <w:pStyle w:val="15"/>
              <w:widowControl w:val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《基础日语1-4》《日语阅读》《日语写作》</w:t>
            </w:r>
          </w:p>
        </w:tc>
      </w:tr>
      <w:tr w14:paraId="059C7DDD">
        <w:trPr>
          <w:trHeight w:val="340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978B9F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885" w:type="dxa"/>
            <w:gridSpan w:val="6"/>
            <w:tcBorders>
              <w:right w:val="single" w:color="auto" w:sz="12" w:space="0"/>
            </w:tcBorders>
          </w:tcPr>
          <w:p w14:paraId="43A496F0">
            <w:pPr>
              <w:widowControl/>
              <w:spacing w:before="163" w:beforeLines="50" w:after="163" w:afterLines="50" w:line="288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术论文写作是日语专业必修课。本课程通过课堂理论讲解和课外写作练习、以及各领域的学术论文的阅读,使学生了解日语学术论文的写作规范，同时注重思想内容、组织结构和日语语言的正确使用。掌握日语学术论文的写作方法，逐步把理论基础知识转移到实际论文的写作中，为完成毕业论文撰写打下坚实基础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本课程主要涉及:如何选题?如何检索收集文献资料?如何归纳总结先行研究?如何构建论文框架?如何就论点展开论述?如何引用先行研究文献、如何添加注释?等诸多方面。        </w:t>
            </w:r>
          </w:p>
          <w:p w14:paraId="6498BA81">
            <w:pPr>
              <w:widowControl/>
              <w:spacing w:before="163" w:beforeLines="50" w:after="163" w:afterLines="50" w:line="288" w:lineRule="auto"/>
              <w:ind w:firstLine="480" w:firstLineChars="200"/>
              <w:jc w:val="left"/>
              <w:rPr>
                <w:color w:val="FF0000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课堂教学以教材为中心，采取课前布置选题以及资料文献检索收集任务，课堂写作、分组讨论等多种方式进行,同时也会利用线上线下混合方式进行讨论、交流、答疑,解决学生在实际撰写日文论文过程中遇到具体问题。大四学生通过对本课程的学习，提高日语能力更加锻炼和巩固所学习的知识。并具备用综合运用日语撰写日文论文能力。对学生本科毕业论文工作指导起到帮助作用。使学生在写论文中有章可循，少走弯路。</w:t>
            </w:r>
          </w:p>
        </w:tc>
      </w:tr>
      <w:tr w14:paraId="79D9588F">
        <w:trPr>
          <w:trHeight w:val="75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768273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8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5BB0965">
            <w:pPr>
              <w:pStyle w:val="15"/>
              <w:widowControl w:val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本课程适合日语专业本科在第七学期开设。要求具备一定的日语基础知识和初步的日语表达能力，日语专业能力扎实。</w:t>
            </w:r>
          </w:p>
        </w:tc>
      </w:tr>
      <w:tr w14:paraId="58AFE199"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6BC43A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D11AD5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74980" cy="320675"/>
                  <wp:effectExtent l="0" t="0" r="1270" b="3175"/>
                  <wp:docPr id="1" name="图片 1" descr="潘小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小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229816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9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6BA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2024年1月</w:t>
            </w:r>
          </w:p>
        </w:tc>
      </w:tr>
      <w:tr w14:paraId="4E386F0A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04DD9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F66949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0" b="6985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4730D4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928" w:type="dxa"/>
            <w:gridSpan w:val="2"/>
            <w:tcBorders>
              <w:right w:val="single" w:color="auto" w:sz="12" w:space="0"/>
            </w:tcBorders>
            <w:vAlign w:val="center"/>
          </w:tcPr>
          <w:p w14:paraId="253B06B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2024年1月</w:t>
            </w:r>
          </w:p>
        </w:tc>
      </w:tr>
      <w:tr w14:paraId="62C0A4FC">
        <w:trPr>
          <w:trHeight w:val="733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774E0A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65EB32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-85090</wp:posOffset>
                  </wp:positionV>
                  <wp:extent cx="793115" cy="480695"/>
                  <wp:effectExtent l="0" t="0" r="0" b="1905"/>
                  <wp:wrapNone/>
                  <wp:docPr id="1570903144" name="图片 157090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03144" name="图片 157090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48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D1F293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9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664AF0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2024年1月</w:t>
            </w:r>
          </w:p>
        </w:tc>
      </w:tr>
    </w:tbl>
    <w:p w14:paraId="75610BB3">
      <w:pPr>
        <w:pStyle w:val="17"/>
        <w:tabs>
          <w:tab w:val="right" w:pos="8306"/>
        </w:tabs>
        <w:spacing w:before="326" w:beforeLines="100" w:line="360" w:lineRule="auto"/>
        <w:rPr>
          <w:rFonts w:hint="eastAsia" w:ascii="黑体" w:hAnsi="宋体" w:cs="宋体"/>
        </w:rPr>
      </w:pPr>
      <w:r>
        <w:rPr>
          <w:rFonts w:hint="eastAsia" w:ascii="黑体" w:hAnsi="宋体" w:cs="宋体"/>
        </w:rPr>
        <w:t>二、毕业要求与课程目标</w:t>
      </w:r>
      <w:bookmarkStart w:id="4" w:name="_GoBack"/>
      <w:bookmarkEnd w:id="4"/>
    </w:p>
    <w:p w14:paraId="61AC32A4">
      <w:pPr>
        <w:pStyle w:val="18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89"/>
        <w:gridCol w:w="6447"/>
        <w:gridCol w:w="940"/>
      </w:tblGrid>
      <w:tr w14:paraId="45291467">
        <w:trPr>
          <w:trHeight w:val="680" w:hRule="atLeast"/>
          <w:jc w:val="center"/>
        </w:trPr>
        <w:tc>
          <w:tcPr>
            <w:tcW w:w="1089" w:type="dxa"/>
            <w:vAlign w:val="center"/>
          </w:tcPr>
          <w:p w14:paraId="7CDFD18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55E1C01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40" w:type="dxa"/>
            <w:vAlign w:val="center"/>
          </w:tcPr>
          <w:p w14:paraId="3861EE0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4070AA27"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2FB3CFBA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LO1-2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0C591534">
            <w:pPr>
              <w:pStyle w:val="15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品德修养：爱党爱国，坚决拥护党的领导，热爱祖国的大好河山、悠久历史、灿烂文化，自觉维护民族利益和国家尊严。</w:t>
            </w:r>
          </w:p>
        </w:tc>
        <w:tc>
          <w:tcPr>
            <w:tcW w:w="940" w:type="dxa"/>
            <w:vAlign w:val="center"/>
          </w:tcPr>
          <w:p w14:paraId="1F1D2A5F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H</w:t>
            </w:r>
          </w:p>
        </w:tc>
      </w:tr>
      <w:tr w14:paraId="69D41F64"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075476C0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LO2-2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100CEC15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专业能力：掌握日语语言基础知识，具有扎实的语言基本功和听、说、读、写、译等语言应用能力。</w:t>
            </w:r>
          </w:p>
        </w:tc>
        <w:tc>
          <w:tcPr>
            <w:tcW w:w="940" w:type="dxa"/>
            <w:vAlign w:val="center"/>
          </w:tcPr>
          <w:p w14:paraId="18F40BBA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M</w:t>
            </w:r>
          </w:p>
        </w:tc>
      </w:tr>
      <w:tr w14:paraId="033E2618"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2DBD276E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LO2-6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6F766585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专业能力：掌握文献检索的基本方法，具有初步的科学研究与实际工作能力。</w:t>
            </w:r>
          </w:p>
        </w:tc>
        <w:tc>
          <w:tcPr>
            <w:tcW w:w="940" w:type="dxa"/>
            <w:vAlign w:val="center"/>
          </w:tcPr>
          <w:p w14:paraId="43EC1E67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H</w:t>
            </w:r>
          </w:p>
        </w:tc>
      </w:tr>
      <w:tr w14:paraId="79AB7B9B"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479599A7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LO3-2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65D22FDD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表达沟通：应用书面或口头形式，阐释自己的观点，有效沟通。</w:t>
            </w:r>
          </w:p>
        </w:tc>
        <w:tc>
          <w:tcPr>
            <w:tcW w:w="940" w:type="dxa"/>
            <w:vAlign w:val="center"/>
          </w:tcPr>
          <w:p w14:paraId="46A3E693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L</w:t>
            </w:r>
          </w:p>
        </w:tc>
      </w:tr>
      <w:tr w14:paraId="24CA8942"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622A209A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LO6-3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427C7CB7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协同创新：能用创新的方法或者多种方法解决复杂问题或真实问题。</w:t>
            </w:r>
          </w:p>
        </w:tc>
        <w:tc>
          <w:tcPr>
            <w:tcW w:w="940" w:type="dxa"/>
            <w:vAlign w:val="center"/>
          </w:tcPr>
          <w:p w14:paraId="67022473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M</w:t>
            </w:r>
          </w:p>
        </w:tc>
      </w:tr>
      <w:tr w14:paraId="6D11C07D"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762F0C87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LO7-3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036DDB75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信息应用：熟练使用计算机，掌握常用办公软件。</w:t>
            </w:r>
          </w:p>
        </w:tc>
        <w:tc>
          <w:tcPr>
            <w:tcW w:w="940" w:type="dxa"/>
            <w:vAlign w:val="center"/>
          </w:tcPr>
          <w:p w14:paraId="73AF9D77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H</w:t>
            </w:r>
          </w:p>
        </w:tc>
      </w:tr>
    </w:tbl>
    <w:p w14:paraId="16C3C218">
      <w:pPr>
        <w:pStyle w:val="18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8"/>
        <w:gridCol w:w="925"/>
        <w:gridCol w:w="5503"/>
        <w:gridCol w:w="950"/>
      </w:tblGrid>
      <w:tr w14:paraId="3C1E8BE6">
        <w:trPr>
          <w:trHeight w:val="680" w:hRule="atLeast"/>
          <w:jc w:val="center"/>
        </w:trPr>
        <w:tc>
          <w:tcPr>
            <w:tcW w:w="1098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F1691A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69F623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DF465A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2D0B7D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3846E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1910D77C"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58B60D0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LO1-1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0C7B9CBC">
            <w:pPr>
              <w:pStyle w:val="15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-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23F680D1">
            <w:pPr>
              <w:snapToGrid w:val="0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asciiTheme="minorEastAsia" w:hAnsiTheme="minorEastAsia" w:eastAsiaTheme="minorEastAsia"/>
              </w:rPr>
              <w:t>目标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教授学术论文专业写作方法，在了解日本文化的同时，反过来思考祖国的优秀传统文化，坚定文化自信。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4563F0BF">
            <w:pPr>
              <w:pStyle w:val="15"/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 w14:paraId="070AB4BF"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CF87A0C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LO2-2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7FE4990B">
            <w:pPr>
              <w:pStyle w:val="15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2</w:t>
            </w: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5A1D8439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目标2：通过写作训练，使学生掌握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日文学术论文写作规范和要领，激发学生兴趣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具备主动扎实运用日文高级词汇、语法、句式撰写论文的综合学习能力。对学生所感兴趣的论文选题分领域阅读，激发学生对不同领域论文深度思考兴趣，培养积极主动学习能力。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16EF9985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③</w:t>
            </w:r>
          </w:p>
        </w:tc>
      </w:tr>
      <w:tr w14:paraId="4FEFF1FA">
        <w:trPr>
          <w:trHeight w:val="68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2674C47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LO2-6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6721AD37">
            <w:pPr>
              <w:pStyle w:val="15"/>
              <w:rPr>
                <w:rFonts w:cs="Times New Roman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Times New Roman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Times New Roman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5AA52864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目标3：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堂教授学生搜索文献和搜集资料教学方式。让学生利用课下时间针对各自选题能熟练掌握文献、专著等收集查找途径。教授学生具体查阅国内外文献网站，学生能够对学术论文网站等运用自如，例如-知网、万方等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5BC382B2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②</w:t>
            </w:r>
          </w:p>
        </w:tc>
      </w:tr>
      <w:tr w14:paraId="69BCC3E4"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26C4493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LO3-2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6FDB3479">
            <w:pPr>
              <w:pStyle w:val="15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3</w:t>
            </w: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-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35221139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Segoe UI Symbol" w:asciiTheme="minorEastAsia" w:hAnsiTheme="minorEastAsia" w:eastAsiaTheme="minorEastAsia"/>
                <w:spacing w:val="6"/>
                <w:sz w:val="24"/>
                <w:szCs w:val="24"/>
              </w:rPr>
              <w:t>目标4：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课堂写作，分组讨论，表明自己观点，达到有效沟通。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10B46CFD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④</w:t>
            </w:r>
          </w:p>
        </w:tc>
      </w:tr>
      <w:tr w14:paraId="6B19C895"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BD5B267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LO6-3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2770C80B">
            <w:pPr>
              <w:pStyle w:val="15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4-1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4891836D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Segoe UI Symbol" w:asciiTheme="minorEastAsia" w:hAnsiTheme="minorEastAsia" w:eastAsiaTheme="minorEastAsia"/>
                <w:spacing w:val="6"/>
                <w:sz w:val="24"/>
                <w:szCs w:val="24"/>
              </w:rPr>
              <w:t>目标5：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利用线上线下混合方式进行讨论和交流，解决学生遇到实际问题。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1A5533F3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④</w:t>
            </w:r>
          </w:p>
        </w:tc>
      </w:tr>
      <w:tr w14:paraId="6DCBAE0E"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64636D4">
            <w:pPr>
              <w:pStyle w:val="1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LO7-3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2B2E573F">
            <w:pPr>
              <w:pStyle w:val="15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5-1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42CBCFC3">
            <w:pPr>
              <w:pStyle w:val="1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Segoe UI Symbol" w:asciiTheme="minorEastAsia" w:hAnsiTheme="minorEastAsia" w:eastAsiaTheme="minorEastAsia"/>
                <w:spacing w:val="6"/>
                <w:sz w:val="24"/>
                <w:szCs w:val="24"/>
              </w:rPr>
              <w:t>目标6：能熟练掌握日文输入法，并对毕业论文格式要求能用电脑正常操作，达到要求。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58F38540">
            <w:pPr>
              <w:pStyle w:val="15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③</w:t>
            </w:r>
          </w:p>
        </w:tc>
      </w:tr>
      <w:tr w14:paraId="0AE2E87F">
        <w:trPr>
          <w:trHeight w:val="340" w:hRule="atLeast"/>
          <w:jc w:val="center"/>
        </w:trPr>
        <w:tc>
          <w:tcPr>
            <w:tcW w:w="84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FB9BE">
            <w:pPr>
              <w:pStyle w:val="14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1EAFE309">
      <w:pPr>
        <w:pStyle w:val="17"/>
        <w:tabs>
          <w:tab w:val="right" w:pos="8306"/>
        </w:tabs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78FD36E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85D0F65">
        <w:trPr>
          <w:trHeight w:val="280" w:hRule="atLeast"/>
        </w:trPr>
        <w:tc>
          <w:tcPr>
            <w:tcW w:w="8188" w:type="dxa"/>
          </w:tcPr>
          <w:p w14:paraId="2839A057">
            <w:pPr>
              <w:widowControl w:val="0"/>
              <w:spacing w:line="440" w:lineRule="exact"/>
              <w:jc w:val="both"/>
              <w:rPr>
                <w:rFonts w:asciiTheme="minorEastAsia" w:hAnsiTheme="minorEastAsia" w:eastAsiaTheme="minorEastAsia"/>
              </w:rPr>
            </w:pPr>
            <w:bookmarkStart w:id="0" w:name="OLE_LINK6"/>
            <w:bookmarkStart w:id="1" w:name="OLE_LINK5"/>
            <w:r>
              <w:rPr>
                <w:rFonts w:hint="eastAsia" w:asciiTheme="minorEastAsia" w:hAnsiTheme="minorEastAsia" w:eastAsiaTheme="minorEastAsia"/>
                <w:b/>
              </w:rPr>
              <w:t>教学第一单元</w:t>
            </w:r>
            <w:r>
              <w:rPr>
                <w:rFonts w:hint="eastAsia" w:asciiTheme="minorEastAsia" w:hAnsiTheme="minorEastAsia" w:eastAsiaTheme="minorEastAsia"/>
              </w:rPr>
              <w:t>：第一章-撰写毕业论文需要注意的事项</w:t>
            </w:r>
          </w:p>
          <w:p w14:paraId="57B26E2F">
            <w:pPr>
              <w:widowControl w:val="0"/>
              <w:spacing w:line="440" w:lineRule="exact"/>
              <w:ind w:firstLine="360" w:firstLineChars="15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本章节主要是让学生掌握何为毕业论文、论文构成的基本要素、毕业论文学术价值、毕业论文需要时间的积淀。并通过练习和小论文的形式考查本课知识的掌握情况。</w:t>
            </w:r>
          </w:p>
          <w:p w14:paraId="1AD2206D">
            <w:pPr>
              <w:widowControl w:val="0"/>
              <w:spacing w:line="440" w:lineRule="exact"/>
              <w:ind w:firstLine="360" w:firstLineChars="150"/>
              <w:jc w:val="both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能力要求：掌握日文论文</w:t>
            </w:r>
            <w:r>
              <w:rPr>
                <w:rFonts w:hint="eastAsia" w:asciiTheme="minorEastAsia" w:hAnsiTheme="minorEastAsia" w:eastAsiaTheme="minorEastAsia"/>
                <w:bCs/>
              </w:rPr>
              <w:t>重点与难点1.毕业论文是学术文章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</w:rPr>
              <w:t xml:space="preserve"> 2日语专业毕业论文的特殊性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</w:rPr>
              <w:t xml:space="preserve"> 3毕业论文最基本的组成 </w:t>
            </w:r>
          </w:p>
          <w:p w14:paraId="351F8768">
            <w:pPr>
              <w:widowControl w:val="0"/>
              <w:spacing w:line="440" w:lineRule="exact"/>
              <w:ind w:firstLine="360" w:firstLineChars="15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教学难点：</w:t>
            </w:r>
            <w:r>
              <w:rPr>
                <w:rFonts w:hint="eastAsia" w:asciiTheme="minorEastAsia" w:hAnsiTheme="minorEastAsia" w:eastAsiaTheme="minorEastAsia"/>
                <w:bCs/>
              </w:rPr>
              <w:t>1参考资料的利用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</w:rPr>
              <w:t xml:space="preserve"> 2学术价值的判断标准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</w:rPr>
              <w:t>3选题和章节的构成</w:t>
            </w:r>
            <w:r>
              <w:rPr>
                <w:rFonts w:hint="eastAsia" w:asciiTheme="minorEastAsia" w:hAnsiTheme="minorEastAsia" w:eastAsiaTheme="minorEastAsia"/>
              </w:rPr>
              <w:t>。</w:t>
            </w:r>
          </w:p>
        </w:tc>
      </w:tr>
      <w:tr w14:paraId="11938AC8">
        <w:trPr>
          <w:trHeight w:val="275" w:hRule="atLeast"/>
        </w:trPr>
        <w:tc>
          <w:tcPr>
            <w:tcW w:w="8188" w:type="dxa"/>
          </w:tcPr>
          <w:p w14:paraId="6AF4D2D5">
            <w:pPr>
              <w:widowControl w:val="0"/>
              <w:spacing w:line="440" w:lineRule="exact"/>
              <w:jc w:val="both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教学第二单元</w:t>
            </w:r>
            <w:r>
              <w:rPr>
                <w:rFonts w:hint="eastAsia" w:asciiTheme="minorEastAsia" w:hAnsiTheme="minorEastAsia" w:eastAsiaTheme="minorEastAsia"/>
              </w:rPr>
              <w:t>：第二章　</w:t>
            </w:r>
            <w:r>
              <w:rPr>
                <w:rFonts w:hint="eastAsia" w:asciiTheme="minorEastAsia" w:hAnsiTheme="minorEastAsia" w:eastAsiaTheme="minorEastAsia"/>
                <w:bCs/>
              </w:rPr>
              <w:t>如何撰写日语语言学范文、参考资料研究</w:t>
            </w:r>
          </w:p>
          <w:p w14:paraId="2404D391">
            <w:pPr>
              <w:widowControl w:val="0"/>
              <w:spacing w:line="440" w:lineRule="exact"/>
              <w:ind w:firstLine="480" w:firstLineChars="20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本章节是让学生熟记日语语言学研究的基本领域，掌握所学的日语语言学研究的基本方法。要求熟读日语语言学研究的主要成果。如何撰写日语语言学方向的论文</w:t>
            </w:r>
            <w:r>
              <w:rPr>
                <w:rFonts w:hint="eastAsia" w:asciiTheme="minorEastAsia" w:hAnsiTheme="minorEastAsia" w:eastAsiaTheme="minorEastAsia"/>
              </w:rPr>
              <w:t>，让学生理解论文文体，在论文撰写过程中少出错误。</w:t>
            </w:r>
          </w:p>
          <w:p w14:paraId="0098057A">
            <w:pPr>
              <w:widowControl w:val="0"/>
              <w:spacing w:line="440" w:lineRule="exact"/>
              <w:ind w:firstLine="360" w:firstLineChars="15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能力要求：能自行查阅</w:t>
            </w:r>
            <w:r>
              <w:rPr>
                <w:rFonts w:hint="eastAsia" w:asciiTheme="minorEastAsia" w:hAnsiTheme="minorEastAsia" w:eastAsiaTheme="minorEastAsia"/>
                <w:bCs/>
              </w:rPr>
              <w:t>日语语言学研究的参考资料，了解论文参考资料的获取方法以及</w:t>
            </w:r>
            <w:r>
              <w:rPr>
                <w:rFonts w:hint="eastAsia" w:asciiTheme="minorEastAsia" w:hAnsiTheme="minorEastAsia" w:eastAsiaTheme="minorEastAsia"/>
              </w:rPr>
              <w:t>日文问文体的文章语言正确撰写论文。</w:t>
            </w:r>
          </w:p>
          <w:p w14:paraId="3A8BEFD8">
            <w:pPr>
              <w:widowControl w:val="0"/>
              <w:spacing w:line="440" w:lineRule="exact"/>
              <w:ind w:firstLine="360" w:firstLineChars="15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教学难点：阅读</w:t>
            </w:r>
            <w:r>
              <w:rPr>
                <w:rFonts w:hint="eastAsia" w:asciiTheme="minorEastAsia" w:hAnsiTheme="minorEastAsia" w:eastAsiaTheme="minorEastAsia"/>
                <w:bCs/>
              </w:rPr>
              <w:t>日语语言学相关研究相关资料库。</w:t>
            </w:r>
            <w:r>
              <w:rPr>
                <w:rFonts w:hint="eastAsia" w:asciiTheme="minorEastAsia" w:hAnsiTheme="minorEastAsia" w:eastAsiaTheme="minorEastAsia"/>
              </w:rPr>
              <w:t>正确使用日文论文的文体，并能</w:t>
            </w:r>
            <w:r>
              <w:rPr>
                <w:rFonts w:hint="eastAsia" w:asciiTheme="minorEastAsia" w:hAnsiTheme="minorEastAsia" w:eastAsiaTheme="minorEastAsia"/>
                <w:bCs/>
              </w:rPr>
              <w:t>熟练应用。</w:t>
            </w:r>
          </w:p>
        </w:tc>
      </w:tr>
      <w:tr w14:paraId="1250C9A5">
        <w:trPr>
          <w:trHeight w:val="275" w:hRule="atLeast"/>
        </w:trPr>
        <w:tc>
          <w:tcPr>
            <w:tcW w:w="8188" w:type="dxa"/>
          </w:tcPr>
          <w:p w14:paraId="57117440">
            <w:pPr>
              <w:widowControl w:val="0"/>
              <w:snapToGrid w:val="0"/>
              <w:spacing w:line="288" w:lineRule="auto"/>
              <w:jc w:val="both"/>
              <w:rPr>
                <w:rFonts w:hint="eastAsia" w:cs="仿宋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教学第三单元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cs="仿宋" w:asciiTheme="minorEastAsia" w:hAnsiTheme="minorEastAsia" w:eastAsiaTheme="minorEastAsia"/>
              </w:rPr>
              <w:t>第三章  如何撰写日本文学方向的论文、范文</w:t>
            </w:r>
          </w:p>
          <w:p w14:paraId="6EEE6DE6">
            <w:pPr>
              <w:widowControl w:val="0"/>
              <w:snapToGrid w:val="0"/>
              <w:spacing w:line="288" w:lineRule="auto"/>
              <w:ind w:firstLine="360" w:firstLineChars="150"/>
              <w:jc w:val="both"/>
              <w:rPr>
                <w:rFonts w:cs="仿宋" w:asciiTheme="minorEastAsia" w:hAnsiTheme="minorEastAsia" w:eastAsiaTheme="minorEastAsia"/>
              </w:rPr>
            </w:pPr>
            <w:r>
              <w:rPr>
                <w:rFonts w:hint="eastAsia" w:cs="仿宋" w:asciiTheme="minorEastAsia" w:hAnsiTheme="minorEastAsia" w:eastAsiaTheme="minorEastAsia"/>
                <w:bCs/>
              </w:rPr>
              <w:t>本章节是让学生掌握关于研究的选题，资料的收集与整理和如何构建论文的基本框架。以及研究的选题、选题的范围、选题技巧和有关日本文学方向的论文题目，学会对论文资料的收集和整理。</w:t>
            </w:r>
          </w:p>
          <w:p w14:paraId="75EB5C12">
            <w:pPr>
              <w:widowControl w:val="0"/>
              <w:snapToGrid w:val="0"/>
              <w:spacing w:line="288" w:lineRule="auto"/>
              <w:ind w:firstLine="240" w:firstLineChars="100"/>
              <w:jc w:val="both"/>
              <w:rPr>
                <w:rFonts w:cs="Arial" w:asciiTheme="minorEastAsia" w:hAnsiTheme="minorEastAsia" w:eastAsiaTheme="minorEastAsia"/>
                <w:bCs/>
              </w:rPr>
            </w:pPr>
            <w:r>
              <w:rPr>
                <w:rFonts w:hint="eastAsia" w:cs="Arial" w:asciiTheme="minorEastAsia" w:hAnsiTheme="minorEastAsia" w:eastAsiaTheme="minorEastAsia"/>
              </w:rPr>
              <w:t>能力要求：</w:t>
            </w:r>
            <w:r>
              <w:rPr>
                <w:rFonts w:hint="eastAsia" w:cs="Arial" w:asciiTheme="minorEastAsia" w:hAnsiTheme="minorEastAsia" w:eastAsiaTheme="minorEastAsia"/>
                <w:bCs/>
              </w:rPr>
              <w:t>掌握论文中通过状况、原因、理由、条件等表示顺序。</w:t>
            </w:r>
            <w:r>
              <w:rPr>
                <w:rFonts w:hint="eastAsia" w:cs="Arial" w:asciiTheme="minorEastAsia" w:hAnsiTheme="minorEastAsia" w:eastAsiaTheme="minorEastAsia"/>
              </w:rPr>
              <w:t>文章步骤之间、句子层面的衔接，通过授课把日文固定论文用语的研究顺序、层次、状况、原因、理由、条件等熟练应用。</w:t>
            </w:r>
          </w:p>
          <w:p w14:paraId="026C26A7">
            <w:pPr>
              <w:widowControl w:val="0"/>
              <w:snapToGrid w:val="0"/>
              <w:spacing w:line="288" w:lineRule="auto"/>
              <w:ind w:firstLine="360" w:firstLineChars="150"/>
              <w:jc w:val="both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教学难点：衔接表达与复句的应用。</w:t>
            </w:r>
          </w:p>
        </w:tc>
      </w:tr>
      <w:tr w14:paraId="4733221E">
        <w:trPr>
          <w:trHeight w:val="275" w:hRule="atLeast"/>
        </w:trPr>
        <w:tc>
          <w:tcPr>
            <w:tcW w:w="8188" w:type="dxa"/>
          </w:tcPr>
          <w:p w14:paraId="108686B3">
            <w:pPr>
              <w:widowControl w:val="0"/>
              <w:snapToGrid w:val="0"/>
              <w:spacing w:line="288" w:lineRule="auto"/>
              <w:jc w:val="both"/>
              <w:rPr>
                <w:rFonts w:ascii="MS Mincho" w:hAnsi="MS Mincho" w:cs="Arial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教学第四单元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="MS Mincho" w:hAnsi="MS Mincho" w:cs="Arial" w:eastAsiaTheme="minorEastAsia"/>
              </w:rPr>
              <w:t xml:space="preserve">第四章  如何撰写日本文学方向的论文、范文 </w:t>
            </w:r>
          </w:p>
          <w:p w14:paraId="43A19AAE">
            <w:pPr>
              <w:widowControl w:val="0"/>
              <w:snapToGrid w:val="0"/>
              <w:spacing w:line="288" w:lineRule="auto"/>
              <w:jc w:val="both"/>
              <w:rPr>
                <w:rFonts w:ascii="MS Mincho" w:hAnsi="MS Mincho" w:cs="Arial" w:eastAsiaTheme="minorEastAsia"/>
              </w:rPr>
            </w:pPr>
            <w:r>
              <w:rPr>
                <w:rFonts w:hint="eastAsia" w:ascii="MS Mincho" w:hAnsi="MS Mincho" w:cs="Arial" w:eastAsiaTheme="minorEastAsia"/>
              </w:rPr>
              <w:t xml:space="preserve">  本章节</w:t>
            </w:r>
            <w:r>
              <w:rPr>
                <w:rFonts w:hint="eastAsia" w:ascii="MS Mincho" w:hAnsi="MS Mincho" w:cs="Arial" w:eastAsiaTheme="minorEastAsia"/>
                <w:bCs/>
              </w:rPr>
              <w:t>本次授课的目的是为了让学生掌握关于研究的选题，资料的收集与整理和如何构建论文的基本框架。</w:t>
            </w:r>
            <w:r>
              <w:rPr>
                <w:rFonts w:hint="eastAsia" w:ascii="MS Mincho" w:hAnsi="MS Mincho" w:cs="Arial" w:eastAsiaTheme="minorEastAsia"/>
              </w:rPr>
              <w:t>正确使用惯用型语言的表达更加精准到位，同时有提升文章层次，使文章避免口语化的色彩，更加符合论文的要求。</w:t>
            </w:r>
          </w:p>
          <w:p w14:paraId="6F6F12BD">
            <w:pPr>
              <w:widowControl w:val="0"/>
              <w:snapToGrid w:val="0"/>
              <w:spacing w:line="288" w:lineRule="auto"/>
              <w:jc w:val="both"/>
              <w:rPr>
                <w:rFonts w:ascii="MS Mincho" w:hAnsi="MS Mincho" w:cs="Arial" w:eastAsiaTheme="minorEastAsia"/>
              </w:rPr>
            </w:pPr>
            <w:r>
              <w:rPr>
                <w:rFonts w:hint="eastAsia" w:ascii="MS Mincho" w:hAnsi="MS Mincho" w:cs="Arial" w:eastAsiaTheme="minorEastAsia"/>
              </w:rPr>
              <w:t xml:space="preserve">  能力要求：①表示行为对象②表示原因、起源③表示方式、手段④表示遵循和顺应⑤表示空间和时间的惯用用语的掌握。</w:t>
            </w:r>
          </w:p>
          <w:p w14:paraId="08740AAC">
            <w:pPr>
              <w:widowControl w:val="0"/>
              <w:snapToGrid w:val="0"/>
              <w:spacing w:line="288" w:lineRule="auto"/>
              <w:ind w:firstLine="240" w:firstLineChars="100"/>
              <w:jc w:val="both"/>
              <w:rPr>
                <w:rFonts w:ascii="MS Mincho" w:hAnsi="MS Mincho" w:cs="Arial" w:eastAsiaTheme="minorEastAsia"/>
              </w:rPr>
            </w:pPr>
            <w:r>
              <w:rPr>
                <w:rFonts w:hint="eastAsia" w:ascii="MS Mincho" w:hAnsi="MS Mincho" w:cs="Arial" w:eastAsiaTheme="minorEastAsia"/>
              </w:rPr>
              <w:t>教学难点：熟练应用在毕业论文中。</w:t>
            </w:r>
          </w:p>
        </w:tc>
      </w:tr>
      <w:tr w14:paraId="5AE66F1A">
        <w:trPr>
          <w:trHeight w:val="275" w:hRule="atLeast"/>
        </w:trPr>
        <w:tc>
          <w:tcPr>
            <w:tcW w:w="8188" w:type="dxa"/>
          </w:tcPr>
          <w:p w14:paraId="5FDC787D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教学第五单元：</w:t>
            </w:r>
            <w:r>
              <w:rPr>
                <w:rFonts w:hint="eastAsia" w:cs="仿宋" w:asciiTheme="minorEastAsia" w:hAnsiTheme="minorEastAsia" w:eastAsiaTheme="minorEastAsia"/>
                <w:bCs/>
              </w:rPr>
              <w:t xml:space="preserve">第五章 参考阅读 </w:t>
            </w:r>
          </w:p>
          <w:p w14:paraId="0F8B7C8A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hint="eastAsia" w:cs="仿宋" w:asciiTheme="minorEastAsia" w:hAnsiTheme="minorEastAsia" w:eastAsiaTheme="minorEastAsia"/>
                <w:bCs/>
              </w:rPr>
              <w:t xml:space="preserve">  本章节是让学生参考阅读，增大日文论文阅读量，例如关于读书的思考、关于教养的思考、推荐一些关于如何写论文的日文书籍</w:t>
            </w:r>
            <w:r>
              <w:rPr>
                <w:rFonts w:cs="仿宋" w:asciiTheme="minorEastAsia" w:hAnsiTheme="minorEastAsia" w:eastAsiaTheme="minorEastAsia"/>
                <w:bCs/>
              </w:rPr>
              <w:t>—</w:t>
            </w:r>
            <w:r>
              <w:rPr>
                <w:rFonts w:hint="eastAsia" w:cs="仿宋" w:asciiTheme="minorEastAsia" w:hAnsiTheme="minorEastAsia" w:eastAsiaTheme="minorEastAsia"/>
                <w:bCs/>
              </w:rPr>
              <w:t>提高日语能力的诀窍</w:t>
            </w:r>
          </w:p>
          <w:p w14:paraId="12C258C9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hint="eastAsia" w:cs="仿宋" w:asciiTheme="minorEastAsia" w:hAnsiTheme="minorEastAsia" w:eastAsiaTheme="minorEastAsia"/>
                <w:bCs/>
              </w:rPr>
              <w:t xml:space="preserve">   能力要求：</w:t>
            </w:r>
          </w:p>
          <w:p w14:paraId="6619B955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cs="仿宋" w:asciiTheme="minorEastAsia" w:hAnsiTheme="minorEastAsia" w:eastAsiaTheme="minorEastAsia"/>
                <w:bCs/>
              </w:rPr>
              <w:t>1.熟记日文论文的标题、谢辞和附录等的语言表达。</w:t>
            </w:r>
          </w:p>
          <w:p w14:paraId="2C84C19A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cs="仿宋" w:asciiTheme="minorEastAsia" w:hAnsiTheme="minorEastAsia" w:eastAsiaTheme="minorEastAsia"/>
                <w:bCs/>
              </w:rPr>
              <w:t>2.掌握所学的注释、参考文献的写作规则和附录等</w:t>
            </w:r>
            <w:r>
              <w:rPr>
                <w:rFonts w:hint="eastAsia" w:cs="仿宋" w:asciiTheme="minorEastAsia" w:hAnsiTheme="minorEastAsia" w:eastAsiaTheme="minorEastAsia"/>
                <w:bCs/>
              </w:rPr>
              <w:t>。</w:t>
            </w:r>
          </w:p>
          <w:p w14:paraId="2489E9CB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cs="仿宋" w:asciiTheme="minorEastAsia" w:hAnsiTheme="minorEastAsia" w:eastAsiaTheme="minorEastAsia"/>
                <w:bCs/>
              </w:rPr>
              <w:t>3.要求熟读例文，正确理解论文中语法和词汇的意义。</w:t>
            </w:r>
          </w:p>
          <w:p w14:paraId="640C8ADA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cs="仿宋" w:asciiTheme="minorEastAsia" w:hAnsiTheme="minorEastAsia" w:eastAsiaTheme="minorEastAsia"/>
                <w:bCs/>
              </w:rPr>
              <w:t>4.帮助学生分析理解论文的内容，提高学生的日语阅读写作能力。</w:t>
            </w:r>
          </w:p>
          <w:p w14:paraId="256BBB11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cs="仿宋" w:asciiTheme="minorEastAsia" w:hAnsiTheme="minorEastAsia" w:eastAsiaTheme="minorEastAsia"/>
                <w:bCs/>
              </w:rPr>
              <w:t>5.通过修改训练和小论文考查本课知识的掌握情况。</w:t>
            </w:r>
          </w:p>
          <w:p w14:paraId="2D162ED3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hint="eastAsia" w:cs="仿宋" w:asciiTheme="minorEastAsia" w:hAnsiTheme="minorEastAsia" w:eastAsiaTheme="minorEastAsia"/>
                <w:bCs/>
              </w:rPr>
              <w:t xml:space="preserve">   教学难点：</w:t>
            </w:r>
          </w:p>
          <w:p w14:paraId="5316AD09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hint="eastAsia" w:cs="仿宋" w:asciiTheme="minorEastAsia" w:hAnsiTheme="minorEastAsia" w:eastAsiaTheme="minorEastAsia"/>
                <w:bCs/>
              </w:rPr>
              <w:t>1熟练掌握副标题的作用和表达方式。</w:t>
            </w:r>
          </w:p>
          <w:p w14:paraId="2BF3BD6C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cs="仿宋" w:asciiTheme="minorEastAsia" w:hAnsiTheme="minorEastAsia" w:eastAsiaTheme="minorEastAsia"/>
                <w:bCs/>
              </w:rPr>
            </w:pPr>
            <w:r>
              <w:rPr>
                <w:rFonts w:cs="仿宋" w:asciiTheme="minorEastAsia" w:hAnsiTheme="minorEastAsia" w:eastAsiaTheme="minorEastAsia"/>
                <w:bCs/>
              </w:rPr>
              <w:t>2熟练掌握以动词和提问形式结尾做标题</w:t>
            </w:r>
            <w:r>
              <w:rPr>
                <w:rFonts w:hint="eastAsia" w:cs="仿宋" w:asciiTheme="minorEastAsia" w:hAnsiTheme="minorEastAsia" w:eastAsiaTheme="minorEastAsia"/>
                <w:bCs/>
              </w:rPr>
              <w:t>。</w:t>
            </w:r>
          </w:p>
          <w:p w14:paraId="6EE136C6">
            <w:pPr>
              <w:widowControl w:val="0"/>
              <w:tabs>
                <w:tab w:val="left" w:pos="312"/>
              </w:tabs>
              <w:snapToGrid w:val="0"/>
              <w:spacing w:line="288" w:lineRule="auto"/>
              <w:jc w:val="both"/>
              <w:rPr>
                <w:rFonts w:ascii="Calibri" w:hAnsi="Calibri" w:cs="Times New Roman"/>
                <w:bCs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kern w:val="2"/>
              </w:rPr>
              <w:t>3熟练掌握注释、引文、参考文献的写作规范。</w:t>
            </w:r>
          </w:p>
        </w:tc>
      </w:tr>
      <w:bookmarkEnd w:id="0"/>
      <w:bookmarkEnd w:id="1"/>
    </w:tbl>
    <w:p w14:paraId="378A44B1">
      <w:pPr>
        <w:pStyle w:val="18"/>
        <w:spacing w:before="81" w:after="163"/>
        <w:rPr>
          <w:rFonts w:hint="eastAsia"/>
        </w:rPr>
      </w:pPr>
    </w:p>
    <w:p w14:paraId="4C4F01CF">
      <w:pPr>
        <w:pStyle w:val="18"/>
        <w:spacing w:before="81" w:after="163"/>
        <w:rPr>
          <w:rFonts w:hint="eastAsia"/>
        </w:rPr>
      </w:pPr>
    </w:p>
    <w:p w14:paraId="74BB63A6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59AA88F2"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624E1464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C749451">
            <w:pPr>
              <w:pStyle w:val="14"/>
              <w:ind w:right="210"/>
              <w:jc w:val="left"/>
              <w:rPr>
                <w:szCs w:val="16"/>
              </w:rPr>
            </w:pPr>
          </w:p>
          <w:p w14:paraId="3F8F5B85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CB28B58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1-1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7E3305F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2-1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AF72CFC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2-2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E3AB5D4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3-1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4AFA2B5B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4-1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A9A72A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5-1</w:t>
            </w:r>
          </w:p>
        </w:tc>
      </w:tr>
      <w:tr w14:paraId="09005B1A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18A0941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第一单元</w:t>
            </w:r>
          </w:p>
        </w:tc>
        <w:tc>
          <w:tcPr>
            <w:tcW w:w="1100" w:type="dxa"/>
            <w:vAlign w:val="center"/>
          </w:tcPr>
          <w:p w14:paraId="3E810576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455328F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15978BD">
            <w:pPr>
              <w:pStyle w:val="15"/>
            </w:pPr>
          </w:p>
        </w:tc>
        <w:tc>
          <w:tcPr>
            <w:tcW w:w="1099" w:type="dxa"/>
            <w:vAlign w:val="center"/>
          </w:tcPr>
          <w:p w14:paraId="6CE269DE">
            <w:pPr>
              <w:pStyle w:val="15"/>
            </w:pPr>
          </w:p>
        </w:tc>
        <w:tc>
          <w:tcPr>
            <w:tcW w:w="1099" w:type="dxa"/>
            <w:vAlign w:val="center"/>
          </w:tcPr>
          <w:p w14:paraId="679B2A7D">
            <w:pPr>
              <w:pStyle w:val="15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015552D">
            <w:pPr>
              <w:pStyle w:val="15"/>
            </w:pPr>
          </w:p>
        </w:tc>
      </w:tr>
      <w:tr w14:paraId="0F3D855D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45905EB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</w:t>
            </w:r>
          </w:p>
        </w:tc>
        <w:tc>
          <w:tcPr>
            <w:tcW w:w="1100" w:type="dxa"/>
            <w:vAlign w:val="center"/>
          </w:tcPr>
          <w:p w14:paraId="0877F45B">
            <w:pPr>
              <w:pStyle w:val="15"/>
            </w:pPr>
          </w:p>
        </w:tc>
        <w:tc>
          <w:tcPr>
            <w:tcW w:w="1100" w:type="dxa"/>
            <w:vAlign w:val="center"/>
          </w:tcPr>
          <w:p w14:paraId="1D553A43">
            <w:pPr>
              <w:pStyle w:val="15"/>
            </w:pPr>
          </w:p>
        </w:tc>
        <w:tc>
          <w:tcPr>
            <w:tcW w:w="1100" w:type="dxa"/>
            <w:vAlign w:val="center"/>
          </w:tcPr>
          <w:p w14:paraId="179F4271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1F7211AA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9C0237C">
            <w:pPr>
              <w:pStyle w:val="15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7B48980">
            <w:pPr>
              <w:pStyle w:val="15"/>
            </w:pPr>
          </w:p>
        </w:tc>
      </w:tr>
      <w:tr w14:paraId="50022231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2638927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第三单元</w:t>
            </w:r>
          </w:p>
        </w:tc>
        <w:tc>
          <w:tcPr>
            <w:tcW w:w="1100" w:type="dxa"/>
            <w:vAlign w:val="center"/>
          </w:tcPr>
          <w:p w14:paraId="50AF97E5">
            <w:pPr>
              <w:pStyle w:val="15"/>
            </w:pPr>
          </w:p>
        </w:tc>
        <w:tc>
          <w:tcPr>
            <w:tcW w:w="1100" w:type="dxa"/>
            <w:vAlign w:val="center"/>
          </w:tcPr>
          <w:p w14:paraId="3AF248FF">
            <w:pPr>
              <w:pStyle w:val="15"/>
            </w:pPr>
          </w:p>
        </w:tc>
        <w:tc>
          <w:tcPr>
            <w:tcW w:w="1100" w:type="dxa"/>
            <w:vAlign w:val="center"/>
          </w:tcPr>
          <w:p w14:paraId="64F51AFB">
            <w:pPr>
              <w:pStyle w:val="15"/>
            </w:pPr>
          </w:p>
        </w:tc>
        <w:tc>
          <w:tcPr>
            <w:tcW w:w="1099" w:type="dxa"/>
            <w:vAlign w:val="center"/>
          </w:tcPr>
          <w:p w14:paraId="75B066D5">
            <w:pPr>
              <w:pStyle w:val="15"/>
            </w:pPr>
          </w:p>
        </w:tc>
        <w:tc>
          <w:tcPr>
            <w:tcW w:w="1099" w:type="dxa"/>
            <w:vAlign w:val="center"/>
          </w:tcPr>
          <w:p w14:paraId="7C2954BF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00AE466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105EC2DD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6D65BEB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第四单元</w:t>
            </w:r>
          </w:p>
        </w:tc>
        <w:tc>
          <w:tcPr>
            <w:tcW w:w="1100" w:type="dxa"/>
            <w:vAlign w:val="center"/>
          </w:tcPr>
          <w:p w14:paraId="350E2F4D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69FC36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27F2BA5">
            <w:pPr>
              <w:pStyle w:val="15"/>
            </w:pPr>
          </w:p>
        </w:tc>
        <w:tc>
          <w:tcPr>
            <w:tcW w:w="1099" w:type="dxa"/>
            <w:vAlign w:val="center"/>
          </w:tcPr>
          <w:p w14:paraId="6CAEE8E6">
            <w:pPr>
              <w:pStyle w:val="15"/>
            </w:pPr>
          </w:p>
        </w:tc>
        <w:tc>
          <w:tcPr>
            <w:tcW w:w="1099" w:type="dxa"/>
            <w:vAlign w:val="center"/>
          </w:tcPr>
          <w:p w14:paraId="57D9BC14">
            <w:pPr>
              <w:pStyle w:val="15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320D9B7">
            <w:pPr>
              <w:pStyle w:val="15"/>
            </w:pPr>
          </w:p>
        </w:tc>
      </w:tr>
      <w:tr w14:paraId="7FDD4BAE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262A700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第五单元</w:t>
            </w:r>
          </w:p>
        </w:tc>
        <w:tc>
          <w:tcPr>
            <w:tcW w:w="1100" w:type="dxa"/>
            <w:vAlign w:val="center"/>
          </w:tcPr>
          <w:p w14:paraId="663BDCE6">
            <w:pPr>
              <w:pStyle w:val="15"/>
            </w:pPr>
          </w:p>
        </w:tc>
        <w:tc>
          <w:tcPr>
            <w:tcW w:w="1100" w:type="dxa"/>
            <w:vAlign w:val="center"/>
          </w:tcPr>
          <w:p w14:paraId="119BF546">
            <w:pPr>
              <w:pStyle w:val="15"/>
            </w:pPr>
          </w:p>
        </w:tc>
        <w:tc>
          <w:tcPr>
            <w:tcW w:w="1100" w:type="dxa"/>
            <w:vAlign w:val="center"/>
          </w:tcPr>
          <w:p w14:paraId="753AB304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75C3559D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41B2F18">
            <w:pPr>
              <w:pStyle w:val="15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45F5DB0">
            <w:pPr>
              <w:pStyle w:val="15"/>
            </w:pPr>
          </w:p>
        </w:tc>
      </w:tr>
    </w:tbl>
    <w:p w14:paraId="203B4926">
      <w:pPr>
        <w:pStyle w:val="18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10B231">
        <w:tc>
          <w:tcPr>
            <w:tcW w:w="8296" w:type="dxa"/>
          </w:tcPr>
          <w:p w14:paraId="6185FA96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cs="仿宋" w:asciiTheme="minorEastAsia" w:hAnsiTheme="minorEastAsia" w:eastAsiaTheme="minorEastAsia"/>
              </w:rPr>
            </w:pPr>
            <w:r>
              <w:rPr>
                <w:rFonts w:cs="仿宋" w:asciiTheme="minorEastAsia" w:hAnsiTheme="minorEastAsia" w:eastAsiaTheme="minorEastAsia"/>
              </w:rPr>
              <w:t>1.</w:t>
            </w:r>
            <w:r>
              <w:rPr>
                <w:rFonts w:cs="仿宋" w:asciiTheme="minorEastAsia" w:hAnsiTheme="minorEastAsia" w:eastAsiaTheme="minorEastAsia"/>
              </w:rPr>
              <w:tab/>
            </w:r>
            <w:r>
              <w:rPr>
                <w:rFonts w:cs="仿宋" w:asciiTheme="minorEastAsia" w:hAnsiTheme="minorEastAsia" w:eastAsiaTheme="minorEastAsia"/>
              </w:rPr>
              <w:t>督促学生学习，利用线上平台进行提问、交流。</w:t>
            </w:r>
            <w:r>
              <w:rPr>
                <w:rFonts w:hint="eastAsia" w:cs="仿宋" w:asciiTheme="minorEastAsia" w:hAnsiTheme="minorEastAsia" w:eastAsiaTheme="minorEastAsia"/>
              </w:rPr>
              <w:t>课后</w:t>
            </w:r>
            <w:r>
              <w:rPr>
                <w:rFonts w:cs="仿宋" w:asciiTheme="minorEastAsia" w:hAnsiTheme="minorEastAsia" w:eastAsiaTheme="minorEastAsia"/>
              </w:rPr>
              <w:t>小作业，检验学生学习效果。不定时地利用线上平台对学生进行辅导答疑。</w:t>
            </w:r>
          </w:p>
          <w:p w14:paraId="73037463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cs="仿宋" w:asciiTheme="minorEastAsia" w:hAnsiTheme="minorEastAsia" w:eastAsiaTheme="minorEastAsia"/>
              </w:rPr>
            </w:pPr>
            <w:r>
              <w:rPr>
                <w:rFonts w:cs="仿宋" w:asciiTheme="minorEastAsia" w:hAnsiTheme="minorEastAsia" w:eastAsiaTheme="minorEastAsia"/>
              </w:rPr>
              <w:t>2.</w:t>
            </w:r>
            <w:r>
              <w:rPr>
                <w:rFonts w:cs="仿宋" w:asciiTheme="minorEastAsia" w:hAnsiTheme="minorEastAsia" w:eastAsiaTheme="minorEastAsia"/>
              </w:rPr>
              <w:tab/>
            </w:r>
            <w:r>
              <w:rPr>
                <w:rFonts w:hint="eastAsia" w:cs="仿宋" w:asciiTheme="minorEastAsia" w:hAnsiTheme="minorEastAsia" w:eastAsiaTheme="minorEastAsia"/>
              </w:rPr>
              <w:t>每</w:t>
            </w:r>
            <w:r>
              <w:rPr>
                <w:rFonts w:cs="仿宋" w:asciiTheme="minorEastAsia" w:hAnsiTheme="minorEastAsia" w:eastAsiaTheme="minorEastAsia"/>
              </w:rPr>
              <w:t>周给学生布置日语</w:t>
            </w:r>
            <w:r>
              <w:rPr>
                <w:rFonts w:hint="eastAsia" w:cs="仿宋" w:asciiTheme="minorEastAsia" w:hAnsiTheme="minorEastAsia" w:eastAsiaTheme="minorEastAsia"/>
              </w:rPr>
              <w:t>阅读写作</w:t>
            </w:r>
            <w:r>
              <w:rPr>
                <w:rFonts w:cs="仿宋" w:asciiTheme="minorEastAsia" w:hAnsiTheme="minorEastAsia" w:eastAsiaTheme="minorEastAsia"/>
              </w:rPr>
              <w:t>作业，让学生</w:t>
            </w:r>
            <w:r>
              <w:rPr>
                <w:rFonts w:hint="eastAsia" w:cs="仿宋" w:asciiTheme="minorEastAsia" w:hAnsiTheme="minorEastAsia" w:eastAsiaTheme="minorEastAsia"/>
              </w:rPr>
              <w:t>提交电子版本</w:t>
            </w:r>
            <w:r>
              <w:rPr>
                <w:rFonts w:cs="仿宋" w:asciiTheme="minorEastAsia" w:hAnsiTheme="minorEastAsia" w:eastAsiaTheme="minorEastAsia"/>
              </w:rPr>
              <w:t>熟练日语输入</w:t>
            </w:r>
            <w:r>
              <w:rPr>
                <w:rFonts w:hint="eastAsia" w:cs="仿宋" w:asciiTheme="minorEastAsia" w:hAnsiTheme="minorEastAsia" w:eastAsiaTheme="minorEastAsia"/>
              </w:rPr>
              <w:t>法</w:t>
            </w:r>
            <w:r>
              <w:rPr>
                <w:rFonts w:cs="仿宋" w:asciiTheme="minorEastAsia" w:hAnsiTheme="minorEastAsia" w:eastAsiaTheme="minorEastAsia"/>
              </w:rPr>
              <w:t>，加强对每课所学知识的强化记忆。同时，根据学生的具体情况，适当延长</w:t>
            </w:r>
            <w:r>
              <w:rPr>
                <w:rFonts w:hint="eastAsia" w:cs="仿宋" w:asciiTheme="minorEastAsia" w:hAnsiTheme="minorEastAsia" w:eastAsiaTheme="minorEastAsia"/>
              </w:rPr>
              <w:t>考作业</w:t>
            </w:r>
            <w:r>
              <w:rPr>
                <w:rFonts w:cs="仿宋" w:asciiTheme="minorEastAsia" w:hAnsiTheme="minorEastAsia" w:eastAsiaTheme="minorEastAsia"/>
              </w:rPr>
              <w:t>时间，保证学生能够完成。</w:t>
            </w:r>
          </w:p>
          <w:p w14:paraId="51A2828E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cs="仿宋" w:asciiTheme="minorEastAsia" w:hAnsiTheme="minorEastAsia" w:eastAsiaTheme="minorEastAsia"/>
              </w:rPr>
              <w:t>3.</w:t>
            </w:r>
            <w:r>
              <w:rPr>
                <w:rFonts w:cs="仿宋" w:asciiTheme="minorEastAsia" w:hAnsiTheme="minorEastAsia" w:eastAsiaTheme="minorEastAsia"/>
              </w:rPr>
              <w:tab/>
            </w:r>
            <w:r>
              <w:rPr>
                <w:rFonts w:cs="仿宋" w:asciiTheme="minorEastAsia" w:hAnsiTheme="minorEastAsia" w:eastAsiaTheme="minorEastAsia"/>
              </w:rPr>
              <w:t>注重激发学生的自主学习热情，制作有趣中日文化PPT,并展示给学生，提高课堂日语学习分为。并为了提高学生的日语运用能力，同时鼓励学生增加课外阅读</w:t>
            </w:r>
            <w:r>
              <w:rPr>
                <w:rFonts w:hint="eastAsia" w:cs="仿宋" w:asciiTheme="minorEastAsia" w:hAnsiTheme="minorEastAsia" w:eastAsiaTheme="minorEastAsia"/>
              </w:rPr>
              <w:t>，建立云班课</w:t>
            </w:r>
            <w:r>
              <w:rPr>
                <w:rFonts w:cs="仿宋" w:asciiTheme="minorEastAsia" w:hAnsiTheme="minorEastAsia" w:eastAsiaTheme="minorEastAsia"/>
              </w:rPr>
              <w:t>。</w:t>
            </w:r>
          </w:p>
        </w:tc>
      </w:tr>
    </w:tbl>
    <w:p w14:paraId="3FDCBE1F">
      <w:pPr>
        <w:pStyle w:val="18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4"/>
        <w:gridCol w:w="668"/>
        <w:gridCol w:w="716"/>
      </w:tblGrid>
      <w:tr w14:paraId="7FAD8861"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D57AE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6034A10C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4F662662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B8EECB0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83AA131"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</w:tcPr>
          <w:p w14:paraId="6A6AA8D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</w:tcPr>
          <w:p w14:paraId="46D933A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56A81C5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DFE780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1FBF433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A2089F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00262EC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A50261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第一单元</w:t>
            </w:r>
          </w:p>
        </w:tc>
        <w:tc>
          <w:tcPr>
            <w:tcW w:w="3041" w:type="dxa"/>
            <w:vAlign w:val="center"/>
          </w:tcPr>
          <w:p w14:paraId="1B49A2A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预习 讲授 分组讨论 复习</w:t>
            </w:r>
          </w:p>
        </w:tc>
        <w:tc>
          <w:tcPr>
            <w:tcW w:w="1738" w:type="dxa"/>
            <w:vAlign w:val="center"/>
          </w:tcPr>
          <w:p w14:paraId="0BB929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581AAF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8" w:type="dxa"/>
            <w:vAlign w:val="center"/>
          </w:tcPr>
          <w:p w14:paraId="677901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CA561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11AF78D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31C6F3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</w:t>
            </w:r>
          </w:p>
        </w:tc>
        <w:tc>
          <w:tcPr>
            <w:tcW w:w="3041" w:type="dxa"/>
            <w:vAlign w:val="center"/>
          </w:tcPr>
          <w:p w14:paraId="5B45F57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预习 讲授 分组讨论 复习</w:t>
            </w:r>
          </w:p>
        </w:tc>
        <w:tc>
          <w:tcPr>
            <w:tcW w:w="1738" w:type="dxa"/>
            <w:vAlign w:val="center"/>
          </w:tcPr>
          <w:p w14:paraId="6AE194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7C90976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3A8276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A7130C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48EB12F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22AED0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第三单元</w:t>
            </w:r>
          </w:p>
        </w:tc>
        <w:tc>
          <w:tcPr>
            <w:tcW w:w="3041" w:type="dxa"/>
            <w:vAlign w:val="center"/>
          </w:tcPr>
          <w:p w14:paraId="0DEC131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预习 讲授 分组讨论 复习</w:t>
            </w:r>
          </w:p>
        </w:tc>
        <w:tc>
          <w:tcPr>
            <w:tcW w:w="1738" w:type="dxa"/>
            <w:vAlign w:val="center"/>
          </w:tcPr>
          <w:p w14:paraId="6827276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694DB90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16F2C9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957DDD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5728296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81D82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第四单元</w:t>
            </w:r>
          </w:p>
        </w:tc>
        <w:tc>
          <w:tcPr>
            <w:tcW w:w="3041" w:type="dxa"/>
            <w:vAlign w:val="center"/>
          </w:tcPr>
          <w:p w14:paraId="533C0F0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预习 讲授 分组讨论 复习</w:t>
            </w:r>
          </w:p>
        </w:tc>
        <w:tc>
          <w:tcPr>
            <w:tcW w:w="1738" w:type="dxa"/>
            <w:vAlign w:val="center"/>
          </w:tcPr>
          <w:p w14:paraId="2D012E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067A60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2F278AE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10FFD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AFDA303"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7890F46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第五单元</w:t>
            </w:r>
          </w:p>
        </w:tc>
        <w:tc>
          <w:tcPr>
            <w:tcW w:w="3041" w:type="dxa"/>
            <w:vAlign w:val="center"/>
          </w:tcPr>
          <w:p w14:paraId="5B0ED0C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预习 讲授 分组讨论 复习 </w:t>
            </w:r>
          </w:p>
        </w:tc>
        <w:tc>
          <w:tcPr>
            <w:tcW w:w="1738" w:type="dxa"/>
            <w:vAlign w:val="center"/>
          </w:tcPr>
          <w:p w14:paraId="2C873C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小作业</w:t>
            </w:r>
          </w:p>
        </w:tc>
        <w:tc>
          <w:tcPr>
            <w:tcW w:w="724" w:type="dxa"/>
            <w:vAlign w:val="center"/>
          </w:tcPr>
          <w:p w14:paraId="1AC247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8" w:type="dxa"/>
            <w:vAlign w:val="center"/>
          </w:tcPr>
          <w:p w14:paraId="61F2B5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38DAC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DCBBC95">
        <w:trPr>
          <w:trHeight w:val="454" w:hRule="atLeast"/>
          <w:jc w:val="center"/>
        </w:trPr>
        <w:tc>
          <w:tcPr>
            <w:tcW w:w="636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23F7B4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2EA05F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 w14:paraId="6BF9ED9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EECE0C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</w:tr>
    </w:tbl>
    <w:p w14:paraId="735AFF1B">
      <w:pPr>
        <w:pStyle w:val="18"/>
        <w:spacing w:before="326" w:beforeLines="100" w:after="163"/>
      </w:pPr>
      <w:r>
        <w:rPr>
          <w:rFonts w:hint="eastAsia"/>
        </w:rPr>
        <w:t>（五）课内实验项目与基本要求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3"/>
        <w:gridCol w:w="4200"/>
        <w:gridCol w:w="723"/>
        <w:gridCol w:w="950"/>
      </w:tblGrid>
      <w:tr w14:paraId="2916F3DF"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1DD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2054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92BB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312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3A6B2B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7E088C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80AD2B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46372E7D"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91028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89B2">
            <w:pPr>
              <w:pStyle w:val="15"/>
              <w:jc w:val="both"/>
            </w:pPr>
            <w:r>
              <w:rPr>
                <w:rFonts w:hint="eastAsia"/>
              </w:rPr>
              <w:t>小论文1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7FB0">
            <w:pPr>
              <w:pStyle w:val="15"/>
              <w:jc w:val="both"/>
            </w:pPr>
            <w:r>
              <w:rPr>
                <w:rFonts w:hint="eastAsia"/>
              </w:rPr>
              <w:t>阅读范文1，总结概括写作训练。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53B9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407C618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22366DD2"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1FB9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CAC6">
            <w:pPr>
              <w:pStyle w:val="15"/>
              <w:jc w:val="both"/>
            </w:pPr>
            <w:r>
              <w:rPr>
                <w:rFonts w:hint="eastAsia"/>
              </w:rPr>
              <w:t>小论文2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EE09">
            <w:pPr>
              <w:pStyle w:val="15"/>
              <w:jc w:val="both"/>
            </w:pPr>
            <w:r>
              <w:rPr>
                <w:rFonts w:hint="eastAsia"/>
              </w:rPr>
              <w:t>阅读范文2，总结概括写作训练。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EE30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2DE670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188BFB40"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213AA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B02AA">
            <w:pPr>
              <w:pStyle w:val="15"/>
              <w:jc w:val="both"/>
            </w:pPr>
            <w:r>
              <w:rPr>
                <w:rFonts w:hint="eastAsia"/>
              </w:rPr>
              <w:t>小论文3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B755">
            <w:pPr>
              <w:pStyle w:val="15"/>
              <w:jc w:val="both"/>
            </w:pPr>
            <w:r>
              <w:rPr>
                <w:rFonts w:hint="eastAsia"/>
              </w:rPr>
              <w:t>阅读范文3，总结概括写作训练。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4929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062EA79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15421B2F"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2140369">
            <w:pPr>
              <w:pStyle w:val="15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5EC5F51">
            <w:pPr>
              <w:pStyle w:val="15"/>
              <w:jc w:val="both"/>
            </w:pPr>
            <w:r>
              <w:rPr>
                <w:rFonts w:hint="eastAsia"/>
              </w:rPr>
              <w:t>小论文4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AF962A">
            <w:pPr>
              <w:pStyle w:val="15"/>
              <w:jc w:val="both"/>
            </w:pPr>
            <w:r>
              <w:rPr>
                <w:rFonts w:hint="eastAsia"/>
              </w:rPr>
              <w:t>阅读范文4，总结概括写作训练。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4ED1826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C6997B2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7F2A4DD7">
        <w:trPr>
          <w:trHeight w:val="454" w:hRule="atLeast"/>
          <w:jc w:val="center"/>
        </w:trPr>
        <w:tc>
          <w:tcPr>
            <w:tcW w:w="829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892BA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12CB3255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69D2303D">
        <w:trPr>
          <w:trHeight w:val="454" w:hRule="atLeast"/>
        </w:trPr>
        <w:tc>
          <w:tcPr>
            <w:tcW w:w="1299" w:type="dxa"/>
            <w:vAlign w:val="center"/>
          </w:tcPr>
          <w:p w14:paraId="39018BD5">
            <w:pPr>
              <w:pStyle w:val="14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5D4D7CCC">
            <w:pPr>
              <w:pStyle w:val="14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75BCA715">
        <w:trPr>
          <w:trHeight w:val="454" w:hRule="atLeast"/>
        </w:trPr>
        <w:tc>
          <w:tcPr>
            <w:tcW w:w="1299" w:type="dxa"/>
            <w:vAlign w:val="center"/>
          </w:tcPr>
          <w:p w14:paraId="5061EA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第一单元</w:t>
            </w:r>
          </w:p>
        </w:tc>
        <w:tc>
          <w:tcPr>
            <w:tcW w:w="7177" w:type="dxa"/>
            <w:vAlign w:val="center"/>
          </w:tcPr>
          <w:p w14:paraId="34EF042E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引入中文论文学术严谨性</w:t>
            </w:r>
          </w:p>
        </w:tc>
      </w:tr>
      <w:tr w14:paraId="454A6C0A">
        <w:trPr>
          <w:trHeight w:val="454" w:hRule="atLeast"/>
        </w:trPr>
        <w:tc>
          <w:tcPr>
            <w:tcW w:w="1299" w:type="dxa"/>
            <w:vAlign w:val="center"/>
          </w:tcPr>
          <w:p w14:paraId="3D2E3E6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</w:t>
            </w:r>
          </w:p>
        </w:tc>
        <w:tc>
          <w:tcPr>
            <w:tcW w:w="7177" w:type="dxa"/>
            <w:vAlign w:val="center"/>
          </w:tcPr>
          <w:p w14:paraId="6950071F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引入中国文学类专业领域学术文化</w:t>
            </w:r>
          </w:p>
        </w:tc>
      </w:tr>
      <w:tr w14:paraId="70356936">
        <w:trPr>
          <w:trHeight w:val="454" w:hRule="atLeast"/>
        </w:trPr>
        <w:tc>
          <w:tcPr>
            <w:tcW w:w="1299" w:type="dxa"/>
            <w:vAlign w:val="center"/>
          </w:tcPr>
          <w:p w14:paraId="527670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第三单元</w:t>
            </w:r>
          </w:p>
        </w:tc>
        <w:tc>
          <w:tcPr>
            <w:tcW w:w="7177" w:type="dxa"/>
            <w:vAlign w:val="center"/>
          </w:tcPr>
          <w:p w14:paraId="58B90564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引入中国文化类专业领域学术文化</w:t>
            </w:r>
          </w:p>
        </w:tc>
      </w:tr>
      <w:tr w14:paraId="7C4D638E">
        <w:trPr>
          <w:trHeight w:val="454" w:hRule="atLeast"/>
        </w:trPr>
        <w:tc>
          <w:tcPr>
            <w:tcW w:w="1299" w:type="dxa"/>
            <w:vAlign w:val="center"/>
          </w:tcPr>
          <w:p w14:paraId="00244E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第四单元</w:t>
            </w:r>
          </w:p>
        </w:tc>
        <w:tc>
          <w:tcPr>
            <w:tcW w:w="7177" w:type="dxa"/>
            <w:vAlign w:val="center"/>
          </w:tcPr>
          <w:p w14:paraId="37D1BECD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引入中国优秀传统文化对邻国文化的影响</w:t>
            </w:r>
          </w:p>
        </w:tc>
      </w:tr>
      <w:tr w14:paraId="3C9F1647">
        <w:trPr>
          <w:trHeight w:val="454" w:hRule="atLeast"/>
        </w:trPr>
        <w:tc>
          <w:tcPr>
            <w:tcW w:w="1299" w:type="dxa"/>
            <w:vAlign w:val="center"/>
          </w:tcPr>
          <w:p w14:paraId="56CC1F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第五单元</w:t>
            </w:r>
          </w:p>
        </w:tc>
        <w:tc>
          <w:tcPr>
            <w:tcW w:w="7177" w:type="dxa"/>
            <w:vAlign w:val="center"/>
          </w:tcPr>
          <w:p w14:paraId="35ED860D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引入中国优秀传统文化对邻国文化的影响</w:t>
            </w:r>
          </w:p>
        </w:tc>
      </w:tr>
    </w:tbl>
    <w:p w14:paraId="22E46E93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88"/>
        <w:gridCol w:w="2116"/>
        <w:gridCol w:w="710"/>
        <w:gridCol w:w="668"/>
        <w:gridCol w:w="760"/>
        <w:gridCol w:w="774"/>
        <w:gridCol w:w="689"/>
        <w:gridCol w:w="646"/>
        <w:gridCol w:w="684"/>
      </w:tblGrid>
      <w:tr w14:paraId="41B5BBF8">
        <w:trPr>
          <w:trHeight w:val="454" w:hRule="atLeast"/>
        </w:trPr>
        <w:tc>
          <w:tcPr>
            <w:tcW w:w="78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0797D3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88" w:type="dxa"/>
            <w:vMerge w:val="restart"/>
            <w:tcBorders>
              <w:top w:val="single" w:color="auto" w:sz="12" w:space="0"/>
            </w:tcBorders>
            <w:vAlign w:val="center"/>
          </w:tcPr>
          <w:p w14:paraId="35CA8306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116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6B442EC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247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61B35F5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F80F8A8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2CAE300">
        <w:trPr>
          <w:trHeight w:val="454" w:hRule="atLeast"/>
        </w:trPr>
        <w:tc>
          <w:tcPr>
            <w:tcW w:w="787" w:type="dxa"/>
            <w:vMerge w:val="continue"/>
            <w:tcBorders>
              <w:left w:val="single" w:color="auto" w:sz="12" w:space="0"/>
            </w:tcBorders>
          </w:tcPr>
          <w:p w14:paraId="4423B43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</w:tcPr>
          <w:p w14:paraId="630B4F65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116" w:type="dxa"/>
            <w:vMerge w:val="continue"/>
            <w:tcBorders>
              <w:right w:val="double" w:color="auto" w:sz="4" w:space="0"/>
            </w:tcBorders>
          </w:tcPr>
          <w:p w14:paraId="024CEE34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10" w:type="dxa"/>
            <w:tcBorders>
              <w:left w:val="double" w:color="auto" w:sz="4" w:space="0"/>
            </w:tcBorders>
            <w:vAlign w:val="center"/>
          </w:tcPr>
          <w:p w14:paraId="6A7AAB4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1-1</w:t>
            </w:r>
          </w:p>
        </w:tc>
        <w:tc>
          <w:tcPr>
            <w:tcW w:w="668" w:type="dxa"/>
            <w:vAlign w:val="center"/>
          </w:tcPr>
          <w:p w14:paraId="7821416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2-1</w:t>
            </w:r>
          </w:p>
        </w:tc>
        <w:tc>
          <w:tcPr>
            <w:tcW w:w="760" w:type="dxa"/>
            <w:vAlign w:val="center"/>
          </w:tcPr>
          <w:p w14:paraId="5AC6F3B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2-2</w:t>
            </w:r>
          </w:p>
        </w:tc>
        <w:tc>
          <w:tcPr>
            <w:tcW w:w="774" w:type="dxa"/>
            <w:vAlign w:val="center"/>
          </w:tcPr>
          <w:p w14:paraId="755691F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3-1</w:t>
            </w:r>
          </w:p>
        </w:tc>
        <w:tc>
          <w:tcPr>
            <w:tcW w:w="689" w:type="dxa"/>
            <w:vAlign w:val="center"/>
          </w:tcPr>
          <w:p w14:paraId="29E6F286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szCs w:val="16"/>
              </w:rPr>
              <w:t>4-1</w:t>
            </w:r>
          </w:p>
        </w:tc>
        <w:tc>
          <w:tcPr>
            <w:tcW w:w="646" w:type="dxa"/>
          </w:tcPr>
          <w:p w14:paraId="3D11A96E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/>
                <w:szCs w:val="16"/>
              </w:rPr>
              <w:t>5</w:t>
            </w:r>
            <w:r>
              <w:rPr>
                <w:szCs w:val="16"/>
              </w:rPr>
              <w:t>-1</w:t>
            </w:r>
          </w:p>
        </w:tc>
        <w:tc>
          <w:tcPr>
            <w:tcW w:w="684" w:type="dxa"/>
            <w:vMerge w:val="continue"/>
            <w:tcBorders>
              <w:right w:val="single" w:color="auto" w:sz="12" w:space="0"/>
            </w:tcBorders>
            <w:vAlign w:val="center"/>
          </w:tcPr>
          <w:p w14:paraId="6C734B7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F8472CC">
        <w:trPr>
          <w:trHeight w:val="454" w:hRule="atLeast"/>
        </w:trPr>
        <w:tc>
          <w:tcPr>
            <w:tcW w:w="787" w:type="dxa"/>
            <w:tcBorders>
              <w:left w:val="single" w:color="auto" w:sz="12" w:space="0"/>
            </w:tcBorders>
            <w:vAlign w:val="center"/>
          </w:tcPr>
          <w:p w14:paraId="02632A7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688" w:type="dxa"/>
            <w:vAlign w:val="center"/>
          </w:tcPr>
          <w:p w14:paraId="6C31C6A4">
            <w:pPr>
              <w:pStyle w:val="15"/>
              <w:widowControl w:val="0"/>
            </w:pPr>
            <w:r>
              <w:rPr>
                <w:rFonts w:hint="eastAsia"/>
              </w:rPr>
              <w:t>60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2116" w:type="dxa"/>
            <w:tcBorders>
              <w:right w:val="double" w:color="auto" w:sz="4" w:space="0"/>
            </w:tcBorders>
            <w:vAlign w:val="center"/>
          </w:tcPr>
          <w:p w14:paraId="0EB8E378">
            <w:pPr>
              <w:pStyle w:val="15"/>
              <w:widowControl w:val="0"/>
            </w:pPr>
            <w:r>
              <w:rPr>
                <w:rFonts w:hint="eastAsia"/>
              </w:rPr>
              <w:t>大作业</w:t>
            </w:r>
          </w:p>
        </w:tc>
        <w:tc>
          <w:tcPr>
            <w:tcW w:w="710" w:type="dxa"/>
            <w:tcBorders>
              <w:left w:val="double" w:color="auto" w:sz="4" w:space="0"/>
            </w:tcBorders>
            <w:vAlign w:val="center"/>
          </w:tcPr>
          <w:p w14:paraId="20980D8E">
            <w:pPr>
              <w:pStyle w:val="15"/>
              <w:widowControl w:val="0"/>
            </w:pPr>
          </w:p>
        </w:tc>
        <w:tc>
          <w:tcPr>
            <w:tcW w:w="668" w:type="dxa"/>
            <w:vAlign w:val="center"/>
          </w:tcPr>
          <w:p w14:paraId="09A5FE8E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60" w:type="dxa"/>
            <w:vAlign w:val="center"/>
          </w:tcPr>
          <w:p w14:paraId="5F301768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74" w:type="dxa"/>
            <w:vAlign w:val="center"/>
          </w:tcPr>
          <w:p w14:paraId="66A821B7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9" w:type="dxa"/>
            <w:vAlign w:val="center"/>
          </w:tcPr>
          <w:p w14:paraId="73416B43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46" w:type="dxa"/>
          </w:tcPr>
          <w:p w14:paraId="679336E5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4" w:type="dxa"/>
            <w:tcBorders>
              <w:right w:val="single" w:color="auto" w:sz="12" w:space="0"/>
            </w:tcBorders>
            <w:vAlign w:val="center"/>
          </w:tcPr>
          <w:p w14:paraId="1A2B9332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EBF94BE">
        <w:trPr>
          <w:trHeight w:val="454" w:hRule="atLeast"/>
        </w:trPr>
        <w:tc>
          <w:tcPr>
            <w:tcW w:w="787" w:type="dxa"/>
            <w:tcBorders>
              <w:left w:val="single" w:color="auto" w:sz="12" w:space="0"/>
            </w:tcBorders>
            <w:vAlign w:val="center"/>
          </w:tcPr>
          <w:p w14:paraId="1DA9574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688" w:type="dxa"/>
            <w:vAlign w:val="center"/>
          </w:tcPr>
          <w:p w14:paraId="16500F67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2116" w:type="dxa"/>
            <w:tcBorders>
              <w:right w:val="double" w:color="auto" w:sz="4" w:space="0"/>
            </w:tcBorders>
            <w:vAlign w:val="center"/>
          </w:tcPr>
          <w:p w14:paraId="344EF5B5">
            <w:pPr>
              <w:pStyle w:val="15"/>
              <w:widowControl w:val="0"/>
            </w:pPr>
            <w:r>
              <w:rPr>
                <w:rFonts w:hint="eastAsia"/>
              </w:rPr>
              <w:t>小作业</w:t>
            </w:r>
          </w:p>
        </w:tc>
        <w:tc>
          <w:tcPr>
            <w:tcW w:w="710" w:type="dxa"/>
            <w:tcBorders>
              <w:left w:val="double" w:color="auto" w:sz="4" w:space="0"/>
            </w:tcBorders>
            <w:vAlign w:val="center"/>
          </w:tcPr>
          <w:p w14:paraId="2EE98B47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68" w:type="dxa"/>
            <w:vAlign w:val="center"/>
          </w:tcPr>
          <w:p w14:paraId="1988373A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60" w:type="dxa"/>
            <w:vAlign w:val="center"/>
          </w:tcPr>
          <w:p w14:paraId="73CF7794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74" w:type="dxa"/>
            <w:vAlign w:val="center"/>
          </w:tcPr>
          <w:p w14:paraId="66869600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9" w:type="dxa"/>
            <w:vAlign w:val="center"/>
          </w:tcPr>
          <w:p w14:paraId="3AD960A5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46" w:type="dxa"/>
          </w:tcPr>
          <w:p w14:paraId="087DCE50">
            <w:pPr>
              <w:pStyle w:val="15"/>
              <w:widowControl w:val="0"/>
            </w:pPr>
          </w:p>
        </w:tc>
        <w:tc>
          <w:tcPr>
            <w:tcW w:w="684" w:type="dxa"/>
            <w:tcBorders>
              <w:right w:val="single" w:color="auto" w:sz="12" w:space="0"/>
            </w:tcBorders>
            <w:vAlign w:val="center"/>
          </w:tcPr>
          <w:p w14:paraId="2124EA88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919FB76">
        <w:trPr>
          <w:trHeight w:val="454" w:hRule="atLeast"/>
        </w:trPr>
        <w:tc>
          <w:tcPr>
            <w:tcW w:w="787" w:type="dxa"/>
            <w:tcBorders>
              <w:left w:val="single" w:color="auto" w:sz="12" w:space="0"/>
            </w:tcBorders>
            <w:vAlign w:val="center"/>
          </w:tcPr>
          <w:p w14:paraId="7CC0CBA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688" w:type="dxa"/>
            <w:vAlign w:val="center"/>
          </w:tcPr>
          <w:p w14:paraId="6B214038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2116" w:type="dxa"/>
            <w:tcBorders>
              <w:right w:val="double" w:color="auto" w:sz="4" w:space="0"/>
            </w:tcBorders>
            <w:vAlign w:val="center"/>
          </w:tcPr>
          <w:p w14:paraId="095F3CF6">
            <w:pPr>
              <w:pStyle w:val="15"/>
              <w:widowControl w:val="0"/>
            </w:pPr>
            <w:r>
              <w:rPr>
                <w:rFonts w:hint="eastAsia"/>
              </w:rPr>
              <w:t>小作业</w:t>
            </w:r>
          </w:p>
        </w:tc>
        <w:tc>
          <w:tcPr>
            <w:tcW w:w="710" w:type="dxa"/>
            <w:tcBorders>
              <w:left w:val="double" w:color="auto" w:sz="4" w:space="0"/>
            </w:tcBorders>
            <w:vAlign w:val="center"/>
          </w:tcPr>
          <w:p w14:paraId="2500FC8D">
            <w:pPr>
              <w:pStyle w:val="15"/>
              <w:widowControl w:val="0"/>
            </w:pPr>
          </w:p>
        </w:tc>
        <w:tc>
          <w:tcPr>
            <w:tcW w:w="668" w:type="dxa"/>
            <w:vAlign w:val="center"/>
          </w:tcPr>
          <w:p w14:paraId="0EAD07DF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60" w:type="dxa"/>
            <w:vAlign w:val="center"/>
          </w:tcPr>
          <w:p w14:paraId="7E46D80E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74" w:type="dxa"/>
            <w:vAlign w:val="center"/>
          </w:tcPr>
          <w:p w14:paraId="10531110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9" w:type="dxa"/>
            <w:vAlign w:val="center"/>
          </w:tcPr>
          <w:p w14:paraId="49A77DB0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46" w:type="dxa"/>
          </w:tcPr>
          <w:p w14:paraId="290D6C34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4" w:type="dxa"/>
            <w:tcBorders>
              <w:right w:val="single" w:color="auto" w:sz="12" w:space="0"/>
            </w:tcBorders>
            <w:vAlign w:val="center"/>
          </w:tcPr>
          <w:p w14:paraId="18C21787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AD6DC8A">
      <w:pPr>
        <w:pStyle w:val="17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64C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C1087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73CB9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>
                            <w:rPr>
                              <w:rFonts w:ascii="Times New Roman" w:hAnsi="Times New Roman"/>
                              <w:highlight w:val="none"/>
                            </w:rPr>
                            <w:t>033（A1）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073CB9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</w:t>
                    </w:r>
                    <w:r>
                      <w:rPr>
                        <w:rFonts w:ascii="Times New Roman" w:hAnsi="Times New Roman"/>
                        <w:highlight w:val="none"/>
                      </w:rPr>
                      <w:t>033（A1）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B2F8F"/>
    <w:multiLevelType w:val="multilevel"/>
    <w:tmpl w:val="709B2F8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ZDM1OWFhOTRhYzMxMDkzNTU0NmU2ZmI1MzIxODIifQ=="/>
  </w:docVars>
  <w:rsids>
    <w:rsidRoot w:val="00B7651F"/>
    <w:rsid w:val="000023B2"/>
    <w:rsid w:val="00011B7E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08B3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934A4"/>
    <w:rsid w:val="007A0AC9"/>
    <w:rsid w:val="007A1B70"/>
    <w:rsid w:val="007A57F6"/>
    <w:rsid w:val="007A748B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6B23"/>
    <w:rsid w:val="0083705D"/>
    <w:rsid w:val="0084242F"/>
    <w:rsid w:val="00847437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1B50"/>
    <w:rsid w:val="008F253F"/>
    <w:rsid w:val="008F7F31"/>
    <w:rsid w:val="00900019"/>
    <w:rsid w:val="009023B1"/>
    <w:rsid w:val="009147D6"/>
    <w:rsid w:val="00920EC7"/>
    <w:rsid w:val="009213A3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4CA8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2C62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E5A2B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524"/>
    <w:rsid w:val="00DD3C7B"/>
    <w:rsid w:val="00DE2B21"/>
    <w:rsid w:val="00DE48DE"/>
    <w:rsid w:val="00DF25F2"/>
    <w:rsid w:val="00DF4166"/>
    <w:rsid w:val="00E000F4"/>
    <w:rsid w:val="00E01231"/>
    <w:rsid w:val="00E01A40"/>
    <w:rsid w:val="00E04279"/>
    <w:rsid w:val="00E11393"/>
    <w:rsid w:val="00E125D9"/>
    <w:rsid w:val="00E16D30"/>
    <w:rsid w:val="00E273A4"/>
    <w:rsid w:val="00E31E69"/>
    <w:rsid w:val="00E33169"/>
    <w:rsid w:val="00E34A7B"/>
    <w:rsid w:val="00E40973"/>
    <w:rsid w:val="00E46F20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33E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2392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47A17"/>
    <w:rsid w:val="00F53A7C"/>
    <w:rsid w:val="00F544A2"/>
    <w:rsid w:val="00F70A16"/>
    <w:rsid w:val="00F76CB9"/>
    <w:rsid w:val="00F77A73"/>
    <w:rsid w:val="00F80E46"/>
    <w:rsid w:val="00F96236"/>
    <w:rsid w:val="00FA10CE"/>
    <w:rsid w:val="00FA222F"/>
    <w:rsid w:val="00FA2891"/>
    <w:rsid w:val="00FA4B5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2876055"/>
    <w:rsid w:val="569868B5"/>
    <w:rsid w:val="611F6817"/>
    <w:rsid w:val="66CA1754"/>
    <w:rsid w:val="6F1E65D4"/>
    <w:rsid w:val="6F266C86"/>
    <w:rsid w:val="6F5042C2"/>
    <w:rsid w:val="7318C70D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uiPriority w:val="0"/>
  </w:style>
  <w:style w:type="character" w:styleId="23">
    <w:name w:val="Placeholder Text"/>
    <w:basedOn w:val="10"/>
    <w:unhideWhenUsed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581</Words>
  <Characters>3318</Characters>
  <Lines>27</Lines>
  <Paragraphs>7</Paragraphs>
  <TotalTime>0</TotalTime>
  <ScaleCrop>false</ScaleCrop>
  <LinksUpToDate>false</LinksUpToDate>
  <CharactersWithSpaces>3892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2024-09-01T18:39:00Z</dcterms:created>
  <dc:creator>juvg</dc:creator>
  <cp:lastModifiedBy>假字稻遮劳</cp:lastModifiedBy>
  <cp:lastPrinted>2023-10-23T12:11:00Z</cp:lastPrinted>
  <dcterms:modified xsi:type="dcterms:W3CDTF">2024-09-25T22:21:48Z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EF660FFDB6914DB4A3C245AB63B9906F_13</vt:lpwstr>
  </property>
</Properties>
</file>