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898BF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bCs/>
          <w:sz w:val="32"/>
          <w:szCs w:val="32"/>
        </w:rPr>
        <w:t>跨文化交际 》本科课程教学大纲</w:t>
      </w:r>
    </w:p>
    <w:p w14:paraId="6D688311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85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1102"/>
      </w:tblGrid>
      <w:tr w14:paraId="22505D00"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5D791F6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901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AB6CFD9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（中文）跨文化交际</w:t>
            </w:r>
          </w:p>
        </w:tc>
      </w:tr>
      <w:tr w14:paraId="05C2356C"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00C801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1" w:type="dxa"/>
            <w:gridSpan w:val="6"/>
            <w:tcBorders>
              <w:right w:val="single" w:color="auto" w:sz="12" w:space="0"/>
            </w:tcBorders>
            <w:vAlign w:val="center"/>
          </w:tcPr>
          <w:p w14:paraId="7A9A1FC8">
            <w:pPr>
              <w:widowControl w:val="0"/>
              <w:jc w:val="left"/>
              <w:rPr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ascii="Century" w:hAnsi="Century" w:eastAsia="黑体" w:cs="Times New Roman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Intercultural Communication</w:t>
            </w:r>
          </w:p>
        </w:tc>
      </w:tr>
      <w:tr w14:paraId="4C4A6A40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688116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2D116E5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1020022</w:t>
            </w:r>
          </w:p>
        </w:tc>
        <w:tc>
          <w:tcPr>
            <w:tcW w:w="2126" w:type="dxa"/>
            <w:gridSpan w:val="2"/>
            <w:vAlign w:val="center"/>
          </w:tcPr>
          <w:p w14:paraId="10C3077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515" w:type="dxa"/>
            <w:gridSpan w:val="3"/>
            <w:tcBorders>
              <w:right w:val="single" w:color="auto" w:sz="12" w:space="0"/>
            </w:tcBorders>
            <w:vAlign w:val="center"/>
          </w:tcPr>
          <w:p w14:paraId="2501ACAF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5EF09D3E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DDAE753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31E93F5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5C2F7419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2385C338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413" w:type="dxa"/>
            <w:gridSpan w:val="2"/>
            <w:vAlign w:val="center"/>
          </w:tcPr>
          <w:p w14:paraId="5D9EF08B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1102" w:type="dxa"/>
            <w:tcBorders>
              <w:right w:val="single" w:color="auto" w:sz="12" w:space="0"/>
            </w:tcBorders>
            <w:vAlign w:val="center"/>
          </w:tcPr>
          <w:p w14:paraId="357EDCFD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D151BDD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FCD2A5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0CDF1FA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66CD484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515" w:type="dxa"/>
            <w:gridSpan w:val="3"/>
            <w:tcBorders>
              <w:right w:val="single" w:color="auto" w:sz="12" w:space="0"/>
            </w:tcBorders>
            <w:vAlign w:val="center"/>
          </w:tcPr>
          <w:p w14:paraId="6C5A3E4E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日语专业三年级</w:t>
            </w:r>
          </w:p>
        </w:tc>
      </w:tr>
      <w:tr w14:paraId="12449771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DDACBE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1DCDE006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专业基础课 专业基础选修课</w:t>
            </w:r>
          </w:p>
        </w:tc>
        <w:tc>
          <w:tcPr>
            <w:tcW w:w="2126" w:type="dxa"/>
            <w:gridSpan w:val="2"/>
            <w:vAlign w:val="center"/>
          </w:tcPr>
          <w:p w14:paraId="7E17FDF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515" w:type="dxa"/>
            <w:gridSpan w:val="3"/>
            <w:tcBorders>
              <w:right w:val="single" w:color="auto" w:sz="12" w:space="0"/>
            </w:tcBorders>
            <w:vAlign w:val="center"/>
          </w:tcPr>
          <w:p w14:paraId="79782C33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</w:tr>
      <w:tr w14:paraId="6EEF4707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C7287B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00CD6421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《中日跨文化交际实用教程》，张韶岩编著，华东理工大学出版社，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2019</w:t>
            </w:r>
          </w:p>
        </w:tc>
        <w:tc>
          <w:tcPr>
            <w:tcW w:w="1413" w:type="dxa"/>
            <w:gridSpan w:val="2"/>
            <w:vAlign w:val="center"/>
          </w:tcPr>
          <w:p w14:paraId="6287082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7150828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1102" w:type="dxa"/>
            <w:tcBorders>
              <w:right w:val="single" w:color="auto" w:sz="12" w:space="0"/>
            </w:tcBorders>
            <w:vAlign w:val="center"/>
          </w:tcPr>
          <w:p w14:paraId="38AD6458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1D274AD2">
        <w:trPr>
          <w:trHeight w:val="63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C84C72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901" w:type="dxa"/>
            <w:gridSpan w:val="6"/>
            <w:tcBorders>
              <w:right w:val="single" w:color="auto" w:sz="12" w:space="0"/>
            </w:tcBorders>
            <w:vAlign w:val="center"/>
          </w:tcPr>
          <w:p w14:paraId="3CDA48CA">
            <w:pPr>
              <w:pStyle w:val="14"/>
              <w:widowControl w:val="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基础日语（</w:t>
            </w:r>
            <w:r>
              <w:rPr>
                <w:rFonts w:ascii="宋体" w:hAnsi="宋体"/>
              </w:rPr>
              <w:t>1）、基础日语（2）</w:t>
            </w:r>
          </w:p>
        </w:tc>
      </w:tr>
      <w:tr w14:paraId="15E03173">
        <w:trPr>
          <w:trHeight w:val="3649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76E212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901" w:type="dxa"/>
            <w:gridSpan w:val="6"/>
            <w:tcBorders>
              <w:right w:val="single" w:color="auto" w:sz="12" w:space="0"/>
            </w:tcBorders>
          </w:tcPr>
          <w:p w14:paraId="26FB6862">
            <w:pPr>
              <w:pStyle w:val="14"/>
              <w:widowControl w:val="0"/>
              <w:jc w:val="both"/>
              <w:rPr>
                <w:rFonts w:ascii="MS Mincho" w:hAnsi="MS Mincho" w:eastAsia="MS Mincho"/>
                <w:lang w:eastAsia="ja-JP"/>
              </w:rPr>
            </w:pPr>
            <w:r>
              <w:rPr>
                <w:rFonts w:hint="eastAsia" w:ascii="MS Mincho" w:hAnsi="MS Mincho" w:eastAsia="MS Mincho"/>
                <w:lang w:eastAsia="ja-JP"/>
              </w:rPr>
              <w:t>本課程は日本語学科の選択科目であり、日本語学科編入生クラスの３年前期に開設される。本課程では、学生の総合的な日本語学習を強化するとともに、学生の視野を広げ、日本に対する理解を深めることを目的としている。また、本課程の学習を通じて、学生の日本の文化、習慣、日本人のコミュニケーション方法などに対する理解を育成し、中国の文化と比較しながら、今後の学習のためにしっかりとした基礎を築く。</w:t>
            </w:r>
          </w:p>
        </w:tc>
      </w:tr>
      <w:tr w14:paraId="6F085439">
        <w:trPr>
          <w:trHeight w:val="555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54D5C4F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901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27F14C49">
            <w:pPr>
              <w:widowControl w:val="0"/>
              <w:snapToGrid w:val="0"/>
              <w:spacing w:line="28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</w:t>
            </w:r>
            <w:r>
              <w:rPr>
                <w:rFonts w:hint="eastAsia" w:cs="微软雅黑"/>
                <w:sz w:val="21"/>
                <w:szCs w:val="21"/>
              </w:rPr>
              <w:t>课</w:t>
            </w:r>
            <w:r>
              <w:rPr>
                <w:sz w:val="21"/>
                <w:szCs w:val="21"/>
              </w:rPr>
              <w:t>程</w:t>
            </w:r>
            <w:r>
              <w:rPr>
                <w:rFonts w:hint="eastAsia" w:cs="微软雅黑"/>
                <w:sz w:val="21"/>
                <w:szCs w:val="21"/>
              </w:rPr>
              <w:t>为</w:t>
            </w:r>
            <w:r>
              <w:rPr>
                <w:sz w:val="21"/>
                <w:szCs w:val="21"/>
              </w:rPr>
              <w:t>日</w:t>
            </w:r>
            <w:r>
              <w:rPr>
                <w:rFonts w:hint="eastAsia" w:cs="微软雅黑"/>
                <w:sz w:val="21"/>
                <w:szCs w:val="21"/>
              </w:rPr>
              <w:t>语专业选</w:t>
            </w:r>
            <w:r>
              <w:rPr>
                <w:sz w:val="21"/>
                <w:szCs w:val="21"/>
              </w:rPr>
              <w:t>修</w:t>
            </w:r>
            <w:r>
              <w:rPr>
                <w:rFonts w:hint="eastAsia" w:cs="微软雅黑"/>
                <w:sz w:val="21"/>
                <w:szCs w:val="21"/>
              </w:rPr>
              <w:t>课</w:t>
            </w:r>
            <w:r>
              <w:rPr>
                <w:sz w:val="21"/>
                <w:szCs w:val="21"/>
              </w:rPr>
              <w:t>，适合日</w:t>
            </w:r>
            <w:r>
              <w:rPr>
                <w:rFonts w:hint="eastAsia" w:cs="微软雅黑"/>
                <w:sz w:val="21"/>
                <w:szCs w:val="21"/>
              </w:rPr>
              <w:t>语</w:t>
            </w:r>
            <w:r>
              <w:rPr>
                <w:sz w:val="21"/>
                <w:szCs w:val="21"/>
              </w:rPr>
              <w:t>本科</w:t>
            </w:r>
            <w:r>
              <w:rPr>
                <w:rFonts w:hint="eastAsia" w:cs="微软雅黑"/>
                <w:sz w:val="21"/>
                <w:szCs w:val="21"/>
              </w:rPr>
              <w:t>专业</w:t>
            </w:r>
            <w:r>
              <w:rPr>
                <w:rFonts w:hint="eastAsia"/>
                <w:sz w:val="21"/>
                <w:szCs w:val="21"/>
              </w:rPr>
              <w:t>三年</w:t>
            </w:r>
            <w:r>
              <w:rPr>
                <w:rFonts w:hint="eastAsia" w:cs="微软雅黑"/>
                <w:sz w:val="21"/>
                <w:szCs w:val="21"/>
              </w:rPr>
              <w:t>级</w:t>
            </w:r>
            <w:r>
              <w:rPr>
                <w:sz w:val="21"/>
                <w:szCs w:val="21"/>
              </w:rPr>
              <w:t>第</w:t>
            </w:r>
            <w:r>
              <w:rPr>
                <w:rFonts w:hint="eastAsia"/>
                <w:sz w:val="21"/>
                <w:szCs w:val="21"/>
              </w:rPr>
              <w:t>一</w:t>
            </w:r>
            <w:r>
              <w:rPr>
                <w:sz w:val="21"/>
                <w:szCs w:val="21"/>
              </w:rPr>
              <w:t>学期</w:t>
            </w:r>
            <w:r>
              <w:rPr>
                <w:rFonts w:hint="eastAsia"/>
                <w:sz w:val="21"/>
                <w:szCs w:val="21"/>
              </w:rPr>
              <w:t>开</w:t>
            </w:r>
            <w:r>
              <w:rPr>
                <w:rFonts w:hint="eastAsia" w:cs="微软雅黑"/>
                <w:sz w:val="21"/>
                <w:szCs w:val="21"/>
              </w:rPr>
              <w:t>设</w:t>
            </w:r>
            <w:r>
              <w:rPr>
                <w:sz w:val="21"/>
                <w:szCs w:val="21"/>
              </w:rPr>
              <w:t>。要求学生具</w:t>
            </w:r>
            <w:r>
              <w:rPr>
                <w:rFonts w:hint="eastAsia" w:cs="微软雅黑"/>
                <w:sz w:val="21"/>
                <w:szCs w:val="21"/>
              </w:rPr>
              <w:t>备</w:t>
            </w:r>
            <w:r>
              <w:rPr>
                <w:sz w:val="21"/>
                <w:szCs w:val="21"/>
              </w:rPr>
              <w:t>一定的日文</w:t>
            </w:r>
            <w:r>
              <w:rPr>
                <w:rFonts w:hint="eastAsia" w:cs="微软雅黑"/>
                <w:sz w:val="21"/>
                <w:szCs w:val="21"/>
              </w:rPr>
              <w:t>读</w:t>
            </w:r>
            <w:r>
              <w:rPr>
                <w:sz w:val="21"/>
                <w:szCs w:val="21"/>
              </w:rPr>
              <w:t>解能力和</w:t>
            </w:r>
            <w:r>
              <w:rPr>
                <w:rFonts w:hint="eastAsia" w:cs="微软雅黑"/>
                <w:sz w:val="21"/>
                <w:szCs w:val="21"/>
              </w:rPr>
              <w:t>语</w:t>
            </w:r>
            <w:r>
              <w:rPr>
                <w:sz w:val="21"/>
                <w:szCs w:val="21"/>
              </w:rPr>
              <w:t>言表达能力。</w:t>
            </w:r>
          </w:p>
        </w:tc>
      </w:tr>
      <w:tr w14:paraId="512B08D1">
        <w:trPr>
          <w:trHeight w:val="416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2D94086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2312BD92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0" distR="0">
                  <wp:extent cx="953770" cy="349250"/>
                  <wp:effectExtent l="0" t="0" r="0" b="6350"/>
                  <wp:docPr id="1011806455" name="图片 3" descr="图片包含 图示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806455" name="图片 3" descr="图片包含 图示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49" t="19618" r="12408" b="177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606" cy="4228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20FF4A54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944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7CD34C82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2024. 9</w:t>
            </w:r>
          </w:p>
        </w:tc>
      </w:tr>
      <w:tr w14:paraId="38E161DC"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AFE21D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02657F91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0" distR="0">
                  <wp:extent cx="482600" cy="348615"/>
                  <wp:effectExtent l="0" t="0" r="0" b="6985"/>
                  <wp:docPr id="2" name="图片 2" descr="de6864682111cdbb9b8be5557acbb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e6864682111cdbb9b8be5557acbb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73" t="20906" r="13768" b="89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650" cy="349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0ADB895D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944" w:type="dxa"/>
            <w:gridSpan w:val="2"/>
            <w:tcBorders>
              <w:right w:val="single" w:color="auto" w:sz="12" w:space="0"/>
            </w:tcBorders>
            <w:vAlign w:val="center"/>
          </w:tcPr>
          <w:p w14:paraId="2331644B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2024. 9</w:t>
            </w:r>
          </w:p>
        </w:tc>
      </w:tr>
      <w:tr w14:paraId="1CA34557">
        <w:trPr>
          <w:trHeight w:val="824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974109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34AD8D4F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kern w:val="0"/>
                <w:sz w:val="20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734695</wp:posOffset>
                  </wp:positionH>
                  <wp:positionV relativeFrom="paragraph">
                    <wp:posOffset>75565</wp:posOffset>
                  </wp:positionV>
                  <wp:extent cx="793115" cy="480695"/>
                  <wp:effectExtent l="0" t="0" r="0" b="1905"/>
                  <wp:wrapNone/>
                  <wp:docPr id="1570903144" name="图片 1570903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903144" name="图片 1570903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480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0112CD5F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944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95D556E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2024. 9</w:t>
            </w:r>
          </w:p>
        </w:tc>
      </w:tr>
    </w:tbl>
    <w:p w14:paraId="3EA7DA85">
      <w:pPr>
        <w:spacing w:line="100" w:lineRule="exact"/>
        <w:rPr>
          <w:rFonts w:ascii="Arial" w:hAnsi="Arial" w:eastAsia="黑体"/>
        </w:rPr>
      </w:pPr>
      <w:r>
        <w:br w:type="page"/>
      </w:r>
    </w:p>
    <w:p w14:paraId="4876F7D5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170E8637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8"/>
      </w:tblGrid>
      <w:tr w14:paraId="3E04D1F0"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233FABAC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CA9A818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73A28CEA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2624C7AD"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59F6B170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801F9F0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2EDE6DBD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具有专业所需的人文科学素养。</w:t>
            </w:r>
          </w:p>
        </w:tc>
      </w:tr>
      <w:tr w14:paraId="400E31A4"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6C0CED6B">
            <w:pPr>
              <w:pStyle w:val="14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6FD1D34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77562D21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了解中日两国的社会、文化及中日文化差异，具有良好的跨文化交际能力</w:t>
            </w:r>
            <w:r>
              <w:rPr>
                <w:bCs/>
              </w:rPr>
              <w:t>。</w:t>
            </w:r>
          </w:p>
        </w:tc>
      </w:tr>
      <w:tr w14:paraId="753FE805"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7B9334B8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95A765F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7E7BFA57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bCs/>
              </w:rPr>
              <w:t>倾听他人意见、尊重他人观点、分析他人需求。</w:t>
            </w:r>
          </w:p>
        </w:tc>
      </w:tr>
      <w:tr w14:paraId="018F3724"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2FB4F0F1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B8C216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59EA0358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bCs/>
              </w:rPr>
              <w:t>理解其他国家历史文化，有跨文化交流能力</w:t>
            </w:r>
            <w:r>
              <w:rPr>
                <w:rFonts w:hint="eastAsia"/>
                <w:bCs/>
              </w:rPr>
              <w:t>。</w:t>
            </w:r>
          </w:p>
        </w:tc>
      </w:tr>
      <w:tr w14:paraId="1F6902B6"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76AD9E1D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D97B78A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406936D3">
            <w:pPr>
              <w:pStyle w:val="14"/>
              <w:jc w:val="left"/>
              <w:rPr>
                <w:bCs/>
              </w:rPr>
            </w:pPr>
            <w:r>
              <w:rPr>
                <w:bCs/>
              </w:rPr>
              <w:t>应用书面或口头形式，阐释自己的观点，有效沟通</w:t>
            </w:r>
            <w:r>
              <w:rPr>
                <w:rFonts w:hint="eastAsia"/>
              </w:rPr>
              <w:t>。</w:t>
            </w:r>
          </w:p>
        </w:tc>
      </w:tr>
      <w:tr w14:paraId="525357D0"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6E431054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1DD665D3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50CFFAE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1EB9A09D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bCs/>
              </w:rPr>
              <w:t>诚信尽责，为人诚实，信守承诺，勤奋努力，精益求精，勇于担责。</w:t>
            </w:r>
          </w:p>
        </w:tc>
      </w:tr>
      <w:tr w14:paraId="24CF6AA1"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76EDC07A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9FE12F1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7</w:t>
            </w:r>
          </w:p>
        </w:tc>
        <w:tc>
          <w:tcPr>
            <w:tcW w:w="6306" w:type="dxa"/>
            <w:vAlign w:val="center"/>
          </w:tcPr>
          <w:p w14:paraId="43295C86">
            <w:pPr>
              <w:pStyle w:val="14"/>
              <w:jc w:val="left"/>
              <w:rPr>
                <w:bCs/>
              </w:rPr>
            </w:pPr>
            <w:r>
              <w:rPr>
                <w:bCs/>
              </w:rPr>
              <w:t>在集体活动中能主动担任自己的角色，与其他成员密切合作，善于自我管理和团队管理，共同完成任务</w:t>
            </w:r>
            <w:r>
              <w:rPr>
                <w:rFonts w:hint="eastAsia"/>
                <w:bCs/>
              </w:rPr>
              <w:t>。</w:t>
            </w:r>
          </w:p>
        </w:tc>
      </w:tr>
    </w:tbl>
    <w:p w14:paraId="64A78BA6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7"/>
        <w:tblW w:w="496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92"/>
        <w:gridCol w:w="7130"/>
      </w:tblGrid>
      <w:tr w14:paraId="778685B8">
        <w:trPr>
          <w:trHeight w:val="680" w:hRule="atLeast"/>
          <w:jc w:val="center"/>
        </w:trPr>
        <w:tc>
          <w:tcPr>
            <w:tcW w:w="1261" w:type="dxa"/>
            <w:vAlign w:val="center"/>
          </w:tcPr>
          <w:p w14:paraId="55C94B35">
            <w:pPr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  <w:t>毕业要求序号</w:t>
            </w:r>
          </w:p>
        </w:tc>
        <w:tc>
          <w:tcPr>
            <w:tcW w:w="6962" w:type="dxa"/>
            <w:shd w:val="clear" w:color="auto" w:fill="auto"/>
            <w:vAlign w:val="center"/>
          </w:tcPr>
          <w:p w14:paraId="26572080">
            <w:pPr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  <w:t>毕业要求/指标点</w:t>
            </w:r>
          </w:p>
        </w:tc>
      </w:tr>
      <w:tr w14:paraId="3F4EBFB2">
        <w:trPr>
          <w:trHeight w:val="340" w:hRule="atLeast"/>
          <w:jc w:val="center"/>
        </w:trPr>
        <w:tc>
          <w:tcPr>
            <w:tcW w:w="1261" w:type="dxa"/>
            <w:vAlign w:val="center"/>
          </w:tcPr>
          <w:p w14:paraId="7EC4DF06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LO1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62" w:type="dxa"/>
            <w:shd w:val="clear" w:color="auto" w:fill="auto"/>
            <w:vAlign w:val="center"/>
          </w:tcPr>
          <w:p w14:paraId="61ACDAB2">
            <w:pPr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诚信尽责，为人诚实，信守承诺，勤奋努力，精益求精，勇于担责。</w:t>
            </w:r>
          </w:p>
        </w:tc>
      </w:tr>
      <w:tr w14:paraId="6DCCB195">
        <w:trPr>
          <w:trHeight w:val="340" w:hRule="atLeast"/>
          <w:jc w:val="center"/>
        </w:trPr>
        <w:tc>
          <w:tcPr>
            <w:tcW w:w="1261" w:type="dxa"/>
            <w:vAlign w:val="center"/>
          </w:tcPr>
          <w:p w14:paraId="4B1CF2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LO2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62" w:type="dxa"/>
            <w:shd w:val="clear" w:color="auto" w:fill="auto"/>
            <w:vAlign w:val="center"/>
          </w:tcPr>
          <w:p w14:paraId="30815CAA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具有专业所需的人文科学素养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。</w:t>
            </w:r>
          </w:p>
        </w:tc>
      </w:tr>
      <w:tr w14:paraId="1F3BCB8B">
        <w:trPr>
          <w:trHeight w:val="340" w:hRule="atLeast"/>
          <w:jc w:val="center"/>
        </w:trPr>
        <w:tc>
          <w:tcPr>
            <w:tcW w:w="1261" w:type="dxa"/>
            <w:vAlign w:val="center"/>
          </w:tcPr>
          <w:p w14:paraId="60C59A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LO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6962" w:type="dxa"/>
            <w:shd w:val="clear" w:color="auto" w:fill="auto"/>
            <w:vAlign w:val="center"/>
          </w:tcPr>
          <w:p w14:paraId="17C29787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了解中日两国的社会、文化及中日文化差异，具有良好的跨文化交际能力</w:t>
            </w:r>
            <w:r>
              <w:rPr>
                <w:bCs/>
                <w:color w:val="000000"/>
                <w:sz w:val="21"/>
                <w:szCs w:val="21"/>
              </w:rPr>
              <w:t>。</w:t>
            </w:r>
          </w:p>
        </w:tc>
      </w:tr>
      <w:tr w14:paraId="557388AC">
        <w:trPr>
          <w:trHeight w:val="340" w:hRule="atLeast"/>
          <w:jc w:val="center"/>
        </w:trPr>
        <w:tc>
          <w:tcPr>
            <w:tcW w:w="1261" w:type="dxa"/>
            <w:vAlign w:val="center"/>
          </w:tcPr>
          <w:p w14:paraId="53FC617F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LO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6962" w:type="dxa"/>
            <w:shd w:val="clear" w:color="auto" w:fill="auto"/>
            <w:vAlign w:val="center"/>
          </w:tcPr>
          <w:p w14:paraId="1435225A">
            <w:pPr>
              <w:rPr>
                <w:color w:val="000000"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倾听他人意见、尊重他人观点、分析他人需求</w:t>
            </w:r>
            <w:r>
              <w:rPr>
                <w:bCs/>
                <w:color w:val="000000"/>
                <w:sz w:val="21"/>
                <w:szCs w:val="21"/>
              </w:rPr>
              <w:t>。</w:t>
            </w:r>
          </w:p>
        </w:tc>
      </w:tr>
      <w:tr w14:paraId="75AF0A67">
        <w:trPr>
          <w:trHeight w:val="340" w:hRule="atLeast"/>
          <w:jc w:val="center"/>
        </w:trPr>
        <w:tc>
          <w:tcPr>
            <w:tcW w:w="1261" w:type="dxa"/>
            <w:vAlign w:val="center"/>
          </w:tcPr>
          <w:p w14:paraId="4C4F0E3E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LO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6962" w:type="dxa"/>
            <w:shd w:val="clear" w:color="auto" w:fill="auto"/>
            <w:vAlign w:val="center"/>
          </w:tcPr>
          <w:p w14:paraId="0FE23F9C">
            <w:pPr>
              <w:rPr>
                <w:color w:val="000000"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应用书面或口头形式，阐释自己的观点，有效沟通</w:t>
            </w:r>
            <w:r>
              <w:rPr>
                <w:rFonts w:hint="eastAsia"/>
                <w:color w:val="000000"/>
                <w:sz w:val="21"/>
                <w:szCs w:val="21"/>
              </w:rPr>
              <w:t>。</w:t>
            </w:r>
          </w:p>
        </w:tc>
      </w:tr>
      <w:tr w14:paraId="062805A6">
        <w:trPr>
          <w:trHeight w:val="340" w:hRule="atLeast"/>
          <w:jc w:val="center"/>
        </w:trPr>
        <w:tc>
          <w:tcPr>
            <w:tcW w:w="1261" w:type="dxa"/>
            <w:vAlign w:val="center"/>
          </w:tcPr>
          <w:p w14:paraId="722F366A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LO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61</w:t>
            </w:r>
          </w:p>
        </w:tc>
        <w:tc>
          <w:tcPr>
            <w:tcW w:w="6962" w:type="dxa"/>
            <w:shd w:val="clear" w:color="auto" w:fill="auto"/>
            <w:vAlign w:val="center"/>
          </w:tcPr>
          <w:p w14:paraId="18476630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在集体活动中能主动担任自己的角色，与其他成员密切合作，善于自我管理和团队管理，共同完成任务</w:t>
            </w:r>
            <w:r>
              <w:rPr>
                <w:rFonts w:hint="eastAsia"/>
                <w:bCs/>
                <w:sz w:val="21"/>
                <w:szCs w:val="21"/>
              </w:rPr>
              <w:t>。</w:t>
            </w:r>
          </w:p>
        </w:tc>
      </w:tr>
      <w:tr w14:paraId="1FA50640">
        <w:trPr>
          <w:trHeight w:val="340" w:hRule="atLeast"/>
          <w:jc w:val="center"/>
        </w:trPr>
        <w:tc>
          <w:tcPr>
            <w:tcW w:w="1261" w:type="dxa"/>
            <w:vAlign w:val="center"/>
          </w:tcPr>
          <w:p w14:paraId="12201CDD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LO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82</w:t>
            </w:r>
          </w:p>
        </w:tc>
        <w:tc>
          <w:tcPr>
            <w:tcW w:w="6962" w:type="dxa"/>
            <w:shd w:val="clear" w:color="auto" w:fill="auto"/>
            <w:vAlign w:val="center"/>
          </w:tcPr>
          <w:p w14:paraId="750017FC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理解其他国家历史文化，有跨文化交流能力</w:t>
            </w:r>
            <w:r>
              <w:rPr>
                <w:rFonts w:hint="eastAsia"/>
                <w:bCs/>
                <w:sz w:val="21"/>
                <w:szCs w:val="21"/>
              </w:rPr>
              <w:t>。</w:t>
            </w:r>
          </w:p>
        </w:tc>
      </w:tr>
    </w:tbl>
    <w:p w14:paraId="64475A60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7C94F72A">
        <w:trPr>
          <w:trHeight w:val="391" w:hRule="atLeast"/>
          <w:jc w:val="center"/>
        </w:trPr>
        <w:tc>
          <w:tcPr>
            <w:tcW w:w="759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0631228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13BC56F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3B61BBD7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color="auto" w:sz="12" w:space="0"/>
            </w:tcBorders>
            <w:vAlign w:val="center"/>
          </w:tcPr>
          <w:p w14:paraId="11E17043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2F700D1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（细化的预期学习成果）</w:t>
            </w:r>
          </w:p>
        </w:tc>
        <w:tc>
          <w:tcPr>
            <w:tcW w:w="131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8B2C0A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2386626C">
        <w:trPr>
          <w:trHeight w:val="804" w:hRule="atLeast"/>
          <w:jc w:val="center"/>
        </w:trPr>
        <w:tc>
          <w:tcPr>
            <w:tcW w:w="75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9DB113F">
            <w:pPr>
              <w:pStyle w:val="14"/>
            </w:pPr>
            <w:r>
              <w:rPr>
                <w:rFonts w:cs="Times New Roman"/>
              </w:rPr>
              <w:t>LO1</w:t>
            </w:r>
            <w:r>
              <w:rPr>
                <w:rFonts w:hint="eastAsia" w:cs="Times New Roman"/>
              </w:rPr>
              <w:t>4</w:t>
            </w:r>
          </w:p>
        </w:tc>
        <w:tc>
          <w:tcPr>
            <w:tcW w:w="775" w:type="dxa"/>
            <w:tcBorders>
              <w:left w:val="single" w:color="auto" w:sz="4" w:space="0"/>
            </w:tcBorders>
            <w:vAlign w:val="center"/>
          </w:tcPr>
          <w:p w14:paraId="64319BFD">
            <w:pPr>
              <w:pStyle w:val="14"/>
              <w:rPr>
                <w:rFonts w:cs="Times New Roman"/>
                <w:bCs/>
              </w:rPr>
            </w:pPr>
            <w:r>
              <w:rPr>
                <w:rFonts w:cs="Times New Roman"/>
              </w:rPr>
              <w:t>LO1</w:t>
            </w:r>
            <w:r>
              <w:rPr>
                <w:rFonts w:hint="eastAsia" w:cs="Times New Roman"/>
              </w:rPr>
              <w:t>4</w:t>
            </w:r>
          </w:p>
        </w:tc>
        <w:tc>
          <w:tcPr>
            <w:tcW w:w="77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E3A2DB9">
            <w:pPr>
              <w:pStyle w:val="14"/>
              <w:rPr>
                <w:rFonts w:cs="Times New Roman"/>
                <w:lang w:eastAsia="ja-JP"/>
              </w:rPr>
            </w:pPr>
            <w:r>
              <w:rPr>
                <w:rFonts w:cs="Times New Roman"/>
                <w:lang w:eastAsia="ja-JP"/>
              </w:rPr>
              <w:t>M</w:t>
            </w:r>
          </w:p>
        </w:tc>
        <w:tc>
          <w:tcPr>
            <w:tcW w:w="4651" w:type="dxa"/>
            <w:vAlign w:val="center"/>
          </w:tcPr>
          <w:p w14:paraId="78F8F2DD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诚信尽责，为人诚实，信守承诺，勤奋努力，精益求精，勇于担责。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0189EE44">
            <w:pPr>
              <w:pStyle w:val="14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M</w:t>
            </w:r>
          </w:p>
        </w:tc>
      </w:tr>
      <w:tr w14:paraId="43C5884C">
        <w:trPr>
          <w:trHeight w:val="840" w:hRule="atLeast"/>
          <w:jc w:val="center"/>
        </w:trPr>
        <w:tc>
          <w:tcPr>
            <w:tcW w:w="75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614C41D">
            <w:pPr>
              <w:pStyle w:val="14"/>
            </w:pPr>
            <w:r>
              <w:rPr>
                <w:rFonts w:cs="Times New Roman"/>
              </w:rPr>
              <w:t>LO2</w:t>
            </w:r>
            <w:r>
              <w:rPr>
                <w:rFonts w:hint="eastAsia" w:cs="Times New Roman"/>
              </w:rPr>
              <w:t>1</w:t>
            </w:r>
          </w:p>
        </w:tc>
        <w:tc>
          <w:tcPr>
            <w:tcW w:w="775" w:type="dxa"/>
            <w:tcBorders>
              <w:left w:val="single" w:color="auto" w:sz="4" w:space="0"/>
            </w:tcBorders>
            <w:vAlign w:val="center"/>
          </w:tcPr>
          <w:p w14:paraId="45B47C8E">
            <w:pPr>
              <w:pStyle w:val="14"/>
              <w:rPr>
                <w:rFonts w:cs="Times New Roman"/>
                <w:bCs/>
              </w:rPr>
            </w:pPr>
            <w:r>
              <w:rPr>
                <w:rFonts w:cs="Times New Roman"/>
              </w:rPr>
              <w:t>LO2</w:t>
            </w:r>
            <w:r>
              <w:rPr>
                <w:rFonts w:hint="eastAsia" w:cs="Times New Roman"/>
              </w:rPr>
              <w:t>1</w:t>
            </w:r>
          </w:p>
        </w:tc>
        <w:tc>
          <w:tcPr>
            <w:tcW w:w="77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81B1C44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51" w:type="dxa"/>
            <w:vAlign w:val="center"/>
          </w:tcPr>
          <w:p w14:paraId="03183DE4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具有专业所需的人文科学素养。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540AF77E">
            <w:pPr>
              <w:pStyle w:val="14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H</w:t>
            </w:r>
          </w:p>
        </w:tc>
      </w:tr>
      <w:tr w14:paraId="3ED36727">
        <w:trPr>
          <w:trHeight w:val="340" w:hRule="atLeast"/>
          <w:jc w:val="center"/>
        </w:trPr>
        <w:tc>
          <w:tcPr>
            <w:tcW w:w="75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5C2E6A6">
            <w:pPr>
              <w:pStyle w:val="14"/>
            </w:pPr>
            <w:r>
              <w:rPr>
                <w:rFonts w:cs="Times New Roman"/>
              </w:rPr>
              <w:t>LO</w:t>
            </w:r>
            <w:r>
              <w:rPr>
                <w:rFonts w:hint="eastAsia" w:cs="Times New Roman"/>
              </w:rPr>
              <w:t>24</w:t>
            </w:r>
          </w:p>
        </w:tc>
        <w:tc>
          <w:tcPr>
            <w:tcW w:w="775" w:type="dxa"/>
            <w:tcBorders>
              <w:left w:val="single" w:color="auto" w:sz="4" w:space="0"/>
            </w:tcBorders>
            <w:vAlign w:val="center"/>
          </w:tcPr>
          <w:p w14:paraId="51176F2E">
            <w:pPr>
              <w:pStyle w:val="14"/>
              <w:rPr>
                <w:rFonts w:cs="Times New Roman"/>
                <w:bCs/>
              </w:rPr>
            </w:pPr>
            <w:r>
              <w:rPr>
                <w:rFonts w:cs="Times New Roman"/>
              </w:rPr>
              <w:t>LO</w:t>
            </w:r>
            <w:r>
              <w:rPr>
                <w:rFonts w:hint="eastAsia" w:cs="Times New Roman"/>
              </w:rPr>
              <w:t>24</w:t>
            </w:r>
          </w:p>
        </w:tc>
        <w:tc>
          <w:tcPr>
            <w:tcW w:w="77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B1121BD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4651" w:type="dxa"/>
            <w:vAlign w:val="center"/>
          </w:tcPr>
          <w:p w14:paraId="2B4803F6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了解中日两国的社会、文化及中日文化差异，具有良好的跨文化交际能力。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04CCC5F8">
            <w:pPr>
              <w:pStyle w:val="14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M</w:t>
            </w:r>
          </w:p>
        </w:tc>
      </w:tr>
      <w:tr w14:paraId="0AF25417">
        <w:trPr>
          <w:trHeight w:val="340" w:hRule="atLeast"/>
          <w:jc w:val="center"/>
        </w:trPr>
        <w:tc>
          <w:tcPr>
            <w:tcW w:w="75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DB5B8E6">
            <w:pPr>
              <w:pStyle w:val="14"/>
            </w:pPr>
            <w:r>
              <w:rPr>
                <w:rFonts w:cs="Times New Roman"/>
              </w:rPr>
              <w:t>LO</w:t>
            </w:r>
            <w:r>
              <w:rPr>
                <w:rFonts w:hint="eastAsia" w:cs="Times New Roman"/>
              </w:rPr>
              <w:t>31</w:t>
            </w:r>
          </w:p>
        </w:tc>
        <w:tc>
          <w:tcPr>
            <w:tcW w:w="775" w:type="dxa"/>
            <w:tcBorders>
              <w:left w:val="single" w:color="auto" w:sz="4" w:space="0"/>
            </w:tcBorders>
            <w:vAlign w:val="center"/>
          </w:tcPr>
          <w:p w14:paraId="6F83445E">
            <w:pPr>
              <w:pStyle w:val="14"/>
              <w:rPr>
                <w:rFonts w:cs="Times New Roman"/>
                <w:bCs/>
              </w:rPr>
            </w:pPr>
            <w:r>
              <w:rPr>
                <w:rFonts w:cs="Times New Roman"/>
              </w:rPr>
              <w:t>LO</w:t>
            </w:r>
            <w:r>
              <w:rPr>
                <w:rFonts w:hint="eastAsia" w:cs="Times New Roman"/>
              </w:rPr>
              <w:t>31</w:t>
            </w:r>
          </w:p>
        </w:tc>
        <w:tc>
          <w:tcPr>
            <w:tcW w:w="77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9E2AAE2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51" w:type="dxa"/>
            <w:vAlign w:val="center"/>
          </w:tcPr>
          <w:p w14:paraId="27C266C3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</w:rPr>
              <w:t>倾听他人意见、尊重他人观点、分析他人需求。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67ED0554">
            <w:pPr>
              <w:pStyle w:val="14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H</w:t>
            </w:r>
          </w:p>
        </w:tc>
      </w:tr>
      <w:tr w14:paraId="2252DC87">
        <w:trPr>
          <w:trHeight w:val="340" w:hRule="atLeast"/>
          <w:jc w:val="center"/>
        </w:trPr>
        <w:tc>
          <w:tcPr>
            <w:tcW w:w="75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35E4F23">
            <w:pPr>
              <w:pStyle w:val="14"/>
            </w:pPr>
            <w:r>
              <w:rPr>
                <w:rFonts w:cs="Times New Roman"/>
              </w:rPr>
              <w:t>LO</w:t>
            </w:r>
            <w:r>
              <w:rPr>
                <w:rFonts w:hint="eastAsia" w:cs="Times New Roman"/>
              </w:rPr>
              <w:t>32</w:t>
            </w:r>
          </w:p>
        </w:tc>
        <w:tc>
          <w:tcPr>
            <w:tcW w:w="775" w:type="dxa"/>
            <w:tcBorders>
              <w:left w:val="single" w:color="auto" w:sz="4" w:space="0"/>
            </w:tcBorders>
            <w:vAlign w:val="center"/>
          </w:tcPr>
          <w:p w14:paraId="140EC916">
            <w:pPr>
              <w:pStyle w:val="14"/>
              <w:rPr>
                <w:rFonts w:cs="Times New Roman"/>
                <w:bCs/>
              </w:rPr>
            </w:pPr>
            <w:r>
              <w:rPr>
                <w:rFonts w:cs="Times New Roman"/>
              </w:rPr>
              <w:t>LO</w:t>
            </w:r>
            <w:r>
              <w:rPr>
                <w:rFonts w:hint="eastAsia" w:cs="Times New Roman"/>
              </w:rPr>
              <w:t>32</w:t>
            </w:r>
          </w:p>
        </w:tc>
        <w:tc>
          <w:tcPr>
            <w:tcW w:w="77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644FC87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4651" w:type="dxa"/>
            <w:vAlign w:val="center"/>
          </w:tcPr>
          <w:p w14:paraId="6F988EF9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</w:rPr>
              <w:t>应用书面或口头形式，阐释自己的观点，有效沟通。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4AB1CEAF">
            <w:pPr>
              <w:pStyle w:val="14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M</w:t>
            </w:r>
          </w:p>
        </w:tc>
      </w:tr>
      <w:tr w14:paraId="68CAAF63">
        <w:trPr>
          <w:trHeight w:val="340" w:hRule="atLeast"/>
          <w:jc w:val="center"/>
        </w:trPr>
        <w:tc>
          <w:tcPr>
            <w:tcW w:w="75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092790B">
            <w:pPr>
              <w:pStyle w:val="14"/>
            </w:pPr>
            <w:r>
              <w:rPr>
                <w:rFonts w:cs="Times New Roman"/>
              </w:rPr>
              <w:t>LO</w:t>
            </w:r>
            <w:r>
              <w:rPr>
                <w:rFonts w:hint="eastAsia" w:cs="Times New Roman"/>
              </w:rPr>
              <w:t>61</w:t>
            </w:r>
          </w:p>
        </w:tc>
        <w:tc>
          <w:tcPr>
            <w:tcW w:w="775" w:type="dxa"/>
            <w:tcBorders>
              <w:left w:val="single" w:color="auto" w:sz="4" w:space="0"/>
            </w:tcBorders>
            <w:vAlign w:val="center"/>
          </w:tcPr>
          <w:p w14:paraId="4E3A7A14">
            <w:pPr>
              <w:pStyle w:val="14"/>
              <w:rPr>
                <w:rFonts w:cs="Times New Roman"/>
                <w:bCs/>
              </w:rPr>
            </w:pPr>
            <w:r>
              <w:rPr>
                <w:rFonts w:cs="Times New Roman"/>
              </w:rPr>
              <w:t>LO</w:t>
            </w:r>
            <w:r>
              <w:rPr>
                <w:rFonts w:hint="eastAsia" w:cs="Times New Roman"/>
              </w:rPr>
              <w:t>61</w:t>
            </w:r>
          </w:p>
        </w:tc>
        <w:tc>
          <w:tcPr>
            <w:tcW w:w="77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46A3E5D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L</w:t>
            </w:r>
          </w:p>
        </w:tc>
        <w:tc>
          <w:tcPr>
            <w:tcW w:w="4651" w:type="dxa"/>
            <w:vAlign w:val="center"/>
          </w:tcPr>
          <w:p w14:paraId="6AE73B3E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</w:rPr>
              <w:t>在集体活动中能主动担任自己的角色，与其他成员密切合作，善于自我管理和团队管理，共同完成任务。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43D8A1F9">
            <w:pPr>
              <w:pStyle w:val="14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</w:t>
            </w:r>
          </w:p>
        </w:tc>
      </w:tr>
      <w:tr w14:paraId="3B557D5D">
        <w:trPr>
          <w:trHeight w:val="340" w:hRule="atLeast"/>
          <w:jc w:val="center"/>
        </w:trPr>
        <w:tc>
          <w:tcPr>
            <w:tcW w:w="759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6C82F59">
            <w:pPr>
              <w:pStyle w:val="14"/>
            </w:pPr>
            <w:r>
              <w:rPr>
                <w:rFonts w:cs="Times New Roman"/>
              </w:rPr>
              <w:t>LO</w:t>
            </w:r>
            <w:r>
              <w:rPr>
                <w:rFonts w:hint="eastAsia" w:cs="Times New Roman"/>
              </w:rPr>
              <w:t>82</w:t>
            </w:r>
          </w:p>
        </w:tc>
        <w:tc>
          <w:tcPr>
            <w:tcW w:w="775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78CD4E55">
            <w:pPr>
              <w:pStyle w:val="14"/>
              <w:rPr>
                <w:rFonts w:cs="Times New Roman"/>
                <w:bCs/>
              </w:rPr>
            </w:pPr>
            <w:r>
              <w:rPr>
                <w:rFonts w:cs="Times New Roman"/>
              </w:rPr>
              <w:t>LO</w:t>
            </w:r>
            <w:r>
              <w:rPr>
                <w:rFonts w:hint="eastAsia" w:cs="Times New Roman"/>
              </w:rPr>
              <w:t>82</w:t>
            </w:r>
          </w:p>
        </w:tc>
        <w:tc>
          <w:tcPr>
            <w:tcW w:w="775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77430D62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51" w:type="dxa"/>
            <w:tcBorders>
              <w:bottom w:val="single" w:color="auto" w:sz="12" w:space="0"/>
            </w:tcBorders>
            <w:vAlign w:val="center"/>
          </w:tcPr>
          <w:p w14:paraId="62656834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</w:rPr>
              <w:t>理解其他国家历史文化，有跨文化交流能力。</w:t>
            </w:r>
          </w:p>
        </w:tc>
        <w:tc>
          <w:tcPr>
            <w:tcW w:w="131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75B799E">
            <w:pPr>
              <w:pStyle w:val="14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H</w:t>
            </w:r>
          </w:p>
        </w:tc>
      </w:tr>
    </w:tbl>
    <w:p w14:paraId="4F291583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762B3454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310C7D6">
        <w:tc>
          <w:tcPr>
            <w:tcW w:w="8296" w:type="dxa"/>
          </w:tcPr>
          <w:p w14:paraId="66F81956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ascii="MS Mincho" w:hAnsi="MS Mincho" w:eastAsia="MS Mincho"/>
                <w:lang w:eastAsia="ja-JP"/>
              </w:rPr>
            </w:pPr>
            <w:bookmarkStart w:id="0" w:name="OLE_LINK6"/>
            <w:bookmarkStart w:id="1" w:name="OLE_LINK5"/>
            <w:r>
              <w:rPr>
                <w:rFonts w:hint="eastAsia" w:ascii="MS Mincho" w:hAnsi="MS Mincho" w:eastAsia="MS Mincho" w:cs="仿宋"/>
                <w:szCs w:val="21"/>
                <w:lang w:eastAsia="ja-JP"/>
              </w:rPr>
              <w:t>1</w:t>
            </w:r>
            <w:r>
              <w:rPr>
                <w:rFonts w:ascii="MS Mincho" w:hAnsi="MS Mincho" w:eastAsia="MS Mincho" w:cs="仿宋"/>
                <w:szCs w:val="21"/>
                <w:lang w:eastAsia="ja-JP"/>
              </w:rPr>
              <w:t>.</w:t>
            </w:r>
            <w:r>
              <w:rPr>
                <w:rFonts w:hint="eastAsia" w:ascii="MS Mincho" w:hAnsi="MS Mincho" w:eastAsia="MS Mincho"/>
                <w:lang w:eastAsia="ja-JP"/>
              </w:rPr>
              <w:t xml:space="preserve"> 異文化コミュニケーション</w:t>
            </w:r>
            <w:r>
              <w:rPr>
                <w:rFonts w:hint="eastAsia" w:ascii="MS Mincho" w:hAnsi="MS Mincho" w:eastAsia="MS Mincho" w:cs="微软雅黑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lang w:eastAsia="ja-JP"/>
              </w:rPr>
              <w:t>ギャップ</w:t>
            </w:r>
          </w:p>
          <w:p w14:paraId="56F0D41A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ascii="MS Mincho" w:hAnsi="MS Mincho" w:eastAsia="MS Mincho" w:cs="仿宋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仿宋"/>
                <w:szCs w:val="21"/>
                <w:lang w:eastAsia="ja-JP"/>
              </w:rPr>
              <w:t>文化の多様性、異文化受容態度、日本人と中国人の間にあるコミュニケーション・ギャップ等を理解する。</w:t>
            </w:r>
          </w:p>
          <w:p w14:paraId="7005DDCE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ascii="MS Mincho" w:hAnsi="MS Mincho" w:eastAsia="MS Mincho" w:cs="仿宋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仿宋"/>
                <w:szCs w:val="21"/>
                <w:lang w:eastAsia="ja-JP"/>
              </w:rPr>
              <w:t>2</w:t>
            </w:r>
            <w:r>
              <w:rPr>
                <w:rFonts w:ascii="MS Mincho" w:hAnsi="MS Mincho" w:eastAsia="MS Mincho" w:cs="仿宋"/>
                <w:szCs w:val="21"/>
                <w:lang w:eastAsia="ja-JP"/>
              </w:rPr>
              <w:t>.</w:t>
            </w:r>
            <w:r>
              <w:rPr>
                <w:rFonts w:hint="eastAsia" w:ascii="MS Mincho" w:hAnsi="MS Mincho" w:eastAsia="MS Mincho"/>
                <w:lang w:eastAsia="ja-JP"/>
              </w:rPr>
              <w:t xml:space="preserve"> 異文化コミュニケーションのストラテジー</w:t>
            </w:r>
          </w:p>
          <w:p w14:paraId="2C1B2B69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ascii="MS Mincho" w:hAnsi="MS Mincho" w:eastAsia="MS Mincho" w:cs="仿宋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仿宋"/>
                <w:szCs w:val="21"/>
                <w:lang w:eastAsia="ja-JP"/>
              </w:rPr>
              <w:t>ポライトネスのストラテジーやあいづちのストラテジーについて、挙げられた例を参考に理解する。</w:t>
            </w:r>
          </w:p>
          <w:p w14:paraId="295D337D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ascii="MS Mincho" w:hAnsi="MS Mincho" w:eastAsia="MS Mincho"/>
                <w:lang w:eastAsia="ja-JP"/>
              </w:rPr>
            </w:pPr>
            <w:r>
              <w:rPr>
                <w:rFonts w:hint="eastAsia" w:ascii="MS Mincho" w:hAnsi="MS Mincho" w:eastAsia="MS Mincho" w:cs="仿宋"/>
                <w:szCs w:val="21"/>
                <w:lang w:eastAsia="ja-JP"/>
              </w:rPr>
              <w:t>3</w:t>
            </w:r>
            <w:r>
              <w:rPr>
                <w:rFonts w:ascii="MS Mincho" w:hAnsi="MS Mincho" w:eastAsia="MS Mincho" w:cs="仿宋"/>
                <w:szCs w:val="21"/>
                <w:lang w:eastAsia="ja-JP"/>
              </w:rPr>
              <w:t>.</w:t>
            </w:r>
            <w:r>
              <w:rPr>
                <w:rFonts w:hint="eastAsia" w:ascii="MS Mincho" w:hAnsi="MS Mincho" w:eastAsia="MS Mincho"/>
                <w:lang w:eastAsia="ja-JP"/>
              </w:rPr>
              <w:t xml:space="preserve"> 異文化コミュニケーションの言語行動</w:t>
            </w:r>
          </w:p>
          <w:p w14:paraId="778CFBCD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ascii="MS Mincho" w:hAnsi="MS Mincho" w:eastAsia="MS Mincho" w:cs="仿宋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仿宋"/>
                <w:szCs w:val="21"/>
                <w:lang w:eastAsia="ja-JP"/>
              </w:rPr>
              <w:t>あいさつ、謝罪、慰め、説得、褒め、反対意見表明、値切り交渉、前置きなど、さまざまな場面におけるストラテジーを理解する。</w:t>
            </w:r>
          </w:p>
          <w:p w14:paraId="76A4ECEB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ascii="MS Mincho" w:hAnsi="MS Mincho" w:eastAsia="MS Mincho" w:cs="仿宋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仿宋"/>
                <w:szCs w:val="21"/>
                <w:lang w:eastAsia="ja-JP"/>
              </w:rPr>
              <w:t>4</w:t>
            </w:r>
            <w:r>
              <w:rPr>
                <w:rFonts w:ascii="MS Mincho" w:hAnsi="MS Mincho" w:eastAsia="MS Mincho" w:cs="仿宋"/>
                <w:szCs w:val="21"/>
                <w:lang w:eastAsia="ja-JP"/>
              </w:rPr>
              <w:t>.</w:t>
            </w:r>
            <w:r>
              <w:rPr>
                <w:rFonts w:hint="eastAsia" w:ascii="MS Mincho" w:hAnsi="MS Mincho" w:eastAsia="MS Mincho"/>
                <w:lang w:eastAsia="ja-JP"/>
              </w:rPr>
              <w:t xml:space="preserve"> 異文化コミュニケーションの非言語行動</w:t>
            </w:r>
          </w:p>
          <w:p w14:paraId="55EA2816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eastAsia="MS Mincho" w:asciiTheme="majorEastAsia" w:hAnsiTheme="majorEastAsia"/>
                <w:lang w:eastAsia="ja-JP"/>
              </w:rPr>
            </w:pPr>
            <w:r>
              <w:rPr>
                <w:rFonts w:hint="eastAsia" w:ascii="MS Mincho" w:hAnsi="MS Mincho" w:eastAsia="MS Mincho"/>
                <w:lang w:eastAsia="ja-JP"/>
              </w:rPr>
              <w:t>ハンド・ジェスチャーのストラテジーや、体に関する俗信表現などを理解する。</w:t>
            </w:r>
          </w:p>
        </w:tc>
      </w:tr>
      <w:bookmarkEnd w:id="0"/>
      <w:bookmarkEnd w:id="1"/>
    </w:tbl>
    <w:p w14:paraId="05CF092E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64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  <w:gridCol w:w="1099"/>
        <w:gridCol w:w="1100"/>
        <w:gridCol w:w="1100"/>
      </w:tblGrid>
      <w:tr w14:paraId="0BD8F577">
        <w:trPr>
          <w:trHeight w:val="794" w:hRule="atLeast"/>
          <w:jc w:val="center"/>
        </w:trPr>
        <w:tc>
          <w:tcPr>
            <w:tcW w:w="1834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729FD22B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784EBF1E">
            <w:pPr>
              <w:pStyle w:val="13"/>
              <w:ind w:right="210"/>
              <w:jc w:val="left"/>
              <w:rPr>
                <w:szCs w:val="16"/>
              </w:rPr>
            </w:pPr>
          </w:p>
          <w:p w14:paraId="0006D9B7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21DADFA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64C3D167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474556E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4A249B43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79653905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107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B49734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  <w:tc>
          <w:tcPr>
            <w:tcW w:w="107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5D3EE1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7</w:t>
            </w:r>
          </w:p>
        </w:tc>
      </w:tr>
      <w:tr w14:paraId="4A3BE51D"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1D4D9B51">
            <w:pPr>
              <w:pStyle w:val="14"/>
              <w:rPr>
                <w:rFonts w:ascii="MS Mincho" w:hAnsi="MS Mincho" w:eastAsia="MS Mincho"/>
                <w:lang w:eastAsia="ja-JP"/>
              </w:rPr>
            </w:pPr>
            <w:r>
              <w:rPr>
                <w:rFonts w:hint="eastAsia" w:ascii="MS Mincho" w:hAnsi="MS Mincho" w:eastAsia="MS Mincho"/>
                <w:lang w:eastAsia="ja-JP"/>
              </w:rPr>
              <w:t>1.異文化コミュニケーション</w:t>
            </w:r>
            <w:r>
              <w:rPr>
                <w:rFonts w:hint="eastAsia" w:ascii="MS Mincho" w:hAnsi="MS Mincho" w:eastAsia="MS Mincho" w:cs="微软雅黑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lang w:eastAsia="ja-JP"/>
              </w:rPr>
              <w:t>ギャップ</w:t>
            </w:r>
          </w:p>
        </w:tc>
        <w:tc>
          <w:tcPr>
            <w:tcW w:w="1074" w:type="dxa"/>
            <w:vAlign w:val="center"/>
          </w:tcPr>
          <w:p w14:paraId="454C3809">
            <w:pPr>
              <w:pStyle w:val="14"/>
              <w:rPr>
                <w:lang w:eastAsia="ja-JP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180E814C">
            <w:pPr>
              <w:pStyle w:val="14"/>
              <w:rPr>
                <w:lang w:eastAsia="ja-JP"/>
              </w:rPr>
            </w:pPr>
          </w:p>
        </w:tc>
        <w:tc>
          <w:tcPr>
            <w:tcW w:w="1074" w:type="dxa"/>
            <w:vAlign w:val="center"/>
          </w:tcPr>
          <w:p w14:paraId="7F82F3C8">
            <w:pPr>
              <w:pStyle w:val="14"/>
              <w:rPr>
                <w:lang w:eastAsia="ja-JP"/>
              </w:rPr>
            </w:pPr>
          </w:p>
        </w:tc>
        <w:tc>
          <w:tcPr>
            <w:tcW w:w="1073" w:type="dxa"/>
            <w:vAlign w:val="center"/>
          </w:tcPr>
          <w:p w14:paraId="5DCF422E">
            <w:pPr>
              <w:pStyle w:val="14"/>
              <w:rPr>
                <w:lang w:eastAsia="ja-JP"/>
              </w:rPr>
            </w:pPr>
          </w:p>
        </w:tc>
        <w:tc>
          <w:tcPr>
            <w:tcW w:w="1073" w:type="dxa"/>
            <w:vAlign w:val="center"/>
          </w:tcPr>
          <w:p w14:paraId="732AC8BB">
            <w:pPr>
              <w:pStyle w:val="14"/>
              <w:rPr>
                <w:lang w:eastAsia="ja-JP"/>
              </w:rPr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4B63AEF6">
            <w:pPr>
              <w:pStyle w:val="14"/>
              <w:rPr>
                <w:lang w:eastAsia="ja-JP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204B1B92">
            <w:pPr>
              <w:pStyle w:val="14"/>
              <w:rPr>
                <w:lang w:eastAsia="ja-JP"/>
              </w:rPr>
            </w:pPr>
          </w:p>
        </w:tc>
      </w:tr>
      <w:tr w14:paraId="1181FB80"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76D169E4">
            <w:pPr>
              <w:pStyle w:val="14"/>
              <w:rPr>
                <w:rFonts w:ascii="MS Mincho" w:hAnsi="MS Mincho" w:eastAsia="MS Mincho"/>
                <w:lang w:eastAsia="ja-JP"/>
              </w:rPr>
            </w:pPr>
            <w:r>
              <w:rPr>
                <w:rFonts w:hint="eastAsia" w:ascii="MS Mincho" w:hAnsi="MS Mincho" w:eastAsia="MS Mincho"/>
                <w:lang w:eastAsia="ja-JP"/>
              </w:rPr>
              <w:t>2. 異文化コミュニケーションのストラテジー</w:t>
            </w:r>
          </w:p>
        </w:tc>
        <w:tc>
          <w:tcPr>
            <w:tcW w:w="1074" w:type="dxa"/>
            <w:vAlign w:val="center"/>
          </w:tcPr>
          <w:p w14:paraId="5AD8404B">
            <w:pPr>
              <w:pStyle w:val="14"/>
              <w:rPr>
                <w:lang w:eastAsia="ja-JP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35276FD0">
            <w:pPr>
              <w:pStyle w:val="14"/>
              <w:rPr>
                <w:lang w:eastAsia="ja-JP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44F94DFD">
            <w:pPr>
              <w:pStyle w:val="14"/>
              <w:rPr>
                <w:lang w:eastAsia="ja-JP"/>
              </w:rPr>
            </w:pPr>
          </w:p>
        </w:tc>
        <w:tc>
          <w:tcPr>
            <w:tcW w:w="1073" w:type="dxa"/>
            <w:vAlign w:val="center"/>
          </w:tcPr>
          <w:p w14:paraId="2B31AB11">
            <w:pPr>
              <w:pStyle w:val="14"/>
              <w:rPr>
                <w:lang w:eastAsia="ja-JP"/>
              </w:rPr>
            </w:pPr>
          </w:p>
        </w:tc>
        <w:tc>
          <w:tcPr>
            <w:tcW w:w="1073" w:type="dxa"/>
            <w:vAlign w:val="center"/>
          </w:tcPr>
          <w:p w14:paraId="2B7C81F2">
            <w:pPr>
              <w:pStyle w:val="14"/>
              <w:rPr>
                <w:lang w:eastAsia="ja-JP"/>
              </w:rPr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6291E16D">
            <w:pPr>
              <w:pStyle w:val="14"/>
              <w:rPr>
                <w:lang w:eastAsia="ja-JP"/>
              </w:rPr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109D166E">
            <w:pPr>
              <w:pStyle w:val="14"/>
              <w:rPr>
                <w:lang w:eastAsia="ja-JP"/>
              </w:rPr>
            </w:pPr>
          </w:p>
        </w:tc>
      </w:tr>
      <w:tr w14:paraId="742523F7"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429A1C5D">
            <w:pPr>
              <w:pStyle w:val="14"/>
              <w:rPr>
                <w:rFonts w:ascii="MS Mincho" w:hAnsi="MS Mincho" w:eastAsia="MS Mincho"/>
                <w:lang w:eastAsia="ja-JP"/>
              </w:rPr>
            </w:pPr>
            <w:r>
              <w:rPr>
                <w:rFonts w:hint="eastAsia" w:ascii="MS Mincho" w:hAnsi="MS Mincho" w:eastAsia="MS Mincho"/>
                <w:lang w:eastAsia="ja-JP"/>
              </w:rPr>
              <w:t>3. 異文化コミュニケーションの言語行動</w:t>
            </w:r>
          </w:p>
        </w:tc>
        <w:tc>
          <w:tcPr>
            <w:tcW w:w="1074" w:type="dxa"/>
            <w:vAlign w:val="center"/>
          </w:tcPr>
          <w:p w14:paraId="2D3F04D6">
            <w:pPr>
              <w:pStyle w:val="14"/>
              <w:rPr>
                <w:lang w:eastAsia="ja-JP"/>
              </w:rPr>
            </w:pPr>
          </w:p>
        </w:tc>
        <w:tc>
          <w:tcPr>
            <w:tcW w:w="1074" w:type="dxa"/>
            <w:vAlign w:val="center"/>
          </w:tcPr>
          <w:p w14:paraId="65A9528B">
            <w:pPr>
              <w:pStyle w:val="14"/>
              <w:rPr>
                <w:lang w:eastAsia="ja-JP"/>
              </w:rPr>
            </w:pPr>
          </w:p>
        </w:tc>
        <w:tc>
          <w:tcPr>
            <w:tcW w:w="1074" w:type="dxa"/>
            <w:vAlign w:val="center"/>
          </w:tcPr>
          <w:p w14:paraId="2BD07F4E">
            <w:pPr>
              <w:pStyle w:val="14"/>
              <w:rPr>
                <w:lang w:eastAsia="ja-JP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78B0A0E2">
            <w:pPr>
              <w:pStyle w:val="14"/>
              <w:rPr>
                <w:lang w:eastAsia="ja-JP"/>
              </w:rPr>
            </w:pPr>
          </w:p>
        </w:tc>
        <w:tc>
          <w:tcPr>
            <w:tcW w:w="1073" w:type="dxa"/>
            <w:vAlign w:val="center"/>
          </w:tcPr>
          <w:p w14:paraId="2B18FE3B">
            <w:pPr>
              <w:pStyle w:val="14"/>
              <w:rPr>
                <w:lang w:eastAsia="ja-JP"/>
              </w:rPr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78DDE849">
            <w:pPr>
              <w:pStyle w:val="14"/>
              <w:rPr>
                <w:lang w:eastAsia="ja-JP"/>
              </w:rPr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3C00486C">
            <w:pPr>
              <w:pStyle w:val="14"/>
              <w:rPr>
                <w:lang w:eastAsia="ja-JP"/>
              </w:rPr>
            </w:pPr>
            <w:r>
              <w:rPr>
                <w:rFonts w:hint="eastAsia"/>
              </w:rPr>
              <w:t>√</w:t>
            </w:r>
          </w:p>
        </w:tc>
      </w:tr>
      <w:tr w14:paraId="44920598"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  <w:bottom w:val="single" w:color="auto" w:sz="12" w:space="0"/>
            </w:tcBorders>
          </w:tcPr>
          <w:p w14:paraId="766B1AC7">
            <w:pPr>
              <w:pStyle w:val="14"/>
              <w:rPr>
                <w:rFonts w:ascii="MS Mincho" w:hAnsi="MS Mincho" w:eastAsia="MS Mincho"/>
                <w:lang w:eastAsia="ja-JP"/>
              </w:rPr>
            </w:pPr>
            <w:r>
              <w:rPr>
                <w:rFonts w:hint="eastAsia" w:ascii="MS Mincho" w:hAnsi="MS Mincho" w:eastAsia="MS Mincho"/>
                <w:lang w:eastAsia="ja-JP"/>
              </w:rPr>
              <w:t>4. 異文化コミュニケーションの非言語行動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05EF49BE">
            <w:pPr>
              <w:pStyle w:val="14"/>
              <w:rPr>
                <w:lang w:eastAsia="ja-JP"/>
              </w:rPr>
            </w:pP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47ECC4D5">
            <w:pPr>
              <w:pStyle w:val="14"/>
              <w:rPr>
                <w:lang w:eastAsia="ja-JP"/>
              </w:rPr>
            </w:pP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6147EBCE">
            <w:pPr>
              <w:pStyle w:val="14"/>
              <w:rPr>
                <w:lang w:eastAsia="ja-JP"/>
              </w:rPr>
            </w:pPr>
          </w:p>
        </w:tc>
        <w:tc>
          <w:tcPr>
            <w:tcW w:w="1073" w:type="dxa"/>
            <w:tcBorders>
              <w:bottom w:val="single" w:color="auto" w:sz="12" w:space="0"/>
            </w:tcBorders>
            <w:vAlign w:val="center"/>
          </w:tcPr>
          <w:p w14:paraId="1F2E222B">
            <w:pPr>
              <w:pStyle w:val="14"/>
              <w:rPr>
                <w:lang w:eastAsia="ja-JP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tcBorders>
              <w:bottom w:val="single" w:color="auto" w:sz="12" w:space="0"/>
            </w:tcBorders>
            <w:vAlign w:val="center"/>
          </w:tcPr>
          <w:p w14:paraId="47E1876A">
            <w:pPr>
              <w:pStyle w:val="14"/>
              <w:rPr>
                <w:lang w:eastAsia="ja-JP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214C566">
            <w:pPr>
              <w:pStyle w:val="14"/>
              <w:rPr>
                <w:lang w:eastAsia="ja-JP"/>
              </w:rPr>
            </w:pPr>
          </w:p>
        </w:tc>
        <w:tc>
          <w:tcPr>
            <w:tcW w:w="1074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1E5B65D">
            <w:pPr>
              <w:pStyle w:val="14"/>
              <w:rPr>
                <w:lang w:eastAsia="ja-JP"/>
              </w:rPr>
            </w:pPr>
          </w:p>
        </w:tc>
      </w:tr>
    </w:tbl>
    <w:p w14:paraId="4FE1A6DA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0FA254B7">
        <w:trPr>
          <w:trHeight w:val="340" w:hRule="atLeast"/>
          <w:jc w:val="center"/>
        </w:trPr>
        <w:tc>
          <w:tcPr>
            <w:tcW w:w="1828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ECAD73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color="auto" w:sz="12" w:space="0"/>
            </w:tcBorders>
            <w:vAlign w:val="center"/>
          </w:tcPr>
          <w:p w14:paraId="66AFCAB2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</w:tcBorders>
            <w:vAlign w:val="center"/>
          </w:tcPr>
          <w:p w14:paraId="01000DD2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A1EEE21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7B8E905B">
        <w:trPr>
          <w:trHeight w:val="340" w:hRule="atLeast"/>
          <w:jc w:val="center"/>
        </w:trPr>
        <w:tc>
          <w:tcPr>
            <w:tcW w:w="1828" w:type="dxa"/>
            <w:vMerge w:val="continue"/>
            <w:tcBorders>
              <w:left w:val="single" w:color="auto" w:sz="12" w:space="0"/>
            </w:tcBorders>
          </w:tcPr>
          <w:p w14:paraId="61989EB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690" w:type="dxa"/>
            <w:vMerge w:val="continue"/>
          </w:tcPr>
          <w:p w14:paraId="370D88B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 w:val="continue"/>
          </w:tcPr>
          <w:p w14:paraId="1D4334E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650E93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590ED8E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29A35F5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7668FED3"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2744F2E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lang w:eastAsia="ja-JP"/>
              </w:rPr>
              <w:t>1.異文化コミュニケーション</w:t>
            </w:r>
            <w:r>
              <w:rPr>
                <w:rFonts w:hint="eastAsia" w:ascii="MS Mincho" w:hAnsi="MS Mincho" w:eastAsia="MS Mincho" w:cs="微软雅黑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lang w:eastAsia="ja-JP"/>
              </w:rPr>
              <w:t>ギャップ</w:t>
            </w:r>
          </w:p>
        </w:tc>
        <w:tc>
          <w:tcPr>
            <w:tcW w:w="2690" w:type="dxa"/>
            <w:vAlign w:val="center"/>
          </w:tcPr>
          <w:p w14:paraId="1B26C3D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介绍日本文化，社会，风土人情，让学生有诚信尽责，为人诚实，信守承诺，勤奋努力，精益求精，勇于担责意识。</w:t>
            </w:r>
          </w:p>
        </w:tc>
        <w:tc>
          <w:tcPr>
            <w:tcW w:w="1697" w:type="dxa"/>
            <w:vAlign w:val="center"/>
          </w:tcPr>
          <w:p w14:paraId="3932B1C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测试</w:t>
            </w:r>
          </w:p>
        </w:tc>
        <w:tc>
          <w:tcPr>
            <w:tcW w:w="708" w:type="dxa"/>
            <w:vAlign w:val="center"/>
          </w:tcPr>
          <w:p w14:paraId="68DA96A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24D348F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8A2BE3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14:paraId="05F6289F"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3504EE9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lang w:eastAsia="ja-JP"/>
              </w:rPr>
              <w:t>2. 異文化コミュニケーションのストラテジー</w:t>
            </w:r>
          </w:p>
        </w:tc>
        <w:tc>
          <w:tcPr>
            <w:tcW w:w="2690" w:type="dxa"/>
            <w:vAlign w:val="center"/>
          </w:tcPr>
          <w:p w14:paraId="1942267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在跨文化交际中，认识文化的不同，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让学生了解跨文化差异，理解内容。</w:t>
            </w:r>
          </w:p>
        </w:tc>
        <w:tc>
          <w:tcPr>
            <w:tcW w:w="1697" w:type="dxa"/>
            <w:vAlign w:val="center"/>
          </w:tcPr>
          <w:p w14:paraId="19CB917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测试</w:t>
            </w:r>
          </w:p>
        </w:tc>
        <w:tc>
          <w:tcPr>
            <w:tcW w:w="708" w:type="dxa"/>
            <w:vAlign w:val="center"/>
          </w:tcPr>
          <w:p w14:paraId="3198F02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5340F0A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7D5D78F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14:paraId="708D285A"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4F81188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lang w:eastAsia="ja-JP"/>
              </w:rPr>
              <w:t>3. 異文化コミュニケーションの言語行動</w:t>
            </w:r>
          </w:p>
        </w:tc>
        <w:tc>
          <w:tcPr>
            <w:tcW w:w="2690" w:type="dxa"/>
            <w:vAlign w:val="center"/>
          </w:tcPr>
          <w:p w14:paraId="2696D8C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通过课堂跨文化交际练习，使学生有团队意识，能够和其他成员共同完成任务，融入其中。</w:t>
            </w:r>
          </w:p>
        </w:tc>
        <w:tc>
          <w:tcPr>
            <w:tcW w:w="1697" w:type="dxa"/>
            <w:vAlign w:val="center"/>
          </w:tcPr>
          <w:p w14:paraId="0407D73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测试</w:t>
            </w:r>
          </w:p>
        </w:tc>
        <w:tc>
          <w:tcPr>
            <w:tcW w:w="708" w:type="dxa"/>
            <w:vAlign w:val="center"/>
          </w:tcPr>
          <w:p w14:paraId="3BD808E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69DB9C4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290644E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14:paraId="4537B2C7"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4D983F03">
            <w:pPr>
              <w:widowControl w:val="0"/>
              <w:snapToGrid w:val="0"/>
              <w:jc w:val="center"/>
              <w:rPr>
                <w:rFonts w:ascii="MS Mincho" w:hAnsi="MS Mincho" w:eastAsia="MS Mincho"/>
                <w:lang w:eastAsia="ja-JP"/>
              </w:rPr>
            </w:pPr>
            <w:r>
              <w:rPr>
                <w:rFonts w:hint="eastAsia" w:ascii="MS Mincho" w:hAnsi="MS Mincho" w:eastAsia="MS Mincho"/>
                <w:lang w:eastAsia="ja-JP"/>
              </w:rPr>
              <w:t>4. 異文化コミュニケーションの非言語行動</w:t>
            </w:r>
          </w:p>
        </w:tc>
        <w:tc>
          <w:tcPr>
            <w:tcW w:w="2690" w:type="dxa"/>
            <w:vAlign w:val="center"/>
          </w:tcPr>
          <w:p w14:paraId="64B6479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在跨文化交际中，理解其他国家历史文化，有跨文化交流能力。</w:t>
            </w:r>
          </w:p>
        </w:tc>
        <w:tc>
          <w:tcPr>
            <w:tcW w:w="1697" w:type="dxa"/>
            <w:vAlign w:val="center"/>
          </w:tcPr>
          <w:p w14:paraId="3FE5E64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测试</w:t>
            </w:r>
          </w:p>
        </w:tc>
        <w:tc>
          <w:tcPr>
            <w:tcW w:w="708" w:type="dxa"/>
            <w:vAlign w:val="center"/>
          </w:tcPr>
          <w:p w14:paraId="71BF9A3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5E8B1B5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9A40A9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14:paraId="50528B66"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25202DF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4F4520B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32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 w14:paraId="2A05087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E236E7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32</w:t>
            </w:r>
          </w:p>
        </w:tc>
      </w:tr>
    </w:tbl>
    <w:p w14:paraId="26C2997E"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1"/>
      <w:bookmarkStart w:id="3" w:name="OLE_LINK2"/>
      <w:r>
        <w:rPr>
          <w:rFonts w:hint="eastAsia" w:ascii="黑体" w:hAnsi="宋体"/>
        </w:rPr>
        <w:t>四、课程思政教学设计</w:t>
      </w:r>
      <w:bookmarkStart w:id="6" w:name="_GoBack"/>
      <w:bookmarkEnd w:id="6"/>
    </w:p>
    <w:tbl>
      <w:tblPr>
        <w:tblStyle w:val="8"/>
        <w:tblW w:w="5077" w:type="pct"/>
        <w:tblInd w:w="-1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2477"/>
        <w:gridCol w:w="6130"/>
      </w:tblGrid>
      <w:tr w14:paraId="4BB3B5E1">
        <w:trPr>
          <w:trHeight w:val="454" w:hRule="atLeast"/>
        </w:trPr>
        <w:tc>
          <w:tcPr>
            <w:tcW w:w="2477" w:type="dxa"/>
            <w:vAlign w:val="center"/>
          </w:tcPr>
          <w:p w14:paraId="4C7C70B1">
            <w:pPr>
              <w:pStyle w:val="13"/>
              <w:widowControl w:val="0"/>
            </w:pPr>
            <w:r>
              <w:rPr>
                <w:rFonts w:hint="eastAsia"/>
              </w:rPr>
              <w:t>教学单元</w:t>
            </w:r>
          </w:p>
        </w:tc>
        <w:tc>
          <w:tcPr>
            <w:tcW w:w="6130" w:type="dxa"/>
            <w:vAlign w:val="center"/>
          </w:tcPr>
          <w:p w14:paraId="5CFC075F">
            <w:pPr>
              <w:pStyle w:val="13"/>
              <w:widowControl w:val="0"/>
            </w:pPr>
            <w:r>
              <w:rPr>
                <w:rFonts w:hint="eastAsia"/>
              </w:rPr>
              <w:t>课程思政教学要点</w:t>
            </w:r>
          </w:p>
        </w:tc>
      </w:tr>
      <w:tr w14:paraId="639989EA">
        <w:trPr>
          <w:trHeight w:val="454" w:hRule="atLeast"/>
        </w:trPr>
        <w:tc>
          <w:tcPr>
            <w:tcW w:w="2477" w:type="dxa"/>
            <w:tcBorders>
              <w:left w:val="single" w:color="auto" w:sz="12" w:space="0"/>
            </w:tcBorders>
          </w:tcPr>
          <w:p w14:paraId="485567EF">
            <w:pPr>
              <w:pStyle w:val="14"/>
              <w:widowControl w:val="0"/>
              <w:rPr>
                <w:rFonts w:ascii="MS Mincho" w:hAnsi="MS Mincho" w:eastAsia="MS Mincho"/>
                <w:lang w:eastAsia="ja-JP"/>
              </w:rPr>
            </w:pPr>
            <w:r>
              <w:rPr>
                <w:rFonts w:ascii="MS Mincho" w:hAnsi="MS Mincho" w:eastAsia="MS Mincho"/>
                <w:lang w:eastAsia="ja-JP"/>
              </w:rPr>
              <w:t xml:space="preserve">1. </w:t>
            </w:r>
            <w:r>
              <w:rPr>
                <w:rFonts w:hint="eastAsia" w:ascii="MS Mincho" w:hAnsi="MS Mincho" w:eastAsia="MS Mincho"/>
                <w:lang w:eastAsia="ja-JP"/>
              </w:rPr>
              <w:t>異文化コミュニケーション</w:t>
            </w:r>
            <w:r>
              <w:rPr>
                <w:rFonts w:hint="eastAsia" w:ascii="MS Mincho" w:hAnsi="MS Mincho" w:eastAsia="MS Mincho" w:cs="微软雅黑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lang w:eastAsia="ja-JP"/>
              </w:rPr>
              <w:t>ギャップ</w:t>
            </w:r>
          </w:p>
        </w:tc>
        <w:tc>
          <w:tcPr>
            <w:tcW w:w="6130" w:type="dxa"/>
            <w:vAlign w:val="center"/>
          </w:tcPr>
          <w:p w14:paraId="0F810495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了解不同国家的文化，尊重他国文化。</w:t>
            </w:r>
          </w:p>
        </w:tc>
      </w:tr>
      <w:tr w14:paraId="4B6E945B">
        <w:trPr>
          <w:trHeight w:val="454" w:hRule="atLeast"/>
        </w:trPr>
        <w:tc>
          <w:tcPr>
            <w:tcW w:w="2477" w:type="dxa"/>
            <w:tcBorders>
              <w:left w:val="single" w:color="auto" w:sz="12" w:space="0"/>
            </w:tcBorders>
          </w:tcPr>
          <w:p w14:paraId="144CC248">
            <w:pPr>
              <w:pStyle w:val="14"/>
              <w:widowControl w:val="0"/>
              <w:rPr>
                <w:rFonts w:ascii="MS Mincho" w:hAnsi="MS Mincho" w:eastAsia="MS Mincho"/>
                <w:lang w:eastAsia="ja-JP"/>
              </w:rPr>
            </w:pPr>
            <w:r>
              <w:rPr>
                <w:rFonts w:ascii="MS Mincho" w:hAnsi="MS Mincho" w:eastAsia="MS Mincho"/>
                <w:lang w:eastAsia="ja-JP"/>
              </w:rPr>
              <w:t xml:space="preserve">2. </w:t>
            </w:r>
            <w:r>
              <w:rPr>
                <w:rFonts w:hint="eastAsia" w:ascii="MS Mincho" w:hAnsi="MS Mincho" w:eastAsia="MS Mincho"/>
                <w:lang w:eastAsia="ja-JP"/>
              </w:rPr>
              <w:t>異文化コミュニケーションのストラテジー</w:t>
            </w:r>
          </w:p>
        </w:tc>
        <w:tc>
          <w:tcPr>
            <w:tcW w:w="6130" w:type="dxa"/>
            <w:vAlign w:val="center"/>
          </w:tcPr>
          <w:p w14:paraId="5FC609B0">
            <w:pPr>
              <w:pStyle w:val="14"/>
              <w:widowControl w:val="0"/>
              <w:jc w:val="both"/>
            </w:pPr>
            <w:r>
              <w:t>掌握跨文化交际中的专业用语，</w:t>
            </w:r>
            <w:r>
              <w:rPr>
                <w:rFonts w:hint="eastAsia"/>
              </w:rPr>
              <w:t>勤奋努力，精益求精。</w:t>
            </w:r>
          </w:p>
        </w:tc>
      </w:tr>
      <w:tr w14:paraId="2A4067F6">
        <w:trPr>
          <w:trHeight w:val="454" w:hRule="atLeast"/>
        </w:trPr>
        <w:tc>
          <w:tcPr>
            <w:tcW w:w="2477" w:type="dxa"/>
            <w:tcBorders>
              <w:left w:val="single" w:color="auto" w:sz="12" w:space="0"/>
            </w:tcBorders>
          </w:tcPr>
          <w:p w14:paraId="6C3E44B7">
            <w:pPr>
              <w:pStyle w:val="14"/>
              <w:widowControl w:val="0"/>
              <w:rPr>
                <w:rFonts w:ascii="MS Mincho" w:hAnsi="MS Mincho" w:eastAsia="MS Mincho"/>
                <w:lang w:eastAsia="ja-JP"/>
              </w:rPr>
            </w:pPr>
            <w:r>
              <w:rPr>
                <w:rFonts w:ascii="MS Mincho" w:hAnsi="MS Mincho" w:eastAsia="MS Mincho"/>
                <w:lang w:eastAsia="ja-JP"/>
              </w:rPr>
              <w:t xml:space="preserve">3. </w:t>
            </w:r>
            <w:r>
              <w:rPr>
                <w:rFonts w:hint="eastAsia" w:ascii="MS Mincho" w:hAnsi="MS Mincho" w:eastAsia="MS Mincho"/>
                <w:lang w:eastAsia="ja-JP"/>
              </w:rPr>
              <w:t>異文化コミュニケーションの言語行動</w:t>
            </w:r>
          </w:p>
        </w:tc>
        <w:tc>
          <w:tcPr>
            <w:tcW w:w="6130" w:type="dxa"/>
            <w:vAlign w:val="center"/>
          </w:tcPr>
          <w:p w14:paraId="2BDF22A2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掌握不同场合下的跨文化交际用语，实践当中和同学互助。</w:t>
            </w:r>
          </w:p>
        </w:tc>
      </w:tr>
      <w:tr w14:paraId="3CA6965E">
        <w:trPr>
          <w:trHeight w:val="1443" w:hRule="atLeast"/>
        </w:trPr>
        <w:tc>
          <w:tcPr>
            <w:tcW w:w="2477" w:type="dxa"/>
            <w:tcBorders>
              <w:left w:val="single" w:color="auto" w:sz="12" w:space="0"/>
            </w:tcBorders>
          </w:tcPr>
          <w:p w14:paraId="03E10A4F">
            <w:pPr>
              <w:pStyle w:val="14"/>
              <w:widowControl w:val="0"/>
              <w:rPr>
                <w:rFonts w:ascii="MS Mincho" w:hAnsi="MS Mincho" w:eastAsia="MS Mincho"/>
                <w:bCs/>
                <w:lang w:eastAsia="ja-JP"/>
              </w:rPr>
            </w:pPr>
            <w:r>
              <w:rPr>
                <w:rFonts w:ascii="MS Mincho" w:hAnsi="MS Mincho" w:eastAsia="MS Mincho"/>
                <w:lang w:eastAsia="ja-JP"/>
              </w:rPr>
              <w:t xml:space="preserve">4. </w:t>
            </w:r>
            <w:r>
              <w:rPr>
                <w:rFonts w:hint="eastAsia" w:ascii="MS Mincho" w:hAnsi="MS Mincho" w:eastAsia="MS Mincho"/>
                <w:lang w:eastAsia="ja-JP"/>
              </w:rPr>
              <w:t>異文化コミュニケーションの非言語行動</w:t>
            </w:r>
          </w:p>
        </w:tc>
        <w:tc>
          <w:tcPr>
            <w:tcW w:w="6130" w:type="dxa"/>
            <w:vAlign w:val="center"/>
          </w:tcPr>
          <w:p w14:paraId="6B55262E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理解肢体语言等文化差异，尊总他国文化。</w:t>
            </w:r>
          </w:p>
        </w:tc>
      </w:tr>
      <w:bookmarkEnd w:id="2"/>
      <w:bookmarkEnd w:id="3"/>
    </w:tbl>
    <w:p w14:paraId="61BA138C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3"/>
      <w:bookmarkStart w:id="5" w:name="OLE_LINK4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693"/>
        <w:gridCol w:w="2070"/>
        <w:gridCol w:w="569"/>
        <w:gridCol w:w="569"/>
        <w:gridCol w:w="569"/>
        <w:gridCol w:w="569"/>
        <w:gridCol w:w="569"/>
        <w:gridCol w:w="569"/>
        <w:gridCol w:w="635"/>
        <w:gridCol w:w="680"/>
      </w:tblGrid>
      <w:tr w14:paraId="5A0E38E1">
        <w:trPr>
          <w:trHeight w:val="454" w:hRule="atLeast"/>
        </w:trPr>
        <w:tc>
          <w:tcPr>
            <w:tcW w:w="784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A8CC93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693" w:type="dxa"/>
            <w:vMerge w:val="restart"/>
            <w:tcBorders>
              <w:top w:val="single" w:color="auto" w:sz="12" w:space="0"/>
            </w:tcBorders>
            <w:vAlign w:val="center"/>
          </w:tcPr>
          <w:p w14:paraId="460EFC6C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070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47F687BC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4049" w:type="dxa"/>
            <w:gridSpan w:val="7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3AE46285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680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DB5FF41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6CB69652">
        <w:trPr>
          <w:trHeight w:val="454" w:hRule="atLeast"/>
        </w:trPr>
        <w:tc>
          <w:tcPr>
            <w:tcW w:w="784" w:type="dxa"/>
            <w:vMerge w:val="continue"/>
            <w:tcBorders>
              <w:left w:val="single" w:color="auto" w:sz="12" w:space="0"/>
            </w:tcBorders>
          </w:tcPr>
          <w:p w14:paraId="6EA8E88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93" w:type="dxa"/>
            <w:vMerge w:val="continue"/>
          </w:tcPr>
          <w:p w14:paraId="60ED663F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070" w:type="dxa"/>
            <w:vMerge w:val="continue"/>
            <w:tcBorders>
              <w:right w:val="double" w:color="auto" w:sz="4" w:space="0"/>
            </w:tcBorders>
          </w:tcPr>
          <w:p w14:paraId="0E786B9C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569" w:type="dxa"/>
            <w:tcBorders>
              <w:left w:val="double" w:color="auto" w:sz="4" w:space="0"/>
            </w:tcBorders>
            <w:vAlign w:val="center"/>
          </w:tcPr>
          <w:p w14:paraId="3CC508A7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569" w:type="dxa"/>
            <w:vAlign w:val="center"/>
          </w:tcPr>
          <w:p w14:paraId="6DE9C55C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569" w:type="dxa"/>
            <w:vAlign w:val="center"/>
          </w:tcPr>
          <w:p w14:paraId="3C453A55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569" w:type="dxa"/>
            <w:vAlign w:val="center"/>
          </w:tcPr>
          <w:p w14:paraId="46DB9589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569" w:type="dxa"/>
            <w:vAlign w:val="center"/>
          </w:tcPr>
          <w:p w14:paraId="71048D9F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569" w:type="dxa"/>
            <w:vAlign w:val="center"/>
          </w:tcPr>
          <w:p w14:paraId="56B9F955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6</w:t>
            </w:r>
          </w:p>
        </w:tc>
        <w:tc>
          <w:tcPr>
            <w:tcW w:w="635" w:type="dxa"/>
            <w:vAlign w:val="center"/>
          </w:tcPr>
          <w:p w14:paraId="4CDD589D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7</w:t>
            </w:r>
          </w:p>
        </w:tc>
        <w:tc>
          <w:tcPr>
            <w:tcW w:w="680" w:type="dxa"/>
            <w:vMerge w:val="continue"/>
            <w:tcBorders>
              <w:right w:val="single" w:color="auto" w:sz="12" w:space="0"/>
            </w:tcBorders>
          </w:tcPr>
          <w:p w14:paraId="379F135D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278C327B">
        <w:trPr>
          <w:trHeight w:val="454" w:hRule="atLeast"/>
        </w:trPr>
        <w:tc>
          <w:tcPr>
            <w:tcW w:w="784" w:type="dxa"/>
            <w:tcBorders>
              <w:left w:val="single" w:color="auto" w:sz="12" w:space="0"/>
            </w:tcBorders>
            <w:vAlign w:val="center"/>
          </w:tcPr>
          <w:p w14:paraId="33B1C93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693" w:type="dxa"/>
            <w:vAlign w:val="center"/>
          </w:tcPr>
          <w:p w14:paraId="46802AF3">
            <w:pPr>
              <w:pStyle w:val="14"/>
              <w:widowControl w:val="0"/>
            </w:pPr>
            <w:r>
              <w:rPr>
                <w:rFonts w:hint="eastAsia"/>
              </w:rPr>
              <w:t>60%</w:t>
            </w:r>
          </w:p>
        </w:tc>
        <w:tc>
          <w:tcPr>
            <w:tcW w:w="2070" w:type="dxa"/>
            <w:tcBorders>
              <w:right w:val="double" w:color="auto" w:sz="4" w:space="0"/>
            </w:tcBorders>
            <w:vAlign w:val="center"/>
          </w:tcPr>
          <w:p w14:paraId="3DFC976D">
            <w:pPr>
              <w:pStyle w:val="14"/>
              <w:widowControl w:val="0"/>
            </w:pPr>
            <w:r>
              <w:rPr>
                <w:rFonts w:hint="eastAsia"/>
              </w:rPr>
              <w:t>笔试</w:t>
            </w:r>
          </w:p>
        </w:tc>
        <w:tc>
          <w:tcPr>
            <w:tcW w:w="569" w:type="dxa"/>
            <w:tcBorders>
              <w:left w:val="double" w:color="auto" w:sz="4" w:space="0"/>
            </w:tcBorders>
            <w:vAlign w:val="center"/>
          </w:tcPr>
          <w:p w14:paraId="1E4A00B3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69" w:type="dxa"/>
            <w:vAlign w:val="center"/>
          </w:tcPr>
          <w:p w14:paraId="18098D2D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69" w:type="dxa"/>
            <w:vAlign w:val="center"/>
          </w:tcPr>
          <w:p w14:paraId="4179A906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69" w:type="dxa"/>
            <w:vAlign w:val="center"/>
          </w:tcPr>
          <w:p w14:paraId="7356356D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569" w:type="dxa"/>
            <w:vAlign w:val="center"/>
          </w:tcPr>
          <w:p w14:paraId="4D4C862A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569" w:type="dxa"/>
            <w:vAlign w:val="center"/>
          </w:tcPr>
          <w:p w14:paraId="0BC3E4EF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35" w:type="dxa"/>
          </w:tcPr>
          <w:p w14:paraId="4B9501F5">
            <w:pPr>
              <w:pStyle w:val="14"/>
              <w:widowControl w:val="0"/>
            </w:pPr>
          </w:p>
        </w:tc>
        <w:tc>
          <w:tcPr>
            <w:tcW w:w="680" w:type="dxa"/>
            <w:tcBorders>
              <w:right w:val="single" w:color="auto" w:sz="12" w:space="0"/>
            </w:tcBorders>
            <w:vAlign w:val="center"/>
          </w:tcPr>
          <w:p w14:paraId="753258F9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3776B8B0">
        <w:trPr>
          <w:trHeight w:val="454" w:hRule="atLeast"/>
        </w:trPr>
        <w:tc>
          <w:tcPr>
            <w:tcW w:w="784" w:type="dxa"/>
            <w:tcBorders>
              <w:left w:val="single" w:color="auto" w:sz="12" w:space="0"/>
            </w:tcBorders>
            <w:vAlign w:val="center"/>
          </w:tcPr>
          <w:p w14:paraId="4879736C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693" w:type="dxa"/>
            <w:vAlign w:val="center"/>
          </w:tcPr>
          <w:p w14:paraId="764DCECC">
            <w:pPr>
              <w:pStyle w:val="14"/>
              <w:widowControl w:val="0"/>
            </w:pPr>
            <w:r>
              <w:rPr>
                <w:rFonts w:hint="eastAsia"/>
              </w:rPr>
              <w:t>15%</w:t>
            </w:r>
          </w:p>
        </w:tc>
        <w:tc>
          <w:tcPr>
            <w:tcW w:w="2070" w:type="dxa"/>
            <w:tcBorders>
              <w:right w:val="double" w:color="auto" w:sz="4" w:space="0"/>
            </w:tcBorders>
            <w:vAlign w:val="center"/>
          </w:tcPr>
          <w:p w14:paraId="22035CC6">
            <w:pPr>
              <w:pStyle w:val="14"/>
              <w:widowControl w:val="0"/>
            </w:pPr>
            <w:r>
              <w:t>随堂测试+平时表现</w:t>
            </w:r>
          </w:p>
        </w:tc>
        <w:tc>
          <w:tcPr>
            <w:tcW w:w="569" w:type="dxa"/>
            <w:tcBorders>
              <w:left w:val="double" w:color="auto" w:sz="4" w:space="0"/>
            </w:tcBorders>
            <w:vAlign w:val="center"/>
          </w:tcPr>
          <w:p w14:paraId="760AEAB9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69" w:type="dxa"/>
            <w:vAlign w:val="center"/>
          </w:tcPr>
          <w:p w14:paraId="1BDBB066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69" w:type="dxa"/>
            <w:vAlign w:val="center"/>
          </w:tcPr>
          <w:p w14:paraId="560AEFD4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69" w:type="dxa"/>
            <w:vAlign w:val="center"/>
          </w:tcPr>
          <w:p w14:paraId="7C9F6962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569" w:type="dxa"/>
            <w:vAlign w:val="center"/>
          </w:tcPr>
          <w:p w14:paraId="0A9ADED9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569" w:type="dxa"/>
            <w:vAlign w:val="center"/>
          </w:tcPr>
          <w:p w14:paraId="7263E340">
            <w:pPr>
              <w:pStyle w:val="14"/>
              <w:widowControl w:val="0"/>
            </w:pPr>
          </w:p>
        </w:tc>
        <w:tc>
          <w:tcPr>
            <w:tcW w:w="635" w:type="dxa"/>
          </w:tcPr>
          <w:p w14:paraId="7123BF4F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80" w:type="dxa"/>
            <w:tcBorders>
              <w:right w:val="single" w:color="auto" w:sz="12" w:space="0"/>
            </w:tcBorders>
            <w:vAlign w:val="center"/>
          </w:tcPr>
          <w:p w14:paraId="7D1205D5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2FA88844">
        <w:trPr>
          <w:trHeight w:val="454" w:hRule="atLeast"/>
        </w:trPr>
        <w:tc>
          <w:tcPr>
            <w:tcW w:w="784" w:type="dxa"/>
            <w:tcBorders>
              <w:left w:val="single" w:color="auto" w:sz="12" w:space="0"/>
            </w:tcBorders>
            <w:vAlign w:val="center"/>
          </w:tcPr>
          <w:p w14:paraId="6097F899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693" w:type="dxa"/>
            <w:vAlign w:val="center"/>
          </w:tcPr>
          <w:p w14:paraId="4128FC6B">
            <w:pPr>
              <w:pStyle w:val="14"/>
              <w:widowControl w:val="0"/>
            </w:pPr>
            <w:r>
              <w:rPr>
                <w:rFonts w:hint="eastAsia"/>
              </w:rPr>
              <w:t>10%</w:t>
            </w:r>
          </w:p>
        </w:tc>
        <w:tc>
          <w:tcPr>
            <w:tcW w:w="2070" w:type="dxa"/>
            <w:tcBorders>
              <w:right w:val="double" w:color="auto" w:sz="4" w:space="0"/>
            </w:tcBorders>
            <w:vAlign w:val="center"/>
          </w:tcPr>
          <w:p w14:paraId="5C6871DB">
            <w:pPr>
              <w:pStyle w:val="14"/>
              <w:widowControl w:val="0"/>
            </w:pPr>
            <w:r>
              <w:t>随堂测试+平时表现</w:t>
            </w:r>
          </w:p>
        </w:tc>
        <w:tc>
          <w:tcPr>
            <w:tcW w:w="569" w:type="dxa"/>
            <w:tcBorders>
              <w:left w:val="double" w:color="auto" w:sz="4" w:space="0"/>
            </w:tcBorders>
            <w:vAlign w:val="center"/>
          </w:tcPr>
          <w:p w14:paraId="2DE4C85C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69" w:type="dxa"/>
            <w:vAlign w:val="center"/>
          </w:tcPr>
          <w:p w14:paraId="3CE7372E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69" w:type="dxa"/>
            <w:vAlign w:val="center"/>
          </w:tcPr>
          <w:p w14:paraId="0D3CBDAD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69" w:type="dxa"/>
            <w:vAlign w:val="center"/>
          </w:tcPr>
          <w:p w14:paraId="6E4540C7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569" w:type="dxa"/>
            <w:vAlign w:val="center"/>
          </w:tcPr>
          <w:p w14:paraId="71D31591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569" w:type="dxa"/>
            <w:vAlign w:val="center"/>
          </w:tcPr>
          <w:p w14:paraId="49EF3E82">
            <w:pPr>
              <w:pStyle w:val="14"/>
              <w:widowControl w:val="0"/>
            </w:pPr>
          </w:p>
        </w:tc>
        <w:tc>
          <w:tcPr>
            <w:tcW w:w="635" w:type="dxa"/>
          </w:tcPr>
          <w:p w14:paraId="5C0A704D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80" w:type="dxa"/>
            <w:tcBorders>
              <w:right w:val="single" w:color="auto" w:sz="12" w:space="0"/>
            </w:tcBorders>
            <w:vAlign w:val="center"/>
          </w:tcPr>
          <w:p w14:paraId="7A3DCB2D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353C49B5">
        <w:trPr>
          <w:trHeight w:val="454" w:hRule="atLeast"/>
        </w:trPr>
        <w:tc>
          <w:tcPr>
            <w:tcW w:w="784" w:type="dxa"/>
            <w:tcBorders>
              <w:left w:val="single" w:color="auto" w:sz="12" w:space="0"/>
            </w:tcBorders>
            <w:vAlign w:val="center"/>
          </w:tcPr>
          <w:p w14:paraId="6F80698C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693" w:type="dxa"/>
            <w:vAlign w:val="center"/>
          </w:tcPr>
          <w:p w14:paraId="2C5E1FB0">
            <w:pPr>
              <w:pStyle w:val="14"/>
              <w:widowControl w:val="0"/>
            </w:pPr>
            <w:r>
              <w:rPr>
                <w:rFonts w:hint="eastAsia"/>
              </w:rPr>
              <w:t>15%</w:t>
            </w:r>
          </w:p>
        </w:tc>
        <w:tc>
          <w:tcPr>
            <w:tcW w:w="2070" w:type="dxa"/>
            <w:tcBorders>
              <w:right w:val="double" w:color="auto" w:sz="4" w:space="0"/>
            </w:tcBorders>
            <w:vAlign w:val="center"/>
          </w:tcPr>
          <w:p w14:paraId="31F27848">
            <w:pPr>
              <w:pStyle w:val="14"/>
              <w:widowControl w:val="0"/>
            </w:pPr>
            <w:r>
              <w:t>随堂测试+平时表现</w:t>
            </w:r>
          </w:p>
        </w:tc>
        <w:tc>
          <w:tcPr>
            <w:tcW w:w="569" w:type="dxa"/>
            <w:tcBorders>
              <w:left w:val="double" w:color="auto" w:sz="4" w:space="0"/>
            </w:tcBorders>
            <w:vAlign w:val="center"/>
          </w:tcPr>
          <w:p w14:paraId="3DFD37BA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69" w:type="dxa"/>
            <w:vAlign w:val="center"/>
          </w:tcPr>
          <w:p w14:paraId="364F9EAE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69" w:type="dxa"/>
            <w:vAlign w:val="center"/>
          </w:tcPr>
          <w:p w14:paraId="27875753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69" w:type="dxa"/>
            <w:vAlign w:val="center"/>
          </w:tcPr>
          <w:p w14:paraId="0E2DC407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569" w:type="dxa"/>
            <w:vAlign w:val="center"/>
          </w:tcPr>
          <w:p w14:paraId="0CC5EEDA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569" w:type="dxa"/>
            <w:vAlign w:val="center"/>
          </w:tcPr>
          <w:p w14:paraId="2068DE6A">
            <w:pPr>
              <w:pStyle w:val="14"/>
              <w:widowControl w:val="0"/>
            </w:pPr>
          </w:p>
        </w:tc>
        <w:tc>
          <w:tcPr>
            <w:tcW w:w="635" w:type="dxa"/>
          </w:tcPr>
          <w:p w14:paraId="1F6D0CC1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80" w:type="dxa"/>
            <w:tcBorders>
              <w:right w:val="single" w:color="auto" w:sz="12" w:space="0"/>
            </w:tcBorders>
            <w:vAlign w:val="center"/>
          </w:tcPr>
          <w:p w14:paraId="72294B57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6B8E8D6E">
      <w:pPr>
        <w:pStyle w:val="16"/>
        <w:rPr>
          <w:rFonts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Century">
    <w:altName w:val="苹方-简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MS Mincho">
    <w:altName w:val="Hiragino Sans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方正小标宋简体">
    <w:altName w:val="汉仪书宋二KW"/>
    <w:panose1 w:val="020B0604020202020204"/>
    <w:charset w:val="86"/>
    <w:family w:val="script"/>
    <w:pitch w:val="default"/>
    <w:sig w:usb0="00000000" w:usb1="00000000" w:usb2="0000001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327A4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B1A2002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WAAAAZHJz&#10;L1BLAQIUABQAAAAIAIdO4kC+4ZKZ1AAAAAkBAAAPAAAAAAAAAAEAIAAAADgAAABkcnMvZG93bnJl&#10;di54bWxQSwECFAAUAAAACACHTuJAE483810CAAClBAAADgAAAAAAAAABACAAAAA5AQAAZHJzL2Uy&#10;b0RvYy54bWxQSwUGAAAAAAYABgBZAQAACAY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7B1A2002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203E0"/>
    <w:rsid w:val="000210E0"/>
    <w:rsid w:val="00033082"/>
    <w:rsid w:val="00044088"/>
    <w:rsid w:val="00053590"/>
    <w:rsid w:val="00053890"/>
    <w:rsid w:val="0006001D"/>
    <w:rsid w:val="00063989"/>
    <w:rsid w:val="00066041"/>
    <w:rsid w:val="0007473D"/>
    <w:rsid w:val="00076794"/>
    <w:rsid w:val="0008122A"/>
    <w:rsid w:val="00087488"/>
    <w:rsid w:val="0009050A"/>
    <w:rsid w:val="0009721F"/>
    <w:rsid w:val="000A4E73"/>
    <w:rsid w:val="000B1BD2"/>
    <w:rsid w:val="000C0F0D"/>
    <w:rsid w:val="000C0F81"/>
    <w:rsid w:val="000C13BC"/>
    <w:rsid w:val="000D28E5"/>
    <w:rsid w:val="000D34D7"/>
    <w:rsid w:val="000E56FE"/>
    <w:rsid w:val="000E7AF7"/>
    <w:rsid w:val="00100633"/>
    <w:rsid w:val="001059A1"/>
    <w:rsid w:val="001072BC"/>
    <w:rsid w:val="00114BD6"/>
    <w:rsid w:val="00130F6D"/>
    <w:rsid w:val="00133554"/>
    <w:rsid w:val="00144082"/>
    <w:rsid w:val="00157151"/>
    <w:rsid w:val="0016381F"/>
    <w:rsid w:val="00163A48"/>
    <w:rsid w:val="00164E36"/>
    <w:rsid w:val="001678A2"/>
    <w:rsid w:val="00174258"/>
    <w:rsid w:val="00183AA1"/>
    <w:rsid w:val="0018767C"/>
    <w:rsid w:val="001A101A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03824"/>
    <w:rsid w:val="00210816"/>
    <w:rsid w:val="00215B26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2B11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69AB"/>
    <w:rsid w:val="00317E29"/>
    <w:rsid w:val="00321515"/>
    <w:rsid w:val="003243A9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2776"/>
    <w:rsid w:val="00353F74"/>
    <w:rsid w:val="00354298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3171"/>
    <w:rsid w:val="004540AA"/>
    <w:rsid w:val="00456BD8"/>
    <w:rsid w:val="00456DC8"/>
    <w:rsid w:val="0046549D"/>
    <w:rsid w:val="00466AFC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0D7A"/>
    <w:rsid w:val="004F3DF0"/>
    <w:rsid w:val="005074E1"/>
    <w:rsid w:val="00511C8C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A2175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970"/>
    <w:rsid w:val="00691B24"/>
    <w:rsid w:val="00695B93"/>
    <w:rsid w:val="00697C16"/>
    <w:rsid w:val="006A33D0"/>
    <w:rsid w:val="006A5A89"/>
    <w:rsid w:val="006B3BB9"/>
    <w:rsid w:val="006B48AC"/>
    <w:rsid w:val="006B5977"/>
    <w:rsid w:val="006D1B59"/>
    <w:rsid w:val="006D2F9C"/>
    <w:rsid w:val="006D3E67"/>
    <w:rsid w:val="006D4351"/>
    <w:rsid w:val="006D5424"/>
    <w:rsid w:val="006E12AB"/>
    <w:rsid w:val="006E5CA9"/>
    <w:rsid w:val="006E5E98"/>
    <w:rsid w:val="006E7A37"/>
    <w:rsid w:val="006F3151"/>
    <w:rsid w:val="007011CA"/>
    <w:rsid w:val="00703B92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1C0B"/>
    <w:rsid w:val="00764FD9"/>
    <w:rsid w:val="007740B2"/>
    <w:rsid w:val="00774C1F"/>
    <w:rsid w:val="0078194F"/>
    <w:rsid w:val="007934A4"/>
    <w:rsid w:val="007944A2"/>
    <w:rsid w:val="0079607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4725"/>
    <w:rsid w:val="008256B9"/>
    <w:rsid w:val="0083705D"/>
    <w:rsid w:val="0084242F"/>
    <w:rsid w:val="00845795"/>
    <w:rsid w:val="00847437"/>
    <w:rsid w:val="00875A34"/>
    <w:rsid w:val="00882E15"/>
    <w:rsid w:val="00883C73"/>
    <w:rsid w:val="008901A2"/>
    <w:rsid w:val="008913CF"/>
    <w:rsid w:val="00897BD3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C6EFD"/>
    <w:rsid w:val="008D3D5F"/>
    <w:rsid w:val="008D4E81"/>
    <w:rsid w:val="008D505F"/>
    <w:rsid w:val="008E0F55"/>
    <w:rsid w:val="008F253F"/>
    <w:rsid w:val="008F7F31"/>
    <w:rsid w:val="00900019"/>
    <w:rsid w:val="009023B1"/>
    <w:rsid w:val="00912AEC"/>
    <w:rsid w:val="009147D6"/>
    <w:rsid w:val="00914D98"/>
    <w:rsid w:val="00925F8C"/>
    <w:rsid w:val="00927324"/>
    <w:rsid w:val="0093161D"/>
    <w:rsid w:val="00932ED7"/>
    <w:rsid w:val="00933990"/>
    <w:rsid w:val="00941B89"/>
    <w:rsid w:val="00941DEA"/>
    <w:rsid w:val="00954B99"/>
    <w:rsid w:val="009656CC"/>
    <w:rsid w:val="00970E8C"/>
    <w:rsid w:val="00971671"/>
    <w:rsid w:val="00974196"/>
    <w:rsid w:val="00981A37"/>
    <w:rsid w:val="009830B2"/>
    <w:rsid w:val="0099063E"/>
    <w:rsid w:val="00992356"/>
    <w:rsid w:val="00992674"/>
    <w:rsid w:val="00994793"/>
    <w:rsid w:val="009958A5"/>
    <w:rsid w:val="00996AE3"/>
    <w:rsid w:val="009A0450"/>
    <w:rsid w:val="009A1E27"/>
    <w:rsid w:val="009A307B"/>
    <w:rsid w:val="009A3D65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6DEC"/>
    <w:rsid w:val="00A17885"/>
    <w:rsid w:val="00A20B21"/>
    <w:rsid w:val="00A2337D"/>
    <w:rsid w:val="00A25A31"/>
    <w:rsid w:val="00A31BBE"/>
    <w:rsid w:val="00A31D34"/>
    <w:rsid w:val="00A333EF"/>
    <w:rsid w:val="00A33F85"/>
    <w:rsid w:val="00A34FB6"/>
    <w:rsid w:val="00A35067"/>
    <w:rsid w:val="00A40645"/>
    <w:rsid w:val="00A54809"/>
    <w:rsid w:val="00A6016C"/>
    <w:rsid w:val="00A626E2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D5D16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257F5"/>
    <w:rsid w:val="00B37D43"/>
    <w:rsid w:val="00B46F21"/>
    <w:rsid w:val="00B5114B"/>
    <w:rsid w:val="00B511A5"/>
    <w:rsid w:val="00B51CDE"/>
    <w:rsid w:val="00B56541"/>
    <w:rsid w:val="00B605ED"/>
    <w:rsid w:val="00B67B36"/>
    <w:rsid w:val="00B71968"/>
    <w:rsid w:val="00B71F97"/>
    <w:rsid w:val="00B72538"/>
    <w:rsid w:val="00B736A7"/>
    <w:rsid w:val="00B7651F"/>
    <w:rsid w:val="00B919FA"/>
    <w:rsid w:val="00B94A16"/>
    <w:rsid w:val="00BA6044"/>
    <w:rsid w:val="00BA66EC"/>
    <w:rsid w:val="00BB1A93"/>
    <w:rsid w:val="00BB6A98"/>
    <w:rsid w:val="00BC14BF"/>
    <w:rsid w:val="00BC2625"/>
    <w:rsid w:val="00BC3200"/>
    <w:rsid w:val="00BC338A"/>
    <w:rsid w:val="00BC6C3F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17851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57453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B69DC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6923"/>
    <w:rsid w:val="00D57CF5"/>
    <w:rsid w:val="00D612BC"/>
    <w:rsid w:val="00D62F98"/>
    <w:rsid w:val="00D66FD6"/>
    <w:rsid w:val="00D8285B"/>
    <w:rsid w:val="00D862EB"/>
    <w:rsid w:val="00D86619"/>
    <w:rsid w:val="00D91FEC"/>
    <w:rsid w:val="00D93E7C"/>
    <w:rsid w:val="00DB2BE6"/>
    <w:rsid w:val="00DB76B3"/>
    <w:rsid w:val="00DD1052"/>
    <w:rsid w:val="00DD3C7B"/>
    <w:rsid w:val="00DE2B21"/>
    <w:rsid w:val="00DE48DE"/>
    <w:rsid w:val="00DF25F2"/>
    <w:rsid w:val="00DF27D6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E6052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8469E"/>
    <w:rsid w:val="00F96236"/>
    <w:rsid w:val="00FA10CE"/>
    <w:rsid w:val="00FA222F"/>
    <w:rsid w:val="00FA2891"/>
    <w:rsid w:val="00FB693D"/>
    <w:rsid w:val="00FB7768"/>
    <w:rsid w:val="00FC708F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26F4679D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  <w:rsid w:val="7F6A91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441</Words>
  <Characters>2517</Characters>
  <Lines>20</Lines>
  <Paragraphs>5</Paragraphs>
  <TotalTime>1</TotalTime>
  <ScaleCrop>false</ScaleCrop>
  <LinksUpToDate>false</LinksUpToDate>
  <CharactersWithSpaces>2953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2023-11-21T10:39:00Z</dcterms:created>
  <dc:creator>juvg</dc:creator>
  <cp:lastModifiedBy>假字稻遮劳</cp:lastModifiedBy>
  <cp:lastPrinted>2023-11-21T08:52:00Z</cp:lastPrinted>
  <dcterms:modified xsi:type="dcterms:W3CDTF">2024-09-25T22:09:36Z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B8588DEF0F9F45EEA60E8230054E83AB_12</vt:lpwstr>
  </property>
</Properties>
</file>