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52EC7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《日语（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bCs/>
          <w:sz w:val="32"/>
          <w:szCs w:val="32"/>
        </w:rPr>
        <w:t>）》本科课程教学大纲</w:t>
      </w:r>
    </w:p>
    <w:p w14:paraId="6E823BF6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D36C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748D55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BA0C1C0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（中文）日语（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1B9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29DD4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F6B40D5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（英文）Japanese（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52E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1168F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00AC8CF5">
            <w:pPr>
              <w:widowControl w:val="0"/>
              <w:jc w:val="center"/>
              <w:rPr>
                <w:rFonts w:hint="default" w:ascii="黑体" w:hAnsi="黑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20200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126" w:type="dxa"/>
            <w:gridSpan w:val="2"/>
            <w:vAlign w:val="center"/>
          </w:tcPr>
          <w:p w14:paraId="59CE101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53C2EBA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3796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131DDA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20F670E1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272" w:type="dxa"/>
            <w:vAlign w:val="center"/>
          </w:tcPr>
          <w:p w14:paraId="5A5E3DCB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2E598250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413" w:type="dxa"/>
            <w:gridSpan w:val="2"/>
            <w:vAlign w:val="center"/>
          </w:tcPr>
          <w:p w14:paraId="47435D02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7CE7F13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0D5D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9D0CEC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284558A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</w:t>
            </w:r>
          </w:p>
        </w:tc>
        <w:tc>
          <w:tcPr>
            <w:tcW w:w="2126" w:type="dxa"/>
            <w:gridSpan w:val="2"/>
            <w:vAlign w:val="center"/>
          </w:tcPr>
          <w:p w14:paraId="716B05F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9336441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英语专业三年级</w:t>
            </w:r>
          </w:p>
        </w:tc>
      </w:tr>
      <w:tr w14:paraId="333F5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976A35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44444D2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2126" w:type="dxa"/>
            <w:gridSpan w:val="2"/>
            <w:vAlign w:val="center"/>
          </w:tcPr>
          <w:p w14:paraId="1E50CCA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AE13AF0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705B6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2E2981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6640BF72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《中日交流标准日本语 初级（上）》，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人民教育出版社，201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月第2版</w:t>
            </w:r>
          </w:p>
        </w:tc>
        <w:tc>
          <w:tcPr>
            <w:tcW w:w="1413" w:type="dxa"/>
            <w:gridSpan w:val="2"/>
            <w:vAlign w:val="center"/>
          </w:tcPr>
          <w:p w14:paraId="2CEA821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0B12FE6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FBDBADA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9753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A631F7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0B127EE">
            <w:pPr>
              <w:pStyle w:val="14"/>
              <w:widowControl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7C8DB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2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BADDC4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B88F937">
            <w:pPr>
              <w:widowControl w:val="0"/>
              <w:spacing w:line="360" w:lineRule="auto"/>
              <w:ind w:firstLine="400" w:firstLineChars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《日语（1）》</w:t>
            </w:r>
            <w:r>
              <w:rPr>
                <w:color w:val="000000"/>
                <w:sz w:val="20"/>
                <w:szCs w:val="20"/>
              </w:rPr>
              <w:t>是面向外国语学院</w:t>
            </w:r>
            <w:r>
              <w:rPr>
                <w:rFonts w:hint="eastAsia"/>
                <w:color w:val="000000"/>
                <w:sz w:val="20"/>
                <w:szCs w:val="20"/>
              </w:rPr>
              <w:t>英语本科</w:t>
            </w:r>
            <w:r>
              <w:rPr>
                <w:color w:val="000000"/>
                <w:sz w:val="20"/>
                <w:szCs w:val="20"/>
              </w:rPr>
              <w:t>专业学生</w:t>
            </w:r>
            <w:r>
              <w:rPr>
                <w:rFonts w:hint="eastAsia"/>
                <w:color w:val="000000"/>
                <w:sz w:val="20"/>
                <w:szCs w:val="20"/>
              </w:rPr>
              <w:t>开设的一门专业特色课程，</w:t>
            </w:r>
            <w:r>
              <w:rPr>
                <w:color w:val="000000"/>
                <w:sz w:val="20"/>
                <w:szCs w:val="20"/>
              </w:rPr>
              <w:t>教授入门和基础阶段的日语基础知识，通过听说读写译的基本训练，掌握日语基础知识、基本技能以及日语学习策略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  <w:r>
              <w:rPr>
                <w:color w:val="000000"/>
                <w:sz w:val="20"/>
                <w:szCs w:val="20"/>
              </w:rPr>
              <w:t>课程教学任务是培养学生具有一定的日语阅读能力，初步的听说写译能力</w:t>
            </w:r>
            <w:r>
              <w:rPr>
                <w:rFonts w:hint="eastAsia"/>
                <w:color w:val="000000"/>
                <w:sz w:val="20"/>
                <w:szCs w:val="20"/>
              </w:rPr>
              <w:t>等</w:t>
            </w:r>
            <w:r>
              <w:rPr>
                <w:color w:val="000000"/>
                <w:sz w:val="20"/>
                <w:szCs w:val="20"/>
              </w:rPr>
              <w:t>初步的日语综合运用能力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color w:val="000000"/>
                <w:sz w:val="20"/>
                <w:szCs w:val="20"/>
              </w:rPr>
              <w:t>使学生能以日语为工具，获取专业所需要的信息，并为今后继续学习日语打下基础。</w:t>
            </w:r>
          </w:p>
          <w:p w14:paraId="0EBB3D28">
            <w:pPr>
              <w:pStyle w:val="14"/>
              <w:widowControl w:val="0"/>
              <w:jc w:val="both"/>
              <w:rPr>
                <w:rFonts w:hint="eastAsia" w:eastAsia="宋体"/>
                <w:lang w:val="en-US" w:eastAsia="zh-CN"/>
              </w:rPr>
            </w:pPr>
          </w:p>
        </w:tc>
      </w:tr>
      <w:tr w14:paraId="233A4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68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5FD2199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076B93E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本课程于本科英语专业大三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上</w:t>
            </w:r>
            <w:r>
              <w:rPr>
                <w:rFonts w:hint="eastAsia"/>
                <w:color w:val="000000"/>
                <w:sz w:val="20"/>
                <w:szCs w:val="20"/>
              </w:rPr>
              <w:t>学期开设。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应该具备基本的日语听说读写的能力</w:t>
            </w:r>
          </w:p>
        </w:tc>
      </w:tr>
      <w:tr w14:paraId="58A4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19D13E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691B9D8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793115</wp:posOffset>
                  </wp:positionH>
                  <wp:positionV relativeFrom="paragraph">
                    <wp:posOffset>68580</wp:posOffset>
                  </wp:positionV>
                  <wp:extent cx="743585" cy="347980"/>
                  <wp:effectExtent l="0" t="0" r="18415" b="13970"/>
                  <wp:wrapNone/>
                  <wp:docPr id="1" name="图片 1" descr="e969d20e81048232226076b933899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969d20e81048232226076b933899b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2437B17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70575E71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2024年3月</w:t>
            </w:r>
          </w:p>
        </w:tc>
      </w:tr>
      <w:tr w14:paraId="0199A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196551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2FA874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0" distR="0">
                  <wp:extent cx="482600" cy="348615"/>
                  <wp:effectExtent l="0" t="0" r="3175" b="3810"/>
                  <wp:docPr id="12" name="图片 12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650" cy="34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80058A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6AB1938A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2024年3月</w:t>
            </w:r>
          </w:p>
        </w:tc>
      </w:tr>
      <w:tr w14:paraId="0712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AF392A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学院批准人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224AB5DC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708025</wp:posOffset>
                  </wp:positionH>
                  <wp:positionV relativeFrom="paragraph">
                    <wp:posOffset>-36830</wp:posOffset>
                  </wp:positionV>
                  <wp:extent cx="873760" cy="523875"/>
                  <wp:effectExtent l="0" t="0" r="0" b="9525"/>
                  <wp:wrapNone/>
                  <wp:docPr id="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76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089B7B2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6DEA02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2024年3月</w:t>
            </w:r>
          </w:p>
        </w:tc>
      </w:tr>
    </w:tbl>
    <w:p w14:paraId="4B210ACC">
      <w:pPr>
        <w:spacing w:line="100" w:lineRule="exact"/>
        <w:rPr>
          <w:rFonts w:ascii="Arial" w:hAnsi="Arial" w:eastAsia="黑体"/>
        </w:rPr>
      </w:pPr>
      <w:r>
        <w:br w:type="page"/>
      </w:r>
    </w:p>
    <w:p w14:paraId="6C2401E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二、毕业要求与课程目标</w:t>
      </w:r>
    </w:p>
    <w:p w14:paraId="5B19DF55">
      <w:pPr>
        <w:pStyle w:val="17"/>
        <w:spacing w:before="81" w:after="163"/>
      </w:pPr>
      <w:r>
        <w:rPr>
          <w:rFonts w:hint="eastAsia"/>
        </w:rPr>
        <w:t>（一）课程支撑的毕业要求</w:t>
      </w:r>
    </w:p>
    <w:tbl>
      <w:tblPr>
        <w:tblStyle w:val="7"/>
        <w:tblW w:w="488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64"/>
        <w:gridCol w:w="6292"/>
        <w:gridCol w:w="920"/>
      </w:tblGrid>
      <w:tr w14:paraId="2E0BA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064" w:type="dxa"/>
            <w:vAlign w:val="center"/>
          </w:tcPr>
          <w:p w14:paraId="639FA8B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毕业要求序号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12381D39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毕业要求/指标点</w:t>
            </w:r>
          </w:p>
        </w:tc>
        <w:tc>
          <w:tcPr>
            <w:tcW w:w="920" w:type="dxa"/>
            <w:vAlign w:val="center"/>
          </w:tcPr>
          <w:p w14:paraId="43E3827B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支撑度</w:t>
            </w:r>
          </w:p>
        </w:tc>
      </w:tr>
      <w:tr w14:paraId="66EFD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07F04F8E">
            <w:pPr>
              <w:pStyle w:val="14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</w:rPr>
              <w:t>L</w:t>
            </w:r>
            <w:r>
              <w:rPr>
                <w:rFonts w:hint="eastAsia" w:cs="Times New Roman"/>
              </w:rPr>
              <w:t>O</w:t>
            </w:r>
            <w:r>
              <w:rPr>
                <w:rFonts w:cs="Times New Roman"/>
              </w:rPr>
              <w:t>21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30F7A8D0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920" w:type="dxa"/>
            <w:vAlign w:val="center"/>
          </w:tcPr>
          <w:p w14:paraId="78DFDB82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42F4B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134325A1">
            <w:pPr>
              <w:pStyle w:val="14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  <w:bCs/>
              </w:rPr>
              <w:t>L</w:t>
            </w:r>
            <w:r>
              <w:rPr>
                <w:rFonts w:hint="eastAsia" w:cs="Times New Roman"/>
                <w:bCs/>
              </w:rPr>
              <w:t>O</w:t>
            </w:r>
            <w:r>
              <w:rPr>
                <w:rFonts w:cs="Times New Roman"/>
                <w:bCs/>
              </w:rPr>
              <w:t>31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3493283E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了解日本文化、社会和风土人情，认识中日文化差异。</w:t>
            </w:r>
            <w:r>
              <w:rPr>
                <w:rFonts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920" w:type="dxa"/>
            <w:vAlign w:val="center"/>
          </w:tcPr>
          <w:p w14:paraId="4C588DD7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 w14:paraId="03084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6EFA4389">
            <w:pPr>
              <w:pStyle w:val="14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  <w:bCs/>
              </w:rPr>
              <w:t>L</w:t>
            </w:r>
            <w:r>
              <w:rPr>
                <w:rFonts w:hint="eastAsia" w:cs="Times New Roman"/>
                <w:bCs/>
              </w:rPr>
              <w:t>O</w:t>
            </w:r>
            <w:r>
              <w:rPr>
                <w:rFonts w:cs="Times New Roman"/>
                <w:bCs/>
              </w:rPr>
              <w:t>31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3C941384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LO313掌握日语阅读技能，包括细读、泛读、评读等能力，提高分析归纳、推理检验等逻辑思维能力。</w:t>
            </w:r>
          </w:p>
        </w:tc>
        <w:tc>
          <w:tcPr>
            <w:tcW w:w="920" w:type="dxa"/>
            <w:vAlign w:val="center"/>
          </w:tcPr>
          <w:p w14:paraId="3AE25D8E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</w:tr>
      <w:tr w14:paraId="31A3F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2A5A905A">
            <w:pPr>
              <w:pStyle w:val="14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</w:rPr>
              <w:t>L</w:t>
            </w:r>
            <w:r>
              <w:rPr>
                <w:rFonts w:hint="eastAsia" w:cs="Times New Roman"/>
              </w:rPr>
              <w:t>O</w:t>
            </w:r>
            <w:r>
              <w:rPr>
                <w:rFonts w:cs="Times New Roman"/>
              </w:rPr>
              <w:t>41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26B43AE5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20"/>
                <w:szCs w:val="20"/>
              </w:rPr>
              <w:t>14了解日语写作的基础知识，摆脱汉语的思维方式，用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简单</w:t>
            </w:r>
            <w:r>
              <w:rPr>
                <w:rFonts w:hint="eastAsia"/>
                <w:kern w:val="0"/>
                <w:sz w:val="20"/>
                <w:szCs w:val="20"/>
              </w:rPr>
              <w:t>的日语进行表情达意。</w:t>
            </w:r>
          </w:p>
        </w:tc>
        <w:tc>
          <w:tcPr>
            <w:tcW w:w="920" w:type="dxa"/>
            <w:vAlign w:val="center"/>
          </w:tcPr>
          <w:p w14:paraId="5DC5426E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 w14:paraId="1175C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36DB5566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292" w:type="dxa"/>
            <w:shd w:val="clear" w:color="auto" w:fill="auto"/>
            <w:vAlign w:val="center"/>
          </w:tcPr>
          <w:p w14:paraId="25107364">
            <w:pPr>
              <w:pStyle w:val="14"/>
              <w:jc w:val="left"/>
              <w:rPr>
                <w:rFonts w:ascii="宋体" w:hAnsi="宋体"/>
              </w:rPr>
            </w:pPr>
          </w:p>
        </w:tc>
        <w:tc>
          <w:tcPr>
            <w:tcW w:w="920" w:type="dxa"/>
            <w:vAlign w:val="center"/>
          </w:tcPr>
          <w:p w14:paraId="5E897D43">
            <w:pPr>
              <w:pStyle w:val="14"/>
            </w:pPr>
          </w:p>
        </w:tc>
      </w:tr>
      <w:tr w14:paraId="6C4CE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6551BECE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292" w:type="dxa"/>
            <w:shd w:val="clear" w:color="auto" w:fill="auto"/>
            <w:vAlign w:val="center"/>
          </w:tcPr>
          <w:p w14:paraId="7B184384">
            <w:pPr>
              <w:pStyle w:val="14"/>
              <w:jc w:val="left"/>
              <w:rPr>
                <w:rFonts w:ascii="宋体" w:hAnsi="宋体"/>
              </w:rPr>
            </w:pPr>
          </w:p>
        </w:tc>
        <w:tc>
          <w:tcPr>
            <w:tcW w:w="920" w:type="dxa"/>
            <w:vAlign w:val="center"/>
          </w:tcPr>
          <w:p w14:paraId="44096C56">
            <w:pPr>
              <w:pStyle w:val="14"/>
            </w:pPr>
          </w:p>
        </w:tc>
      </w:tr>
      <w:tr w14:paraId="5E797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314D8D55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292" w:type="dxa"/>
            <w:shd w:val="clear" w:color="auto" w:fill="auto"/>
            <w:vAlign w:val="center"/>
          </w:tcPr>
          <w:p w14:paraId="14240B91">
            <w:pPr>
              <w:pStyle w:val="14"/>
              <w:jc w:val="left"/>
              <w:rPr>
                <w:rFonts w:ascii="宋体" w:hAnsi="宋体"/>
              </w:rPr>
            </w:pPr>
          </w:p>
        </w:tc>
        <w:tc>
          <w:tcPr>
            <w:tcW w:w="920" w:type="dxa"/>
            <w:vAlign w:val="center"/>
          </w:tcPr>
          <w:p w14:paraId="169ADD0A">
            <w:pPr>
              <w:pStyle w:val="14"/>
            </w:pPr>
          </w:p>
        </w:tc>
      </w:tr>
    </w:tbl>
    <w:p w14:paraId="2C5BEE51">
      <w:pPr>
        <w:pStyle w:val="17"/>
        <w:spacing w:before="81" w:after="163"/>
      </w:pPr>
      <w:r>
        <w:rPr>
          <w:rFonts w:hint="eastAsia"/>
        </w:rPr>
        <w:t xml:space="preserve">（二）毕业要求与课程目标的关系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99"/>
        <w:gridCol w:w="925"/>
        <w:gridCol w:w="5502"/>
        <w:gridCol w:w="950"/>
      </w:tblGrid>
      <w:tr w14:paraId="03D8C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09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4188AE6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毕业要求序号</w:t>
            </w:r>
          </w:p>
        </w:tc>
        <w:tc>
          <w:tcPr>
            <w:tcW w:w="92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EE73E1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课程目标序号</w:t>
            </w:r>
          </w:p>
        </w:tc>
        <w:tc>
          <w:tcPr>
            <w:tcW w:w="550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3FA28CC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537A71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95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E8DDD1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课程目标类型</w:t>
            </w:r>
          </w:p>
        </w:tc>
      </w:tr>
      <w:tr w14:paraId="6080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7801ED6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cs="Times New Roman"/>
              </w:rPr>
              <w:t>L</w:t>
            </w:r>
            <w:r>
              <w:rPr>
                <w:rFonts w:hint="eastAsia" w:cs="Times New Roman"/>
              </w:rPr>
              <w:t>O</w:t>
            </w:r>
            <w:r>
              <w:rPr>
                <w:rFonts w:cs="Times New Roman"/>
              </w:rPr>
              <w:t>21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1F13030B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LO</w:t>
            </w:r>
            <w:r>
              <w:rPr>
                <w:rFonts w:cs="Times New Roman"/>
                <w:bCs/>
              </w:rPr>
              <w:t>211</w:t>
            </w:r>
          </w:p>
        </w:tc>
        <w:tc>
          <w:tcPr>
            <w:tcW w:w="5502" w:type="dxa"/>
            <w:shd w:val="clear" w:color="auto" w:fill="auto"/>
            <w:vAlign w:val="top"/>
          </w:tcPr>
          <w:p w14:paraId="702F8828">
            <w:pPr>
              <w:snapToGrid w:val="0"/>
              <w:spacing w:line="288" w:lineRule="auto"/>
              <w:jc w:val="left"/>
              <w:rPr>
                <w:rFonts w:ascii="宋体" w:hAnsi="宋体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14D18B75">
            <w:pPr>
              <w:pStyle w:val="14"/>
              <w:rPr>
                <w:rFonts w:ascii="宋体" w:hAnsi="宋体"/>
                <w:bCs/>
              </w:rPr>
            </w:pPr>
            <w:r>
              <w:t xml:space="preserve"> </w:t>
            </w:r>
            <w:r>
              <w:rPr>
                <w:rFonts w:hint="eastAsia"/>
              </w:rPr>
              <w:t>②</w:t>
            </w:r>
          </w:p>
        </w:tc>
      </w:tr>
      <w:tr w14:paraId="4ED0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FA8CBC4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cs="Times New Roman"/>
                <w:bCs/>
              </w:rPr>
              <w:t>L</w:t>
            </w:r>
            <w:r>
              <w:rPr>
                <w:rFonts w:hint="eastAsia" w:cs="Times New Roman"/>
                <w:bCs/>
              </w:rPr>
              <w:t>O</w:t>
            </w:r>
            <w:r>
              <w:rPr>
                <w:rFonts w:cs="Times New Roman"/>
                <w:bCs/>
              </w:rPr>
              <w:t>31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4A4A1AB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LO</w:t>
            </w:r>
            <w:r>
              <w:rPr>
                <w:rFonts w:cs="Times New Roman"/>
                <w:bCs/>
              </w:rPr>
              <w:t>311</w:t>
            </w:r>
          </w:p>
        </w:tc>
        <w:tc>
          <w:tcPr>
            <w:tcW w:w="5502" w:type="dxa"/>
            <w:shd w:val="clear" w:color="auto" w:fill="auto"/>
            <w:vAlign w:val="top"/>
          </w:tcPr>
          <w:p w14:paraId="76D84654">
            <w:pPr>
              <w:snapToGrid w:val="0"/>
              <w:spacing w:line="288" w:lineRule="auto"/>
              <w:jc w:val="left"/>
              <w:rPr>
                <w:rFonts w:ascii="宋体" w:hAnsi="宋体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了解日本文化、社会和风土人情，认识中日文化差异。（</w:t>
            </w:r>
            <w:r>
              <w:rPr>
                <w:rFonts w:hint="eastAsia"/>
                <w:color w:val="000000"/>
                <w:sz w:val="20"/>
                <w:szCs w:val="20"/>
              </w:rPr>
              <w:t>在日语的学习中能逐渐了解日本文化社会风土人情，以及中日文化差异）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08215FA8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①</w:t>
            </w:r>
          </w:p>
        </w:tc>
      </w:tr>
      <w:tr w14:paraId="281BE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7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FD17C33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cs="Times New Roman"/>
                <w:bCs/>
              </w:rPr>
              <w:t>L</w:t>
            </w:r>
            <w:r>
              <w:rPr>
                <w:rFonts w:hint="eastAsia" w:cs="Times New Roman"/>
                <w:bCs/>
              </w:rPr>
              <w:t>O</w:t>
            </w:r>
            <w:r>
              <w:rPr>
                <w:rFonts w:cs="Times New Roman"/>
                <w:bCs/>
              </w:rPr>
              <w:t>31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1DF2CC06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</w:rPr>
              <w:t>LO</w:t>
            </w:r>
            <w:r>
              <w:rPr>
                <w:rFonts w:cs="Times New Roman"/>
                <w:bCs/>
              </w:rPr>
              <w:t>312</w:t>
            </w:r>
          </w:p>
        </w:tc>
        <w:tc>
          <w:tcPr>
            <w:tcW w:w="5502" w:type="dxa"/>
            <w:shd w:val="clear" w:color="auto" w:fill="auto"/>
            <w:vAlign w:val="top"/>
          </w:tcPr>
          <w:p w14:paraId="21516C4B">
            <w:pPr>
              <w:snapToGrid w:val="0"/>
              <w:spacing w:line="288" w:lineRule="auto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07E54B00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①</w:t>
            </w:r>
          </w:p>
        </w:tc>
      </w:tr>
      <w:tr w14:paraId="47FEC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AA70CC5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cs="Times New Roman"/>
              </w:rPr>
              <w:t>L</w:t>
            </w:r>
            <w:r>
              <w:rPr>
                <w:rFonts w:hint="eastAsia" w:cs="Times New Roman"/>
              </w:rPr>
              <w:t>O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cs="Times New Roman"/>
              </w:rPr>
              <w:t>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4CEDE101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</w:rPr>
              <w:t>LO</w:t>
            </w:r>
            <w:r>
              <w:rPr>
                <w:rFonts w:hint="eastAsia" w:cs="Times New Roman"/>
                <w:bCs/>
                <w:lang w:val="en-US" w:eastAsia="zh-CN"/>
              </w:rPr>
              <w:t>8</w:t>
            </w:r>
            <w:r>
              <w:rPr>
                <w:rFonts w:cs="Times New Roman"/>
                <w:bCs/>
              </w:rPr>
              <w:t>11</w:t>
            </w:r>
          </w:p>
        </w:tc>
        <w:tc>
          <w:tcPr>
            <w:tcW w:w="5502" w:type="dxa"/>
            <w:shd w:val="clear" w:color="auto" w:fill="auto"/>
            <w:vAlign w:val="top"/>
          </w:tcPr>
          <w:p w14:paraId="1D66B2F3">
            <w:pPr>
              <w:snapToGrid w:val="0"/>
              <w:spacing w:line="288" w:lineRule="auto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具备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第二</w:t>
            </w:r>
            <w:r>
              <w:rPr>
                <w:rFonts w:hint="eastAsia"/>
                <w:kern w:val="0"/>
                <w:sz w:val="20"/>
                <w:szCs w:val="20"/>
              </w:rPr>
              <w:t>外语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基本</w:t>
            </w:r>
            <w:r>
              <w:rPr>
                <w:rFonts w:hint="eastAsia"/>
                <w:kern w:val="0"/>
                <w:sz w:val="20"/>
                <w:szCs w:val="20"/>
              </w:rPr>
              <w:t>表达沟通能力。（日语）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3FC53E4E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③</w:t>
            </w:r>
          </w:p>
        </w:tc>
      </w:tr>
      <w:tr w14:paraId="6256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2C9EBE3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cs="Times New Roman"/>
              </w:rPr>
              <w:t>L</w:t>
            </w:r>
            <w:r>
              <w:rPr>
                <w:rFonts w:hint="eastAsia" w:cs="Times New Roman"/>
              </w:rPr>
              <w:t>O</w:t>
            </w:r>
            <w:r>
              <w:rPr>
                <w:rFonts w:cs="Times New Roman"/>
              </w:rPr>
              <w:t>21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57497D7D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</w:rPr>
              <w:t>LO</w:t>
            </w:r>
            <w:r>
              <w:rPr>
                <w:rFonts w:cs="Times New Roman"/>
                <w:bCs/>
              </w:rPr>
              <w:t>211</w:t>
            </w:r>
          </w:p>
        </w:tc>
        <w:tc>
          <w:tcPr>
            <w:tcW w:w="5502" w:type="dxa"/>
            <w:shd w:val="clear" w:color="auto" w:fill="auto"/>
            <w:vAlign w:val="top"/>
          </w:tcPr>
          <w:p w14:paraId="60BD3A86">
            <w:pPr>
              <w:snapToGrid w:val="0"/>
              <w:spacing w:line="288" w:lineRule="auto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理解其他国家历史文化，有跨文化交流能力。（日语）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6BD24764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④</w:t>
            </w:r>
          </w:p>
        </w:tc>
      </w:tr>
      <w:tr w14:paraId="3DB8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BFEA9B7">
            <w:pPr>
              <w:pStyle w:val="14"/>
            </w:pP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2E9D9BD0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5502" w:type="dxa"/>
            <w:shd w:val="clear" w:color="auto" w:fill="auto"/>
            <w:vAlign w:val="center"/>
          </w:tcPr>
          <w:p w14:paraId="0221CB11">
            <w:pPr>
              <w:pStyle w:val="14"/>
              <w:rPr>
                <w:rFonts w:ascii="宋体" w:hAnsi="宋体"/>
              </w:rPr>
            </w:pP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568D5B3A">
            <w:pPr>
              <w:pStyle w:val="14"/>
              <w:rPr>
                <w:rFonts w:ascii="宋体" w:hAnsi="宋体"/>
                <w:bCs/>
              </w:rPr>
            </w:pPr>
          </w:p>
        </w:tc>
      </w:tr>
      <w:tr w14:paraId="59659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2ACA30">
            <w:pPr>
              <w:pStyle w:val="14"/>
            </w:pPr>
          </w:p>
        </w:tc>
        <w:tc>
          <w:tcPr>
            <w:tcW w:w="92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E59BBDE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550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CBEDD32">
            <w:pPr>
              <w:pStyle w:val="14"/>
              <w:rPr>
                <w:rFonts w:ascii="宋体" w:hAnsi="宋体"/>
              </w:rPr>
            </w:pPr>
          </w:p>
        </w:tc>
        <w:tc>
          <w:tcPr>
            <w:tcW w:w="950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150BD802">
            <w:pPr>
              <w:pStyle w:val="14"/>
              <w:rPr>
                <w:rFonts w:ascii="宋体" w:hAnsi="宋体"/>
                <w:bCs/>
              </w:rPr>
            </w:pPr>
          </w:p>
        </w:tc>
      </w:tr>
      <w:tr w14:paraId="65CD1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F0C0373">
            <w:pPr>
              <w:pStyle w:val="14"/>
            </w:pPr>
          </w:p>
        </w:tc>
        <w:tc>
          <w:tcPr>
            <w:tcW w:w="92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55A67FBF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550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580F603">
            <w:pPr>
              <w:pStyle w:val="14"/>
              <w:rPr>
                <w:rFonts w:ascii="宋体" w:hAnsi="宋体"/>
              </w:rPr>
            </w:pPr>
          </w:p>
        </w:tc>
        <w:tc>
          <w:tcPr>
            <w:tcW w:w="95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2338E02">
            <w:pPr>
              <w:pStyle w:val="14"/>
              <w:rPr>
                <w:rFonts w:ascii="宋体" w:hAnsi="宋体"/>
                <w:bCs/>
              </w:rPr>
            </w:pPr>
          </w:p>
        </w:tc>
      </w:tr>
      <w:tr w14:paraId="76E4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476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B3CE4">
            <w:pPr>
              <w:pStyle w:val="13"/>
            </w:pPr>
            <w:r>
              <w:rPr>
                <w:rFonts w:hint="eastAsia"/>
              </w:rPr>
              <w:t xml:space="preserve">课程目标类型：①课程思政目标 </w:t>
            </w:r>
            <w:r>
              <w:t xml:space="preserve"> </w:t>
            </w:r>
            <w:r>
              <w:rPr>
                <w:rFonts w:hint="eastAsia"/>
              </w:rPr>
              <w:t xml:space="preserve">②知识目标 </w:t>
            </w:r>
            <w:r>
              <w:t xml:space="preserve"> </w:t>
            </w:r>
            <w:r>
              <w:rPr>
                <w:rFonts w:hint="eastAsia"/>
              </w:rPr>
              <w:t xml:space="preserve">③技能目标 </w:t>
            </w:r>
            <w:r>
              <w:t xml:space="preserve"> </w:t>
            </w:r>
            <w:r>
              <w:rPr>
                <w:rFonts w:hint="eastAsia"/>
              </w:rPr>
              <w:t>④素养目标</w:t>
            </w:r>
          </w:p>
        </w:tc>
      </w:tr>
    </w:tbl>
    <w:p w14:paraId="2BCC5343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1EA76B6B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EBE3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D28C327">
            <w:pPr>
              <w:pStyle w:val="17"/>
              <w:widowControl w:val="0"/>
              <w:spacing w:before="81" w:after="163"/>
              <w:ind w:firstLine="241" w:firstLineChars="100"/>
              <w:jc w:val="both"/>
              <w:rPr>
                <w:rFonts w:hint="eastAsia" w:ascii="仿宋" w:hAnsi="仿宋" w:eastAsia="仿宋" w:cs="仿宋"/>
                <w:szCs w:val="21"/>
              </w:rPr>
            </w:pPr>
            <w:bookmarkStart w:id="0" w:name="OLE_LINK5"/>
            <w:bookmarkStart w:id="1" w:name="OLE_LINK6"/>
            <w:r>
              <w:rPr>
                <w:rFonts w:hint="eastAsia" w:ascii="仿宋" w:hAnsi="仿宋" w:eastAsia="仿宋" w:cs="仿宋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单元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语音基础知识--预期学习成果与教学内容</w:t>
            </w:r>
            <w:r>
              <w:rPr>
                <w:rFonts w:hint="eastAsia" w:ascii="仿宋" w:hAnsi="仿宋" w:eastAsia="仿宋" w:cs="仿宋"/>
                <w:szCs w:val="21"/>
              </w:rPr>
              <w:tab/>
            </w:r>
          </w:p>
          <w:p w14:paraId="5EDEBFFD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>日语“五十音图”是日语学习的基础，要求学生必须熟练掌握。</w:t>
            </w:r>
          </w:p>
          <w:p w14:paraId="4FF25AF8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Cs w:val="21"/>
              </w:rPr>
              <w:t>日语与汉语和英语发音不同，在一个音节内没有高低变化，是通过音节之间的高低变化来表示不同的含义。</w:t>
            </w:r>
          </w:p>
          <w:p w14:paraId="5F6668E7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单元</w:t>
            </w:r>
            <w:r>
              <w:rPr>
                <w:rFonts w:hint="eastAsia" w:ascii="仿宋" w:hAnsi="仿宋" w:eastAsia="仿宋" w:cs="仿宋"/>
                <w:b/>
                <w:sz w:val="24"/>
                <w:szCs w:val="21"/>
                <w:lang w:val="en-US" w:eastAsia="zh-CN" w:bidi="ar-SA"/>
              </w:rPr>
              <w:t>小李赴日一预期学习成果与教学内容</w:t>
            </w:r>
          </w:p>
          <w:p w14:paraId="6DD48B4D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>掌握指示代词的用法；</w:t>
            </w:r>
          </w:p>
          <w:p w14:paraId="6487450E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Cs w:val="21"/>
              </w:rPr>
              <w:t>掌握几种常用寒暄语的用法；</w:t>
            </w:r>
          </w:p>
          <w:p w14:paraId="153936A5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Cs w:val="21"/>
              </w:rPr>
              <w:t>掌握存在句的用法；</w:t>
            </w:r>
          </w:p>
          <w:p w14:paraId="04F435EF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能用正确的语音和语调朗读课文。</w:t>
            </w:r>
          </w:p>
          <w:p w14:paraId="0B7388E9">
            <w:pPr>
              <w:widowControl w:val="0"/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b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单元</w:t>
            </w:r>
            <w:r>
              <w:rPr>
                <w:rFonts w:hint="eastAsia" w:ascii="仿宋" w:hAnsi="仿宋" w:eastAsia="仿宋" w:cs="仿宋"/>
                <w:b/>
                <w:sz w:val="24"/>
                <w:szCs w:val="21"/>
                <w:lang w:val="en-US" w:eastAsia="zh-CN" w:bidi="ar-SA"/>
              </w:rPr>
              <w:t>小李在箱根一预期学习成果与教学内容</w:t>
            </w:r>
          </w:p>
          <w:p w14:paraId="2F023AF0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1、掌握数量词的用法；</w:t>
            </w:r>
          </w:p>
          <w:p w14:paraId="647C9D0C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2、掌握动词的连用形的变化以及用法</w:t>
            </w:r>
          </w:p>
          <w:p w14:paraId="4E6D8D4F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3、掌握形容词的连用形的变化以及用法</w:t>
            </w:r>
          </w:p>
          <w:p w14:paraId="13E0C0B2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4、能用正确的语音和语调朗读课文。</w:t>
            </w:r>
          </w:p>
          <w:p w14:paraId="7D79F4E4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1、掌握每课的单词、语法；</w:t>
            </w:r>
          </w:p>
          <w:p w14:paraId="6D25C9A2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2、要求学生运用正确的语音和语调朗读课文；</w:t>
            </w:r>
          </w:p>
          <w:p w14:paraId="26A51202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3、背诵并能灵活运用课文实用场景对话。</w:t>
            </w:r>
          </w:p>
          <w:p w14:paraId="264990BC">
            <w:pPr>
              <w:pStyle w:val="17"/>
              <w:widowControl w:val="0"/>
              <w:spacing w:before="81" w:after="163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单元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小李的公司生活—预期学习成果与教学内容</w:t>
            </w:r>
          </w:p>
          <w:p w14:paraId="72145E60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>掌握数量词的用法；</w:t>
            </w:r>
          </w:p>
          <w:p w14:paraId="1CF364E8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2、掌握动词的连用形的变化以及用法</w:t>
            </w:r>
          </w:p>
          <w:p w14:paraId="1CB1F314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3、掌握形容词的连用形的变化以及用法</w:t>
            </w:r>
          </w:p>
          <w:p w14:paraId="0FABC396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1、掌握每课的单词、语法；</w:t>
            </w:r>
          </w:p>
          <w:p w14:paraId="64D1BA2C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2、要求学生运用正确的语音和语调朗读课文；</w:t>
            </w:r>
          </w:p>
          <w:p w14:paraId="0AAEC475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3、背诵并能灵活运用课文实用场景对话。</w:t>
            </w:r>
          </w:p>
          <w:p w14:paraId="40D6A9DA">
            <w:pPr>
              <w:widowControl w:val="0"/>
              <w:spacing w:line="440" w:lineRule="exact"/>
              <w:ind w:firstLine="480" w:firstLineChars="200"/>
              <w:jc w:val="both"/>
            </w:pPr>
          </w:p>
          <w:p w14:paraId="151BF390">
            <w:pPr>
              <w:widowControl w:val="0"/>
              <w:spacing w:line="440" w:lineRule="exact"/>
              <w:ind w:firstLine="480" w:firstLineChars="200"/>
              <w:jc w:val="both"/>
            </w:pPr>
          </w:p>
          <w:p w14:paraId="42EF1D58">
            <w:pPr>
              <w:widowControl w:val="0"/>
              <w:spacing w:line="440" w:lineRule="exact"/>
              <w:ind w:firstLine="480" w:firstLineChars="200"/>
              <w:jc w:val="both"/>
            </w:pPr>
          </w:p>
          <w:p w14:paraId="41A6A6C7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ascii="仿宋" w:hAnsi="仿宋" w:eastAsia="仿宋" w:cs="仿宋"/>
                <w:szCs w:val="21"/>
              </w:rPr>
            </w:pPr>
          </w:p>
        </w:tc>
      </w:tr>
      <w:bookmarkEnd w:id="0"/>
      <w:bookmarkEnd w:id="1"/>
    </w:tbl>
    <w:p w14:paraId="040BDDD2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736"/>
        <w:gridCol w:w="1564"/>
        <w:gridCol w:w="1630"/>
        <w:gridCol w:w="1667"/>
      </w:tblGrid>
      <w:tr w14:paraId="3C66C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35DD23FE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14AD52B">
            <w:pPr>
              <w:pStyle w:val="13"/>
              <w:ind w:right="210"/>
              <w:jc w:val="left"/>
              <w:rPr>
                <w:szCs w:val="16"/>
              </w:rPr>
            </w:pPr>
          </w:p>
          <w:p w14:paraId="4CE68074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736" w:type="dxa"/>
            <w:tcBorders>
              <w:top w:val="single" w:color="auto" w:sz="12" w:space="0"/>
            </w:tcBorders>
            <w:vAlign w:val="center"/>
          </w:tcPr>
          <w:p w14:paraId="6EE5D4B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564" w:type="dxa"/>
            <w:tcBorders>
              <w:top w:val="single" w:color="auto" w:sz="12" w:space="0"/>
            </w:tcBorders>
            <w:vAlign w:val="center"/>
          </w:tcPr>
          <w:p w14:paraId="4935DFD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630" w:type="dxa"/>
            <w:tcBorders>
              <w:top w:val="single" w:color="auto" w:sz="12" w:space="0"/>
            </w:tcBorders>
            <w:vAlign w:val="center"/>
          </w:tcPr>
          <w:p w14:paraId="2298962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66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401514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14:paraId="1A39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50306B8A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736" w:type="dxa"/>
            <w:vAlign w:val="center"/>
          </w:tcPr>
          <w:p w14:paraId="75E08A5D">
            <w:pPr>
              <w:pStyle w:val="14"/>
              <w:rPr>
                <w:rFonts w:eastAsiaTheme="minorEastAsia"/>
              </w:rPr>
            </w:pPr>
            <w:r>
              <w:rPr>
                <w:rFonts w:hint="eastAsia" w:ascii="ＭＳ 明朝" w:hAnsi="ＭＳ 明朝" w:eastAsia="ＭＳ 明朝" w:cs="ＭＳ 明朝"/>
              </w:rPr>
              <w:t>✔</w:t>
            </w:r>
          </w:p>
        </w:tc>
        <w:tc>
          <w:tcPr>
            <w:tcW w:w="1564" w:type="dxa"/>
            <w:vAlign w:val="center"/>
          </w:tcPr>
          <w:p w14:paraId="5C5D1317">
            <w:pPr>
              <w:pStyle w:val="14"/>
            </w:pPr>
            <w:r>
              <w:rPr>
                <w:rFonts w:hint="eastAsia" w:ascii="ＭＳ 明朝" w:hAnsi="ＭＳ 明朝" w:eastAsia="ＭＳ 明朝" w:cs="ＭＳ 明朝"/>
              </w:rPr>
              <w:t>✔</w:t>
            </w:r>
          </w:p>
        </w:tc>
        <w:tc>
          <w:tcPr>
            <w:tcW w:w="1630" w:type="dxa"/>
            <w:vAlign w:val="center"/>
          </w:tcPr>
          <w:p w14:paraId="1E3EADBB">
            <w:pPr>
              <w:pStyle w:val="14"/>
            </w:pPr>
            <w:r>
              <w:rPr>
                <w:rFonts w:hint="eastAsia" w:ascii="ＭＳ 明朝" w:hAnsi="ＭＳ 明朝" w:eastAsia="ＭＳ 明朝" w:cs="ＭＳ 明朝"/>
              </w:rPr>
              <w:t>✔</w:t>
            </w:r>
          </w:p>
        </w:tc>
        <w:tc>
          <w:tcPr>
            <w:tcW w:w="1667" w:type="dxa"/>
            <w:tcBorders>
              <w:right w:val="single" w:color="auto" w:sz="12" w:space="0"/>
            </w:tcBorders>
            <w:vAlign w:val="center"/>
          </w:tcPr>
          <w:p w14:paraId="6025708B">
            <w:pPr>
              <w:pStyle w:val="14"/>
            </w:pPr>
          </w:p>
        </w:tc>
      </w:tr>
      <w:tr w14:paraId="1F0E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4D9F28F0">
            <w:pPr>
              <w:pStyle w:val="14"/>
            </w:pPr>
            <w:r>
              <w:t>2</w:t>
            </w:r>
          </w:p>
        </w:tc>
        <w:tc>
          <w:tcPr>
            <w:tcW w:w="1736" w:type="dxa"/>
            <w:vAlign w:val="center"/>
          </w:tcPr>
          <w:p w14:paraId="77C50354">
            <w:pPr>
              <w:pStyle w:val="14"/>
              <w:rPr>
                <w:rFonts w:eastAsiaTheme="minorEastAsia"/>
              </w:rPr>
            </w:pPr>
            <w:r>
              <w:rPr>
                <w:rFonts w:hint="eastAsia" w:ascii="ＭＳ 明朝" w:hAnsi="ＭＳ 明朝" w:eastAsia="ＭＳ 明朝" w:cs="ＭＳ 明朝"/>
              </w:rPr>
              <w:t>✔</w:t>
            </w:r>
          </w:p>
        </w:tc>
        <w:tc>
          <w:tcPr>
            <w:tcW w:w="1564" w:type="dxa"/>
            <w:vAlign w:val="center"/>
          </w:tcPr>
          <w:p w14:paraId="03F156D1">
            <w:pPr>
              <w:pStyle w:val="14"/>
            </w:pPr>
          </w:p>
        </w:tc>
        <w:tc>
          <w:tcPr>
            <w:tcW w:w="1630" w:type="dxa"/>
            <w:vAlign w:val="center"/>
          </w:tcPr>
          <w:p w14:paraId="6A8AA5FA">
            <w:pPr>
              <w:pStyle w:val="14"/>
            </w:pPr>
            <w:r>
              <w:rPr>
                <w:rFonts w:hint="eastAsia" w:ascii="ＭＳ 明朝" w:hAnsi="ＭＳ 明朝" w:eastAsia="ＭＳ 明朝" w:cs="ＭＳ 明朝"/>
              </w:rPr>
              <w:t>✔</w:t>
            </w:r>
          </w:p>
        </w:tc>
        <w:tc>
          <w:tcPr>
            <w:tcW w:w="1667" w:type="dxa"/>
            <w:tcBorders>
              <w:right w:val="single" w:color="auto" w:sz="12" w:space="0"/>
            </w:tcBorders>
            <w:vAlign w:val="center"/>
          </w:tcPr>
          <w:p w14:paraId="3824B554">
            <w:pPr>
              <w:pStyle w:val="14"/>
            </w:pPr>
            <w:r>
              <w:rPr>
                <w:rFonts w:hint="eastAsia" w:ascii="ＭＳ 明朝" w:hAnsi="ＭＳ 明朝" w:eastAsia="ＭＳ 明朝" w:cs="ＭＳ 明朝"/>
              </w:rPr>
              <w:t>✔</w:t>
            </w:r>
          </w:p>
        </w:tc>
      </w:tr>
      <w:tr w14:paraId="21938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107591C1">
            <w:pPr>
              <w:pStyle w:val="14"/>
            </w:pPr>
            <w:r>
              <w:t>3</w:t>
            </w:r>
          </w:p>
        </w:tc>
        <w:tc>
          <w:tcPr>
            <w:tcW w:w="1736" w:type="dxa"/>
            <w:vAlign w:val="center"/>
          </w:tcPr>
          <w:p w14:paraId="58594B37">
            <w:pPr>
              <w:pStyle w:val="14"/>
              <w:rPr>
                <w:rFonts w:eastAsiaTheme="minorEastAsia"/>
              </w:rPr>
            </w:pPr>
          </w:p>
        </w:tc>
        <w:tc>
          <w:tcPr>
            <w:tcW w:w="1564" w:type="dxa"/>
            <w:vAlign w:val="center"/>
          </w:tcPr>
          <w:p w14:paraId="39B1A42A">
            <w:pPr>
              <w:pStyle w:val="14"/>
            </w:pPr>
            <w:r>
              <w:rPr>
                <w:rFonts w:hint="eastAsia" w:ascii="ＭＳ 明朝" w:hAnsi="ＭＳ 明朝" w:eastAsia="ＭＳ 明朝" w:cs="ＭＳ 明朝"/>
              </w:rPr>
              <w:t>✔</w:t>
            </w:r>
          </w:p>
        </w:tc>
        <w:tc>
          <w:tcPr>
            <w:tcW w:w="1630" w:type="dxa"/>
            <w:vAlign w:val="center"/>
          </w:tcPr>
          <w:p w14:paraId="3C37F32D">
            <w:pPr>
              <w:pStyle w:val="14"/>
            </w:pPr>
          </w:p>
        </w:tc>
        <w:tc>
          <w:tcPr>
            <w:tcW w:w="1667" w:type="dxa"/>
            <w:tcBorders>
              <w:right w:val="single" w:color="auto" w:sz="12" w:space="0"/>
            </w:tcBorders>
            <w:vAlign w:val="center"/>
          </w:tcPr>
          <w:p w14:paraId="07877AAA">
            <w:pPr>
              <w:pStyle w:val="14"/>
            </w:pPr>
            <w:r>
              <w:rPr>
                <w:rFonts w:hint="eastAsia" w:ascii="ＭＳ 明朝" w:hAnsi="ＭＳ 明朝" w:eastAsia="ＭＳ 明朝" w:cs="ＭＳ 明朝"/>
              </w:rPr>
              <w:t>✔</w:t>
            </w:r>
          </w:p>
        </w:tc>
      </w:tr>
      <w:tr w14:paraId="5E49C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2322BDF">
            <w:pPr>
              <w:pStyle w:val="14"/>
            </w:pPr>
            <w:r>
              <w:t>4</w:t>
            </w:r>
          </w:p>
        </w:tc>
        <w:tc>
          <w:tcPr>
            <w:tcW w:w="1736" w:type="dxa"/>
            <w:vAlign w:val="center"/>
          </w:tcPr>
          <w:p w14:paraId="40FCF102">
            <w:pPr>
              <w:pStyle w:val="14"/>
              <w:rPr>
                <w:rFonts w:eastAsiaTheme="minorEastAsia"/>
              </w:rPr>
            </w:pPr>
          </w:p>
        </w:tc>
        <w:tc>
          <w:tcPr>
            <w:tcW w:w="1564" w:type="dxa"/>
            <w:vAlign w:val="center"/>
          </w:tcPr>
          <w:p w14:paraId="0971AFFC">
            <w:pPr>
              <w:pStyle w:val="14"/>
            </w:pPr>
            <w:r>
              <w:rPr>
                <w:rFonts w:hint="eastAsia" w:ascii="ＭＳ 明朝" w:hAnsi="ＭＳ 明朝" w:eastAsia="ＭＳ 明朝" w:cs="ＭＳ 明朝"/>
              </w:rPr>
              <w:t>✔</w:t>
            </w:r>
          </w:p>
        </w:tc>
        <w:tc>
          <w:tcPr>
            <w:tcW w:w="1630" w:type="dxa"/>
            <w:vAlign w:val="center"/>
          </w:tcPr>
          <w:p w14:paraId="3220195D">
            <w:pPr>
              <w:pStyle w:val="14"/>
            </w:pPr>
            <w:r>
              <w:rPr>
                <w:rFonts w:hint="eastAsia" w:ascii="ＭＳ 明朝" w:hAnsi="ＭＳ 明朝" w:eastAsia="ＭＳ 明朝" w:cs="ＭＳ 明朝"/>
              </w:rPr>
              <w:t>✔</w:t>
            </w:r>
          </w:p>
        </w:tc>
        <w:tc>
          <w:tcPr>
            <w:tcW w:w="1667" w:type="dxa"/>
            <w:tcBorders>
              <w:right w:val="single" w:color="auto" w:sz="12" w:space="0"/>
            </w:tcBorders>
            <w:vAlign w:val="center"/>
          </w:tcPr>
          <w:p w14:paraId="237049CD">
            <w:pPr>
              <w:pStyle w:val="14"/>
            </w:pPr>
            <w:r>
              <w:rPr>
                <w:rFonts w:hint="eastAsia" w:ascii="ＭＳ 明朝" w:hAnsi="ＭＳ 明朝" w:eastAsia="ＭＳ 明朝" w:cs="ＭＳ 明朝"/>
              </w:rPr>
              <w:t>✔</w:t>
            </w:r>
          </w:p>
        </w:tc>
      </w:tr>
    </w:tbl>
    <w:p w14:paraId="76375072">
      <w:pPr>
        <w:pStyle w:val="17"/>
        <w:spacing w:before="326" w:beforeLines="100" w:after="163"/>
      </w:pPr>
      <w:r>
        <w:rPr>
          <w:rFonts w:hint="eastAsia"/>
        </w:rPr>
        <w:t>（三）课程教学方法概述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E745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71CB529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本课程采用多元化教学方法，包括听说读写等综合训练。主要方法包括课堂教学、语音练习、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背诵课文</w:t>
            </w:r>
            <w:r>
              <w:rPr>
                <w:rFonts w:hint="eastAsia" w:ascii="仿宋" w:hAnsi="仿宋" w:eastAsia="仿宋" w:cs="仿宋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任务教学</w:t>
            </w:r>
            <w:r>
              <w:rPr>
                <w:rFonts w:hint="eastAsia" w:ascii="仿宋" w:hAnsi="仿宋" w:eastAsia="仿宋" w:cs="仿宋"/>
                <w:szCs w:val="21"/>
              </w:rPr>
              <w:t>等。通过激发学生兴趣，培养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学生综合运动以及</w:t>
            </w:r>
            <w:r>
              <w:rPr>
                <w:rFonts w:hint="eastAsia" w:ascii="仿宋" w:hAnsi="仿宋" w:eastAsia="仿宋" w:cs="仿宋"/>
                <w:szCs w:val="21"/>
              </w:rPr>
              <w:t>日常交际能力。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具体新意体现在：</w:t>
            </w:r>
          </w:p>
          <w:p w14:paraId="6D0D017C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利用现代信息技术手段：通过互联网实现知识资源的共享，如电子教案、电子图书和教学课件的上网，打破了时空界限，为学生提供了自主学习的有利条件。此外，通过互联网实现相关知识的同步搜索，拓宽了学科知识的范围，并利用信息技术手段作为模拟教学、案例教学、讨论等教学方式的有效辅助形式。</w:t>
            </w:r>
          </w:p>
          <w:p w14:paraId="4DF3F415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营造探究氛围引导合作交流：教师在课堂上努力营造学生自主探究和合作交流的氛围，有意识地给学生创造一个探究问题的平台。通过各小组学生展示、合作学习，强化人人参与，提高小组协作能力，培养了学生自主学习的能力。</w:t>
            </w:r>
          </w:p>
          <w:p w14:paraId="344F0AAC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  <w:p w14:paraId="42EB687B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</w:p>
          <w:p w14:paraId="58BF1C4A">
            <w:pPr>
              <w:widowControl w:val="0"/>
              <w:spacing w:line="44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4C801E82">
      <w:pPr>
        <w:pStyle w:val="17"/>
        <w:spacing w:before="326" w:beforeLines="100" w:after="163"/>
      </w:pPr>
      <w:r>
        <w:rPr>
          <w:rFonts w:hint="eastAsia"/>
        </w:rPr>
        <w:t>（四）课程教学方法与学时分配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89"/>
        <w:gridCol w:w="3041"/>
        <w:gridCol w:w="1738"/>
        <w:gridCol w:w="723"/>
        <w:gridCol w:w="668"/>
        <w:gridCol w:w="717"/>
      </w:tblGrid>
      <w:tr w14:paraId="2F9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8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40D5CB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3041" w:type="dxa"/>
            <w:vMerge w:val="restart"/>
            <w:tcBorders>
              <w:top w:val="single" w:color="auto" w:sz="12" w:space="0"/>
            </w:tcBorders>
            <w:vAlign w:val="center"/>
          </w:tcPr>
          <w:p w14:paraId="02F801DE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77AF82DB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08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AD30268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7BDA3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89" w:type="dxa"/>
            <w:vMerge w:val="continue"/>
            <w:tcBorders>
              <w:left w:val="single" w:color="auto" w:sz="12" w:space="0"/>
            </w:tcBorders>
            <w:vAlign w:val="top"/>
          </w:tcPr>
          <w:p w14:paraId="62234D1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3041" w:type="dxa"/>
            <w:vMerge w:val="continue"/>
            <w:vAlign w:val="top"/>
          </w:tcPr>
          <w:p w14:paraId="10DDE75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  <w:vAlign w:val="top"/>
          </w:tcPr>
          <w:p w14:paraId="72B05F7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6051303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8" w:type="dxa"/>
            <w:vAlign w:val="center"/>
          </w:tcPr>
          <w:p w14:paraId="03379D1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F9CDF0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1B9F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18D7E1F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3041" w:type="dxa"/>
            <w:vAlign w:val="center"/>
          </w:tcPr>
          <w:p w14:paraId="01A43A7D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要求学生预先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确认课文学习目标，要求学生按照学习目标制定学习计划</w:t>
            </w:r>
          </w:p>
          <w:p w14:paraId="4AC5F1F1">
            <w:pPr>
              <w:widowControl w:val="0"/>
              <w:snapToGrid w:val="0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独立进行课后练习</w:t>
            </w:r>
          </w:p>
          <w:p w14:paraId="0E24C74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010370C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2062712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03C17EBD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6、结合课文介绍日本的生活态度、习惯、文化风俗等。</w:t>
            </w:r>
          </w:p>
        </w:tc>
        <w:tc>
          <w:tcPr>
            <w:tcW w:w="1738" w:type="dxa"/>
            <w:vAlign w:val="center"/>
          </w:tcPr>
          <w:p w14:paraId="31BD1E4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1、课堂测验</w:t>
            </w:r>
          </w:p>
          <w:p w14:paraId="0BD6997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2、平时表现</w:t>
            </w:r>
          </w:p>
        </w:tc>
        <w:tc>
          <w:tcPr>
            <w:tcW w:w="723" w:type="dxa"/>
            <w:vAlign w:val="center"/>
          </w:tcPr>
          <w:p w14:paraId="5649726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68" w:type="dxa"/>
            <w:vAlign w:val="center"/>
          </w:tcPr>
          <w:p w14:paraId="237BD57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CA8D97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  <w:tr w14:paraId="7B8A5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484A2E7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3041" w:type="dxa"/>
            <w:vAlign w:val="center"/>
          </w:tcPr>
          <w:p w14:paraId="4D0864E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要求学生预先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确认课文学习目标，要求学生按照学习目标制定学习计划</w:t>
            </w:r>
          </w:p>
          <w:p w14:paraId="6A7A12B0">
            <w:pPr>
              <w:widowControl w:val="0"/>
              <w:snapToGrid w:val="0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独立进行课后练习</w:t>
            </w:r>
          </w:p>
          <w:p w14:paraId="4B9B87BD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3737B71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0F3F7FE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476290F9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6、结合课文介绍日本的生活态度、习惯、文化风俗等。</w:t>
            </w:r>
          </w:p>
        </w:tc>
        <w:tc>
          <w:tcPr>
            <w:tcW w:w="1738" w:type="dxa"/>
            <w:vAlign w:val="center"/>
          </w:tcPr>
          <w:p w14:paraId="230DB5A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1、课堂测验</w:t>
            </w:r>
          </w:p>
          <w:p w14:paraId="1CD8E61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2、平时表现</w:t>
            </w:r>
          </w:p>
        </w:tc>
        <w:tc>
          <w:tcPr>
            <w:tcW w:w="723" w:type="dxa"/>
            <w:vAlign w:val="center"/>
          </w:tcPr>
          <w:p w14:paraId="309948F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68" w:type="dxa"/>
            <w:vAlign w:val="center"/>
          </w:tcPr>
          <w:p w14:paraId="2ADDAF7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554B30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5284F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56BB027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3041" w:type="dxa"/>
            <w:vAlign w:val="center"/>
          </w:tcPr>
          <w:p w14:paraId="4CC5FA98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要求学生预先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确认课文学习目标，要求学生按照学习目标制定学习计划</w:t>
            </w:r>
          </w:p>
          <w:p w14:paraId="503AAFE0">
            <w:pPr>
              <w:widowControl w:val="0"/>
              <w:snapToGrid w:val="0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独立进行课后练习</w:t>
            </w:r>
          </w:p>
          <w:p w14:paraId="688A448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7D4FF563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1330F54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26B417A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6、结合课文介绍日本的生活态度、习惯、文化风俗等。</w:t>
            </w:r>
          </w:p>
        </w:tc>
        <w:tc>
          <w:tcPr>
            <w:tcW w:w="1738" w:type="dxa"/>
            <w:vAlign w:val="center"/>
          </w:tcPr>
          <w:p w14:paraId="03A49F9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1、课堂测验</w:t>
            </w:r>
          </w:p>
          <w:p w14:paraId="30324A9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2、平时表现</w:t>
            </w:r>
          </w:p>
        </w:tc>
        <w:tc>
          <w:tcPr>
            <w:tcW w:w="723" w:type="dxa"/>
            <w:vAlign w:val="center"/>
          </w:tcPr>
          <w:p w14:paraId="49D6905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68" w:type="dxa"/>
            <w:vAlign w:val="center"/>
          </w:tcPr>
          <w:p w14:paraId="15FD553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A3F607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42EF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42B9AB7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3041" w:type="dxa"/>
            <w:vAlign w:val="center"/>
          </w:tcPr>
          <w:p w14:paraId="13C96B0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要求学生预先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确认课文学习目标，要求学生按照学习目标制定学习计划</w:t>
            </w:r>
          </w:p>
          <w:p w14:paraId="7C3F0FF3">
            <w:pPr>
              <w:widowControl w:val="0"/>
              <w:snapToGrid w:val="0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独立进行课后练习</w:t>
            </w:r>
          </w:p>
          <w:p w14:paraId="05C460A7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420F7D0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20BF262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0E0B9D8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6、结合课文介绍日本的生活态度、习惯、文化风俗等。</w:t>
            </w:r>
          </w:p>
        </w:tc>
        <w:tc>
          <w:tcPr>
            <w:tcW w:w="1738" w:type="dxa"/>
            <w:vAlign w:val="center"/>
          </w:tcPr>
          <w:p w14:paraId="7942F34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1、课堂测验</w:t>
            </w:r>
          </w:p>
          <w:p w14:paraId="5939EDF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2、平时表现</w:t>
            </w:r>
          </w:p>
        </w:tc>
        <w:tc>
          <w:tcPr>
            <w:tcW w:w="723" w:type="dxa"/>
            <w:vAlign w:val="center"/>
          </w:tcPr>
          <w:p w14:paraId="13783C5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68" w:type="dxa"/>
            <w:vAlign w:val="center"/>
          </w:tcPr>
          <w:p w14:paraId="702711F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91E15D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</w:tbl>
    <w:p w14:paraId="61ADBC99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4" w:name="_GoBack"/>
      <w:bookmarkEnd w:id="4"/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299"/>
        <w:gridCol w:w="7177"/>
      </w:tblGrid>
      <w:tr w14:paraId="476F6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11A68737">
            <w:pPr>
              <w:pStyle w:val="13"/>
              <w:widowControl w:val="0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7177" w:type="dxa"/>
            <w:vAlign w:val="center"/>
          </w:tcPr>
          <w:p w14:paraId="6C4BAD32">
            <w:pPr>
              <w:pStyle w:val="13"/>
              <w:widowControl w:val="0"/>
            </w:pPr>
            <w:r>
              <w:rPr>
                <w:rFonts w:hint="eastAsia"/>
              </w:rPr>
              <w:t>课程思政教学要点</w:t>
            </w:r>
          </w:p>
        </w:tc>
      </w:tr>
      <w:tr w14:paraId="12D9C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6F6A70F2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7177" w:type="dxa"/>
            <w:vAlign w:val="center"/>
          </w:tcPr>
          <w:p w14:paraId="3CFE3D00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介绍日本</w:t>
            </w:r>
            <w:r>
              <w:rPr>
                <w:rFonts w:hint="eastAsia"/>
                <w:lang w:val="en-US" w:eastAsia="zh-CN"/>
              </w:rPr>
              <w:t>公司的各种交际方式，</w:t>
            </w:r>
            <w:r>
              <w:rPr>
                <w:rFonts w:hint="eastAsia"/>
              </w:rPr>
              <w:t>比较日本与中国的</w:t>
            </w:r>
            <w:r>
              <w:rPr>
                <w:rFonts w:hint="eastAsia"/>
                <w:lang w:val="en-US" w:eastAsia="zh-CN"/>
              </w:rPr>
              <w:t>交际方</w:t>
            </w:r>
            <w:r>
              <w:rPr>
                <w:rFonts w:hint="eastAsia"/>
              </w:rPr>
              <w:t>式，分析背后的</w:t>
            </w:r>
            <w:r>
              <w:rPr>
                <w:rFonts w:hint="eastAsia"/>
                <w:lang w:val="en-US" w:eastAsia="zh-CN"/>
              </w:rPr>
              <w:t>中国独特的文化</w:t>
            </w:r>
            <w:r>
              <w:rPr>
                <w:rFonts w:hint="eastAsia"/>
              </w:rPr>
              <w:t>传统。培养学生跨文化理解与包容能力，</w:t>
            </w:r>
            <w:r>
              <w:rPr>
                <w:rFonts w:hint="eastAsia"/>
                <w:lang w:val="en-US" w:eastAsia="zh-CN"/>
              </w:rPr>
              <w:t>增加文化自信</w:t>
            </w:r>
            <w:r>
              <w:rPr>
                <w:rFonts w:hint="eastAsia"/>
              </w:rPr>
              <w:t>。</w:t>
            </w:r>
          </w:p>
        </w:tc>
      </w:tr>
      <w:tr w14:paraId="12722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03873971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7177" w:type="dxa"/>
            <w:vAlign w:val="center"/>
          </w:tcPr>
          <w:p w14:paraId="031EDFF9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介绍日本</w:t>
            </w:r>
            <w:r>
              <w:rPr>
                <w:rFonts w:hint="eastAsia"/>
                <w:lang w:val="en-US" w:eastAsia="zh-CN"/>
              </w:rPr>
              <w:t>旅游的</w:t>
            </w:r>
            <w:r>
              <w:rPr>
                <w:rFonts w:hint="eastAsia"/>
              </w:rPr>
              <w:t>文化</w:t>
            </w:r>
            <w:r>
              <w:rPr>
                <w:rFonts w:hint="eastAsia"/>
                <w:lang w:val="en-US" w:eastAsia="zh-CN"/>
              </w:rPr>
              <w:t>以及各种</w:t>
            </w:r>
            <w:r>
              <w:rPr>
                <w:rFonts w:hint="eastAsia"/>
              </w:rPr>
              <w:t>礼仪</w:t>
            </w:r>
            <w:r>
              <w:rPr>
                <w:rFonts w:hint="eastAsia"/>
                <w:lang w:val="en-US" w:eastAsia="zh-CN"/>
              </w:rPr>
              <w:t>和</w:t>
            </w:r>
            <w:r>
              <w:rPr>
                <w:rFonts w:hint="eastAsia"/>
              </w:rPr>
              <w:t>习俗。</w:t>
            </w:r>
            <w:r>
              <w:rPr>
                <w:rFonts w:hint="eastAsia" w:eastAsia="ＭＳ 明朝"/>
                <w:lang w:eastAsia="ja-JP"/>
              </w:rPr>
              <w:t>提唱</w:t>
            </w:r>
            <w:r>
              <w:rPr>
                <w:rFonts w:hint="eastAsia"/>
              </w:rPr>
              <w:t>尊重他人习惯的能力，促进跨文化交流与理解。</w:t>
            </w:r>
          </w:p>
        </w:tc>
      </w:tr>
      <w:tr w14:paraId="12D7D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39770B40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7177" w:type="dxa"/>
            <w:vAlign w:val="center"/>
          </w:tcPr>
          <w:p w14:paraId="510429EB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介绍日本</w:t>
            </w:r>
            <w:r>
              <w:rPr>
                <w:rFonts w:hint="eastAsia"/>
                <w:lang w:val="en-US" w:eastAsia="zh-CN"/>
              </w:rPr>
              <w:t>的地域文化知识</w:t>
            </w:r>
            <w:r>
              <w:rPr>
                <w:rFonts w:hint="eastAsia"/>
              </w:rPr>
              <w:t>、探讨</w:t>
            </w:r>
            <w:r>
              <w:rPr>
                <w:rFonts w:hint="eastAsia"/>
                <w:lang w:val="en-US" w:eastAsia="zh-CN"/>
              </w:rPr>
              <w:t>日本文化所受到的汉文化的</w:t>
            </w:r>
            <w:r>
              <w:rPr>
                <w:rFonts w:hint="eastAsia"/>
              </w:rPr>
              <w:t>文化内涵与价值观，比较与本国的异同。</w:t>
            </w:r>
          </w:p>
        </w:tc>
      </w:tr>
    </w:tbl>
    <w:p w14:paraId="3A04292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907"/>
        <w:gridCol w:w="929"/>
        <w:gridCol w:w="914"/>
        <w:gridCol w:w="922"/>
        <w:gridCol w:w="706"/>
      </w:tblGrid>
      <w:tr w14:paraId="1F581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3BDDC4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EDB353F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CE47F16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EAAF852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7D32980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F67A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4DA0C38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780A767F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09A5550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142E0246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929" w:type="dxa"/>
            <w:vAlign w:val="center"/>
          </w:tcPr>
          <w:p w14:paraId="5B5BB02A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914" w:type="dxa"/>
            <w:vAlign w:val="center"/>
          </w:tcPr>
          <w:p w14:paraId="55E785C7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922" w:type="dxa"/>
            <w:vAlign w:val="center"/>
          </w:tcPr>
          <w:p w14:paraId="36F5C90A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1F5CBF43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08FE1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AC71972">
            <w:pPr>
              <w:widowControl w:val="0"/>
              <w:snapToGrid w:val="0"/>
              <w:jc w:val="center"/>
              <w:rPr>
                <w:rFonts w:hint="default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X4</w:t>
            </w:r>
          </w:p>
        </w:tc>
        <w:tc>
          <w:tcPr>
            <w:tcW w:w="709" w:type="dxa"/>
            <w:vAlign w:val="center"/>
          </w:tcPr>
          <w:p w14:paraId="3BC90AEB">
            <w:pPr>
              <w:pStyle w:val="14"/>
              <w:widowControl w:val="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827A4C1">
            <w:pPr>
              <w:pStyle w:val="14"/>
              <w:widowControl w:val="0"/>
              <w:rPr>
                <w:rFonts w:hint="eastAsia" w:eastAsia="宋体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0"/>
                <w:lang w:val="en-US" w:eastAsia="zh-CN"/>
              </w:rPr>
              <w:t>课堂测验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3C90D7D9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 xml:space="preserve">  </w:t>
            </w:r>
            <w:r>
              <w:t xml:space="preserve"> 9%</w:t>
            </w:r>
          </w:p>
        </w:tc>
        <w:tc>
          <w:tcPr>
            <w:tcW w:w="929" w:type="dxa"/>
            <w:vAlign w:val="center"/>
          </w:tcPr>
          <w:p w14:paraId="3A2558F8">
            <w:pPr>
              <w:pStyle w:val="14"/>
              <w:widowControl w:val="0"/>
            </w:pPr>
            <w:r>
              <w:t>18%</w:t>
            </w:r>
          </w:p>
        </w:tc>
        <w:tc>
          <w:tcPr>
            <w:tcW w:w="914" w:type="dxa"/>
            <w:vAlign w:val="center"/>
          </w:tcPr>
          <w:p w14:paraId="79860F40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4%</w:t>
            </w:r>
          </w:p>
        </w:tc>
        <w:tc>
          <w:tcPr>
            <w:tcW w:w="922" w:type="dxa"/>
            <w:vAlign w:val="center"/>
          </w:tcPr>
          <w:p w14:paraId="347CB7C5">
            <w:pPr>
              <w:pStyle w:val="14"/>
              <w:widowControl w:val="0"/>
            </w:pPr>
            <w:r>
              <w:t>9%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14E8B2A2">
            <w:pPr>
              <w:pStyle w:val="14"/>
              <w:widowControl w:val="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</w:tr>
      <w:tr w14:paraId="40F5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6A46EC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730DB545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467FCDA">
            <w:pPr>
              <w:pStyle w:val="14"/>
              <w:widowControl w:val="0"/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课堂测验+平时表现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34570467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.25%</w:t>
            </w:r>
          </w:p>
        </w:tc>
        <w:tc>
          <w:tcPr>
            <w:tcW w:w="929" w:type="dxa"/>
            <w:vAlign w:val="center"/>
          </w:tcPr>
          <w:p w14:paraId="71FB94AB">
            <w:pPr>
              <w:pStyle w:val="14"/>
              <w:widowControl w:val="0"/>
            </w:pPr>
            <w:r>
              <w:t>4.5%</w:t>
            </w:r>
          </w:p>
        </w:tc>
        <w:tc>
          <w:tcPr>
            <w:tcW w:w="914" w:type="dxa"/>
            <w:vAlign w:val="center"/>
          </w:tcPr>
          <w:p w14:paraId="1C352B25">
            <w:pPr>
              <w:pStyle w:val="14"/>
              <w:widowControl w:val="0"/>
            </w:pPr>
            <w:r>
              <w:rPr>
                <w:rFonts w:hint="eastAsia"/>
              </w:rPr>
              <w:t>6</w:t>
            </w:r>
            <w:r>
              <w:t>%</w:t>
            </w:r>
          </w:p>
        </w:tc>
        <w:tc>
          <w:tcPr>
            <w:tcW w:w="922" w:type="dxa"/>
            <w:vAlign w:val="center"/>
          </w:tcPr>
          <w:p w14:paraId="4A403B46">
            <w:pPr>
              <w:pStyle w:val="14"/>
              <w:widowControl w:val="0"/>
            </w:pPr>
            <w:r>
              <w:t>2.25%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DCB270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</w:tr>
      <w:tr w14:paraId="0A65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F65BB9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491AEE2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B80E722">
            <w:pPr>
              <w:pStyle w:val="14"/>
              <w:widowControl w:val="0"/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课堂测验+平时表现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2AA4531A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.5%</w:t>
            </w:r>
          </w:p>
        </w:tc>
        <w:tc>
          <w:tcPr>
            <w:tcW w:w="929" w:type="dxa"/>
            <w:vAlign w:val="center"/>
          </w:tcPr>
          <w:p w14:paraId="4DD4FFC2">
            <w:pPr>
              <w:pStyle w:val="14"/>
              <w:widowControl w:val="0"/>
            </w:pPr>
            <w:r>
              <w:t>3%</w:t>
            </w:r>
          </w:p>
        </w:tc>
        <w:tc>
          <w:tcPr>
            <w:tcW w:w="914" w:type="dxa"/>
            <w:vAlign w:val="center"/>
          </w:tcPr>
          <w:p w14:paraId="32AB67C9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%</w:t>
            </w:r>
          </w:p>
        </w:tc>
        <w:tc>
          <w:tcPr>
            <w:tcW w:w="922" w:type="dxa"/>
            <w:vAlign w:val="center"/>
          </w:tcPr>
          <w:p w14:paraId="78C18355">
            <w:pPr>
              <w:pStyle w:val="14"/>
              <w:widowControl w:val="0"/>
            </w:pPr>
            <w:r>
              <w:t>1.5%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CDB38D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</w:tr>
      <w:tr w14:paraId="7D544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0D590C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47FF435A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B2B43A8">
            <w:pPr>
              <w:pStyle w:val="14"/>
              <w:widowControl w:val="0"/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课堂测验+平时表现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47E75243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.25%</w:t>
            </w:r>
          </w:p>
        </w:tc>
        <w:tc>
          <w:tcPr>
            <w:tcW w:w="929" w:type="dxa"/>
            <w:vAlign w:val="center"/>
          </w:tcPr>
          <w:p w14:paraId="57CAFBC1">
            <w:pPr>
              <w:pStyle w:val="14"/>
              <w:widowControl w:val="0"/>
            </w:pPr>
            <w:r>
              <w:t>4.5%</w:t>
            </w:r>
          </w:p>
        </w:tc>
        <w:tc>
          <w:tcPr>
            <w:tcW w:w="914" w:type="dxa"/>
            <w:vAlign w:val="center"/>
          </w:tcPr>
          <w:p w14:paraId="1F4F90F3">
            <w:pPr>
              <w:pStyle w:val="14"/>
              <w:widowControl w:val="0"/>
            </w:pPr>
            <w:r>
              <w:rPr>
                <w:rFonts w:hint="eastAsia"/>
              </w:rPr>
              <w:t>6</w:t>
            </w:r>
            <w:r>
              <w:t>%</w:t>
            </w:r>
          </w:p>
        </w:tc>
        <w:tc>
          <w:tcPr>
            <w:tcW w:w="922" w:type="dxa"/>
            <w:vAlign w:val="center"/>
          </w:tcPr>
          <w:p w14:paraId="2D35BBA4">
            <w:pPr>
              <w:pStyle w:val="14"/>
              <w:widowControl w:val="0"/>
            </w:pPr>
            <w:r>
              <w:t>2.25%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86AC86A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</w:tr>
    </w:tbl>
    <w:p w14:paraId="7854BB49">
      <w:pPr>
        <w:pStyle w:val="16"/>
        <w:rPr>
          <w:rFonts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ＭＳ 明朝">
    <w:altName w:val="MS UI Gothic"/>
    <w:panose1 w:val="02020609040205080304"/>
    <w:charset w:val="80"/>
    <w:family w:val="modern"/>
    <w:pitch w:val="default"/>
    <w:sig w:usb0="00000000" w:usb1="00000000" w:usb2="08000012" w:usb3="00000000" w:csb0="4002009F" w:csb1="DFD7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EA019">
    <w:pPr>
      <w:jc w:val="right"/>
      <w:rPr>
        <w:rFonts w:ascii="方正小标宋简体" w:hAnsi="方正小标宋简体" w:eastAsia="方正小标宋简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hMWNmMzgzMzJhYzQ2M2I4MmJjMmQyYjA1OGI1OGEifQ=="/>
  </w:docVars>
  <w:rsids>
    <w:rsidRoot w:val="00B7651F"/>
    <w:rsid w:val="000203E0"/>
    <w:rsid w:val="000210E0"/>
    <w:rsid w:val="00033082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44082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9045B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25F8C"/>
    <w:rsid w:val="00927324"/>
    <w:rsid w:val="00932ED7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0EBA315B"/>
    <w:rsid w:val="0FFF2ACC"/>
    <w:rsid w:val="10846779"/>
    <w:rsid w:val="10BD2C22"/>
    <w:rsid w:val="136D56FC"/>
    <w:rsid w:val="22987C80"/>
    <w:rsid w:val="24192CCC"/>
    <w:rsid w:val="25110BCA"/>
    <w:rsid w:val="28090A48"/>
    <w:rsid w:val="28687E65"/>
    <w:rsid w:val="2A3D718F"/>
    <w:rsid w:val="374755E9"/>
    <w:rsid w:val="39A66CD4"/>
    <w:rsid w:val="3AF00A02"/>
    <w:rsid w:val="3CD52CE1"/>
    <w:rsid w:val="406D4316"/>
    <w:rsid w:val="410F2E6A"/>
    <w:rsid w:val="4430136C"/>
    <w:rsid w:val="46BC325E"/>
    <w:rsid w:val="4AB0382B"/>
    <w:rsid w:val="4B205712"/>
    <w:rsid w:val="569868B5"/>
    <w:rsid w:val="5A114B53"/>
    <w:rsid w:val="611F6817"/>
    <w:rsid w:val="66CA1754"/>
    <w:rsid w:val="68FF4E51"/>
    <w:rsid w:val="6E881C9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2748</Words>
  <Characters>2913</Characters>
  <Lines>6</Lines>
  <Paragraphs>1</Paragraphs>
  <TotalTime>0</TotalTime>
  <ScaleCrop>false</ScaleCrop>
  <LinksUpToDate>false</LinksUpToDate>
  <CharactersWithSpaces>2949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2023-10-21T07:24:00Z</dcterms:created>
  <dc:creator>juvg</dc:creator>
  <cp:lastModifiedBy>奶茶</cp:lastModifiedBy>
  <cp:lastPrinted>2023-10-23T04:11:00Z</cp:lastPrinted>
  <dcterms:modified xsi:type="dcterms:W3CDTF">2024-09-25T07:20:40Z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4EE3B4BBE4EF4ACFAFA44B932738B9C0_13</vt:lpwstr>
  </property>
</Properties>
</file>