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FD0B3">
      <w:pPr>
        <w:jc w:val="center"/>
        <w:rPr>
          <w:rFonts w:ascii="黑体" w:hAnsi="黑体" w:eastAsia="黑体"/>
          <w:bCs/>
          <w:sz w:val="32"/>
          <w:szCs w:val="32"/>
        </w:rPr>
      </w:pPr>
      <w:r>
        <w:rPr>
          <w:rFonts w:hint="eastAsia" w:ascii="黑体" w:hAnsi="黑体" w:eastAsia="黑体"/>
          <w:bCs/>
          <w:sz w:val="32"/>
          <w:szCs w:val="32"/>
        </w:rPr>
        <w:t>《高级商务英语》本科课程教学大纲</w:t>
      </w:r>
    </w:p>
    <w:p w14:paraId="53E64063">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87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1248"/>
      </w:tblGrid>
      <w:tr w14:paraId="0736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4340FC3E">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7047" w:type="dxa"/>
            <w:gridSpan w:val="6"/>
            <w:tcBorders>
              <w:top w:val="single" w:color="auto" w:sz="12" w:space="0"/>
              <w:right w:val="single" w:color="auto" w:sz="12" w:space="0"/>
            </w:tcBorders>
            <w:vAlign w:val="center"/>
          </w:tcPr>
          <w:p w14:paraId="2F19AE0B">
            <w:pPr>
              <w:widowControl w:val="0"/>
              <w:jc w:val="both"/>
              <w:rPr>
                <w:rFonts w:hint="default"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ascii="黑体" w:hAnsi="黑体" w:eastAsia="黑体"/>
                <w:color w:val="000000" w:themeColor="text1"/>
                <w:sz w:val="21"/>
                <w:szCs w:val="21"/>
                <w:lang w:val="en-US" w:eastAsia="zh-CN"/>
                <w14:textFill>
                  <w14:solidFill>
                    <w14:schemeClr w14:val="tx1"/>
                  </w14:solidFill>
                </w14:textFill>
              </w:rPr>
              <w:t>电子商务法律</w:t>
            </w:r>
          </w:p>
        </w:tc>
      </w:tr>
      <w:tr w14:paraId="0EE8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5410DC48">
            <w:pPr>
              <w:widowControl w:val="0"/>
              <w:jc w:val="center"/>
              <w:rPr>
                <w:rFonts w:ascii="黑体" w:hAnsi="黑体" w:eastAsia="黑体"/>
                <w:color w:val="000000" w:themeColor="text1"/>
                <w:sz w:val="21"/>
                <w:szCs w:val="18"/>
                <w14:textFill>
                  <w14:solidFill>
                    <w14:schemeClr w14:val="tx1"/>
                  </w14:solidFill>
                </w14:textFill>
              </w:rPr>
            </w:pPr>
          </w:p>
        </w:tc>
        <w:tc>
          <w:tcPr>
            <w:tcW w:w="7047" w:type="dxa"/>
            <w:gridSpan w:val="6"/>
            <w:tcBorders>
              <w:right w:val="single" w:color="auto" w:sz="12" w:space="0"/>
            </w:tcBorders>
            <w:vAlign w:val="center"/>
          </w:tcPr>
          <w:p w14:paraId="25DF9F22">
            <w:pPr>
              <w:widowControl w:val="0"/>
              <w:jc w:val="both"/>
              <w:rPr>
                <w:rFonts w:hint="default"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hint="eastAsia" w:ascii="黑体" w:hAnsi="黑体" w:eastAsia="黑体"/>
                <w:color w:val="000000" w:themeColor="text1"/>
                <w:sz w:val="21"/>
                <w:szCs w:val="21"/>
                <w:lang w:val="en-US" w:eastAsia="zh-CN"/>
                <w14:textFill>
                  <w14:solidFill>
                    <w14:schemeClr w14:val="tx1"/>
                  </w14:solidFill>
                </w14:textFill>
              </w:rPr>
              <w:t>E-commerce Laws and Regulations</w:t>
            </w:r>
          </w:p>
        </w:tc>
      </w:tr>
      <w:tr w14:paraId="2584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D7C6D0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796E8C8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hanging="360"/>
              <w:jc w:val="both"/>
              <w:rPr>
                <w:rFonts w:hint="default" w:ascii="黑体" w:hAnsi="黑体" w:eastAsia="宋体"/>
                <w:color w:val="000000" w:themeColor="text1"/>
                <w:sz w:val="21"/>
                <w:szCs w:val="21"/>
                <w:lang w:val="en-US" w:eastAsia="zh-CN"/>
                <w14:textFill>
                  <w14:solidFill>
                    <w14:schemeClr w14:val="tx1"/>
                  </w14:solidFill>
                </w14:textFill>
              </w:rPr>
            </w:pPr>
            <w:r>
              <w:rPr>
                <w:rFonts w:ascii="Helvetica" w:hAnsi="Helvetica" w:eastAsia="Helvetica" w:cs="Helvetica"/>
                <w:i w:val="0"/>
                <w:iCs w:val="0"/>
                <w:caps w:val="0"/>
                <w:color w:val="222222"/>
                <w:spacing w:val="0"/>
                <w:sz w:val="18"/>
                <w:szCs w:val="18"/>
                <w:shd w:val="clear" w:fill="FFFFFF"/>
              </w:rPr>
              <w:t>2020614</w:t>
            </w:r>
          </w:p>
        </w:tc>
        <w:tc>
          <w:tcPr>
            <w:tcW w:w="2126" w:type="dxa"/>
            <w:gridSpan w:val="2"/>
            <w:vAlign w:val="center"/>
          </w:tcPr>
          <w:p w14:paraId="2112676C">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661" w:type="dxa"/>
            <w:gridSpan w:val="3"/>
            <w:tcBorders>
              <w:right w:val="single" w:color="auto" w:sz="12" w:space="0"/>
            </w:tcBorders>
            <w:vAlign w:val="center"/>
          </w:tcPr>
          <w:p w14:paraId="5A165341">
            <w:pPr>
              <w:widowControl w:val="0"/>
              <w:jc w:val="left"/>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w:t>
            </w:r>
          </w:p>
        </w:tc>
      </w:tr>
      <w:tr w14:paraId="0E05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1DB8AAE">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0E641F2A">
            <w:pPr>
              <w:widowControl w:val="0"/>
              <w:jc w:val="left"/>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32</w:t>
            </w:r>
          </w:p>
        </w:tc>
        <w:tc>
          <w:tcPr>
            <w:tcW w:w="1272" w:type="dxa"/>
            <w:vAlign w:val="center"/>
          </w:tcPr>
          <w:p w14:paraId="320C3BBE">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1A5CA551">
            <w:pPr>
              <w:widowControl w:val="0"/>
              <w:jc w:val="left"/>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32</w:t>
            </w:r>
          </w:p>
        </w:tc>
        <w:tc>
          <w:tcPr>
            <w:tcW w:w="1413" w:type="dxa"/>
            <w:gridSpan w:val="2"/>
            <w:vAlign w:val="center"/>
          </w:tcPr>
          <w:p w14:paraId="6F3EDE3A">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1248" w:type="dxa"/>
            <w:tcBorders>
              <w:right w:val="single" w:color="auto" w:sz="12" w:space="0"/>
            </w:tcBorders>
            <w:vAlign w:val="center"/>
          </w:tcPr>
          <w:p w14:paraId="59E0540D">
            <w:pPr>
              <w:widowControl w:val="0"/>
              <w:jc w:val="left"/>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w:t>
            </w:r>
          </w:p>
        </w:tc>
      </w:tr>
      <w:tr w14:paraId="1ACC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CCDF788">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049E2741">
            <w:pPr>
              <w:widowControl w:val="0"/>
              <w:jc w:val="left"/>
              <w:rPr>
                <w:rFonts w:ascii="黑体" w:hAnsi="黑体" w:eastAsia="黑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外</w:t>
            </w:r>
            <w:r>
              <w:rPr>
                <w:rFonts w:hint="eastAsia"/>
                <w:color w:val="000000" w:themeColor="text1"/>
                <w:sz w:val="21"/>
                <w:szCs w:val="21"/>
                <w:lang w:val="en-US" w:eastAsia="zh-CN"/>
                <w14:textFill>
                  <w14:solidFill>
                    <w14:schemeClr w14:val="tx1"/>
                  </w14:solidFill>
                </w14:textFill>
              </w:rPr>
              <w:t>语与国际教育</w:t>
            </w:r>
            <w:r>
              <w:rPr>
                <w:rFonts w:hint="eastAsia"/>
                <w:color w:val="000000" w:themeColor="text1"/>
                <w:sz w:val="21"/>
                <w:szCs w:val="21"/>
                <w14:textFill>
                  <w14:solidFill>
                    <w14:schemeClr w14:val="tx1"/>
                  </w14:solidFill>
                </w14:textFill>
              </w:rPr>
              <w:t>学院</w:t>
            </w:r>
          </w:p>
        </w:tc>
        <w:tc>
          <w:tcPr>
            <w:tcW w:w="2126" w:type="dxa"/>
            <w:gridSpan w:val="2"/>
            <w:vAlign w:val="center"/>
          </w:tcPr>
          <w:p w14:paraId="42548C0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661" w:type="dxa"/>
            <w:gridSpan w:val="3"/>
            <w:tcBorders>
              <w:right w:val="single" w:color="auto" w:sz="12" w:space="0"/>
            </w:tcBorders>
            <w:vAlign w:val="center"/>
          </w:tcPr>
          <w:p w14:paraId="408DCBB4">
            <w:pPr>
              <w:widowControl w:val="0"/>
              <w:jc w:val="left"/>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商务英语专业 大三</w:t>
            </w:r>
          </w:p>
        </w:tc>
      </w:tr>
      <w:tr w14:paraId="6271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4F034A9">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7E20F582">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专业</w:t>
            </w:r>
            <w:r>
              <w:rPr>
                <w:rFonts w:hint="eastAsia"/>
                <w:color w:val="000000" w:themeColor="text1"/>
                <w:sz w:val="21"/>
                <w:szCs w:val="21"/>
                <w:lang w:val="en-US" w:eastAsia="zh-CN"/>
                <w14:textFill>
                  <w14:solidFill>
                    <w14:schemeClr w14:val="tx1"/>
                  </w14:solidFill>
                </w14:textFill>
              </w:rPr>
              <w:t>选修</w:t>
            </w:r>
            <w:r>
              <w:rPr>
                <w:rFonts w:hint="eastAsia"/>
                <w:color w:val="000000" w:themeColor="text1"/>
                <w:sz w:val="21"/>
                <w:szCs w:val="21"/>
                <w14:textFill>
                  <w14:solidFill>
                    <w14:schemeClr w14:val="tx1"/>
                  </w14:solidFill>
                </w14:textFill>
              </w:rPr>
              <w:t>课程</w:t>
            </w:r>
          </w:p>
        </w:tc>
        <w:tc>
          <w:tcPr>
            <w:tcW w:w="2126" w:type="dxa"/>
            <w:gridSpan w:val="2"/>
            <w:vAlign w:val="center"/>
          </w:tcPr>
          <w:p w14:paraId="51776C52">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661" w:type="dxa"/>
            <w:gridSpan w:val="3"/>
            <w:tcBorders>
              <w:right w:val="single" w:color="auto" w:sz="12" w:space="0"/>
            </w:tcBorders>
            <w:vAlign w:val="center"/>
          </w:tcPr>
          <w:p w14:paraId="6D83556F">
            <w:pPr>
              <w:widowControl w:val="0"/>
              <w:jc w:val="left"/>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考</w:t>
            </w:r>
            <w:r>
              <w:rPr>
                <w:rFonts w:hint="eastAsia"/>
                <w:color w:val="000000" w:themeColor="text1"/>
                <w:sz w:val="21"/>
                <w:szCs w:val="21"/>
                <w:lang w:val="en-US" w:eastAsia="zh-CN"/>
                <w14:textFill>
                  <w14:solidFill>
                    <w14:schemeClr w14:val="tx1"/>
                  </w14:solidFill>
                </w14:textFill>
              </w:rPr>
              <w:t>试</w:t>
            </w:r>
          </w:p>
        </w:tc>
      </w:tr>
      <w:tr w14:paraId="2A32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414" w:hRule="atLeast"/>
        </w:trPr>
        <w:tc>
          <w:tcPr>
            <w:tcW w:w="1691" w:type="dxa"/>
            <w:tcBorders>
              <w:left w:val="single" w:color="auto" w:sz="12" w:space="0"/>
            </w:tcBorders>
            <w:shd w:val="clear" w:color="auto" w:fill="auto"/>
            <w:vAlign w:val="center"/>
          </w:tcPr>
          <w:p w14:paraId="384B3E4E">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39A205E9">
            <w:pPr>
              <w:widowControl w:val="0"/>
              <w:jc w:val="left"/>
              <w:rPr>
                <w:rFonts w:hint="eastAsia"/>
                <w:color w:val="000000"/>
                <w:sz w:val="20"/>
                <w:szCs w:val="20"/>
              </w:rPr>
            </w:pPr>
            <w:r>
              <w:rPr>
                <w:rFonts w:hint="eastAsia"/>
                <w:color w:val="000000"/>
                <w:sz w:val="20"/>
                <w:szCs w:val="20"/>
              </w:rPr>
              <w:t>《</w:t>
            </w:r>
            <w:r>
              <w:rPr>
                <w:rFonts w:hint="eastAsia"/>
                <w:color w:val="000000"/>
                <w:sz w:val="20"/>
                <w:szCs w:val="20"/>
                <w:lang w:val="en-US" w:eastAsia="zh-CN"/>
              </w:rPr>
              <w:t>跨境电子商务法律法规</w:t>
            </w:r>
            <w:r>
              <w:rPr>
                <w:rFonts w:hint="eastAsia"/>
                <w:color w:val="000000"/>
                <w:sz w:val="20"/>
                <w:szCs w:val="20"/>
              </w:rPr>
              <w:t>》</w:t>
            </w:r>
            <w:r>
              <w:rPr>
                <w:rFonts w:hint="eastAsia"/>
                <w:color w:val="000000"/>
                <w:sz w:val="20"/>
                <w:szCs w:val="20"/>
                <w:lang w:val="en-US" w:eastAsia="zh-CN"/>
              </w:rPr>
              <w:t>张宏乐</w:t>
            </w:r>
            <w:r>
              <w:rPr>
                <w:rFonts w:hint="eastAsia"/>
                <w:color w:val="000000"/>
                <w:sz w:val="20"/>
                <w:szCs w:val="20"/>
              </w:rPr>
              <w:t>主编，I</w:t>
            </w:r>
            <w:r>
              <w:rPr>
                <w:color w:val="000000"/>
                <w:sz w:val="20"/>
                <w:szCs w:val="20"/>
              </w:rPr>
              <w:t xml:space="preserve">SBN </w:t>
            </w:r>
            <w:r>
              <w:rPr>
                <w:rFonts w:hint="eastAsia"/>
                <w:color w:val="000000"/>
                <w:sz w:val="20"/>
                <w:szCs w:val="20"/>
                <w:lang w:val="en-US" w:eastAsia="zh-CN"/>
              </w:rPr>
              <w:t>9787115638601</w:t>
            </w:r>
            <w:r>
              <w:rPr>
                <w:rFonts w:hint="eastAsia"/>
                <w:color w:val="000000"/>
                <w:sz w:val="20"/>
                <w:szCs w:val="20"/>
              </w:rPr>
              <w:t>，外语教学与研究出版社，2</w:t>
            </w:r>
            <w:r>
              <w:rPr>
                <w:color w:val="000000"/>
                <w:sz w:val="20"/>
                <w:szCs w:val="20"/>
              </w:rPr>
              <w:t>0</w:t>
            </w:r>
            <w:r>
              <w:rPr>
                <w:rFonts w:hint="eastAsia"/>
                <w:color w:val="000000"/>
                <w:sz w:val="20"/>
                <w:szCs w:val="20"/>
                <w:lang w:val="en-US" w:eastAsia="zh-CN"/>
              </w:rPr>
              <w:t>24</w:t>
            </w:r>
            <w:r>
              <w:rPr>
                <w:rFonts w:hint="eastAsia"/>
                <w:color w:val="000000"/>
                <w:sz w:val="20"/>
                <w:szCs w:val="20"/>
              </w:rPr>
              <w:t>年</w:t>
            </w:r>
            <w:r>
              <w:rPr>
                <w:rFonts w:hint="eastAsia"/>
                <w:color w:val="000000"/>
                <w:sz w:val="20"/>
                <w:szCs w:val="20"/>
                <w:lang w:val="en-US" w:eastAsia="zh-CN"/>
              </w:rPr>
              <w:t>6</w:t>
            </w:r>
            <w:r>
              <w:rPr>
                <w:rFonts w:hint="eastAsia"/>
                <w:color w:val="000000"/>
                <w:sz w:val="20"/>
                <w:szCs w:val="20"/>
              </w:rPr>
              <w:t>月第1版</w:t>
            </w:r>
          </w:p>
          <w:p w14:paraId="6789BEA3">
            <w:pPr>
              <w:widowControl w:val="0"/>
              <w:jc w:val="left"/>
              <w:rPr>
                <w:rFonts w:hint="eastAsia" w:eastAsia="宋体"/>
                <w:color w:val="000000"/>
                <w:sz w:val="20"/>
                <w:szCs w:val="20"/>
                <w:lang w:val="en-US" w:eastAsia="zh-CN"/>
              </w:rPr>
            </w:pPr>
          </w:p>
        </w:tc>
        <w:tc>
          <w:tcPr>
            <w:tcW w:w="1413" w:type="dxa"/>
            <w:gridSpan w:val="2"/>
            <w:vAlign w:val="center"/>
          </w:tcPr>
          <w:p w14:paraId="17C991B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2AE8CE3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1248" w:type="dxa"/>
            <w:tcBorders>
              <w:right w:val="single" w:color="auto" w:sz="12" w:space="0"/>
            </w:tcBorders>
            <w:vAlign w:val="center"/>
          </w:tcPr>
          <w:p w14:paraId="403AC8B3">
            <w:pPr>
              <w:widowControl w:val="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3755D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04" w:hRule="atLeast"/>
        </w:trPr>
        <w:tc>
          <w:tcPr>
            <w:tcW w:w="1691" w:type="dxa"/>
            <w:tcBorders>
              <w:left w:val="single" w:color="auto" w:sz="12" w:space="0"/>
            </w:tcBorders>
            <w:shd w:val="clear" w:color="auto" w:fill="auto"/>
            <w:vAlign w:val="center"/>
          </w:tcPr>
          <w:p w14:paraId="69222C7B">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7047" w:type="dxa"/>
            <w:gridSpan w:val="6"/>
            <w:tcBorders>
              <w:right w:val="single" w:color="auto" w:sz="12" w:space="0"/>
            </w:tcBorders>
            <w:vAlign w:val="center"/>
          </w:tcPr>
          <w:p w14:paraId="5F11577A">
            <w:pPr>
              <w:pStyle w:val="14"/>
              <w:widowControl w:val="0"/>
              <w:jc w:val="both"/>
              <w:rPr>
                <w:rFonts w:hint="default" w:eastAsia="宋体"/>
                <w:lang w:val="en-US" w:eastAsia="zh-CN"/>
              </w:rPr>
            </w:pPr>
            <w:r>
              <w:rPr>
                <w:rFonts w:hint="eastAsia" w:ascii="Segoe UI" w:hAnsi="Segoe UI" w:eastAsia="Segoe UI" w:cs="Segoe UI"/>
                <w:i w:val="0"/>
                <w:iCs w:val="0"/>
                <w:caps w:val="0"/>
                <w:color w:val="0F1115"/>
                <w:spacing w:val="0"/>
                <w:sz w:val="22"/>
                <w:szCs w:val="22"/>
                <w:shd w:val="clear" w:fill="FFFFFF"/>
              </w:rPr>
              <w:t>商务导论、跨境电子商务概论、经济学导论、管理学导论等</w:t>
            </w:r>
          </w:p>
        </w:tc>
      </w:tr>
      <w:tr w14:paraId="3F23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shd w:val="clear" w:color="auto" w:fill="auto"/>
            <w:vAlign w:val="center"/>
          </w:tcPr>
          <w:p w14:paraId="738AEE6B">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7047" w:type="dxa"/>
            <w:gridSpan w:val="6"/>
            <w:tcBorders>
              <w:right w:val="single" w:color="auto" w:sz="12" w:space="0"/>
            </w:tcBorders>
          </w:tcPr>
          <w:p w14:paraId="1682CD56">
            <w:pPr>
              <w:pStyle w:val="14"/>
              <w:widowControl w:val="0"/>
              <w:ind w:firstLine="400" w:firstLineChars="200"/>
              <w:jc w:val="both"/>
              <w:rPr>
                <w:rFonts w:hint="eastAsia" w:asciiTheme="minorEastAsia" w:hAnsiTheme="minorEastAsia"/>
                <w:bCs/>
                <w:sz w:val="20"/>
                <w:szCs w:val="20"/>
                <w:lang w:val="en-US" w:eastAsia="zh-CN"/>
              </w:rPr>
            </w:pPr>
            <w:r>
              <w:rPr>
                <w:rFonts w:hint="eastAsia" w:asciiTheme="minorEastAsia" w:hAnsiTheme="minorEastAsia"/>
                <w:bCs/>
                <w:sz w:val="20"/>
                <w:szCs w:val="20"/>
                <w:lang w:val="en-US" w:eastAsia="zh-CN"/>
              </w:rPr>
              <w:t>《电子商务法律》是商务英语专业的一门专业必修（或选修）课。该课程主要阐述跨境电子商务法律法规概述、跨境电子商务企业设立的法律制度、跨境电子商务合同规则及法律适用、跨境电子商务物流法律规则、跨境支付的法律规则、跨境电子商务货物清关与贸易管制法律规则、跨境电子商务的知识产权保护制度、电子商务经营中消费者权益保护与市场监管、跨境电子商务运营中个人信息保护与数据安全规则、跨境电子商务纠纷解决等内容。通过对本课程的学习，使学生掌握跨境电子商务法律的基础理论、知识和跨境电子商务活动的法律规则，培养学生具备防范跨境电子商务交易风险、处理跨境电子商务法律纠纷的能力，培养适应对外经济交往需要，既懂跨境电商、又懂国际商事法律规则的应用型人才。</w:t>
            </w:r>
          </w:p>
        </w:tc>
      </w:tr>
      <w:tr w14:paraId="37A7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42" w:hRule="atLeast"/>
        </w:trPr>
        <w:tc>
          <w:tcPr>
            <w:tcW w:w="1691" w:type="dxa"/>
            <w:tcBorders>
              <w:left w:val="single" w:color="auto" w:sz="12" w:space="0"/>
              <w:bottom w:val="double" w:color="auto" w:sz="4" w:space="0"/>
            </w:tcBorders>
            <w:shd w:val="clear" w:color="auto" w:fill="auto"/>
            <w:vAlign w:val="center"/>
          </w:tcPr>
          <w:p w14:paraId="4DB42270">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7047" w:type="dxa"/>
            <w:gridSpan w:val="6"/>
            <w:tcBorders>
              <w:bottom w:val="double" w:color="auto" w:sz="4" w:space="0"/>
              <w:right w:val="single" w:color="auto" w:sz="12" w:space="0"/>
            </w:tcBorders>
          </w:tcPr>
          <w:p w14:paraId="1299F70F">
            <w:pPr>
              <w:widowControl w:val="0"/>
              <w:snapToGrid w:val="0"/>
              <w:spacing w:line="288" w:lineRule="auto"/>
              <w:jc w:val="both"/>
              <w:rPr>
                <w:rFonts w:ascii="Calibri" w:hAnsi="Calibri" w:cs="Times New Roman"/>
                <w:color w:val="000000"/>
                <w:kern w:val="2"/>
                <w:sz w:val="20"/>
                <w:szCs w:val="20"/>
              </w:rPr>
            </w:pPr>
            <w:r>
              <w:rPr>
                <w:rFonts w:hint="eastAsia" w:ascii="Calibri" w:hAnsi="Calibri" w:cs="Times New Roman"/>
                <w:color w:val="000000"/>
                <w:kern w:val="2"/>
                <w:sz w:val="20"/>
                <w:szCs w:val="20"/>
              </w:rPr>
              <w:t>先修课程是商务导论、跨境电子商务概论、经济学导论、管理学导论等。该课程在教学内容上主要为理论教学，学习各国法律的相关规定，便于学生理解和掌握其先修课程和后续课程的内容。使用教材时应按照本课程教学大纲的要求适当取舍，不能面面俱到。</w:t>
            </w:r>
          </w:p>
        </w:tc>
      </w:tr>
      <w:tr w14:paraId="4742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74" w:hRule="atLeast"/>
        </w:trPr>
        <w:tc>
          <w:tcPr>
            <w:tcW w:w="1691" w:type="dxa"/>
            <w:tcBorders>
              <w:top w:val="double" w:color="auto" w:sz="4" w:space="0"/>
              <w:left w:val="single" w:color="auto" w:sz="12" w:space="0"/>
            </w:tcBorders>
            <w:shd w:val="clear" w:color="auto" w:fill="auto"/>
            <w:vAlign w:val="center"/>
          </w:tcPr>
          <w:p w14:paraId="39D04BD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06FAC370">
            <w:pPr>
              <w:widowControl w:val="0"/>
              <w:jc w:val="left"/>
              <w:rPr>
                <w:rFonts w:ascii="黑体" w:hAnsi="黑体" w:eastAsia="黑体"/>
                <w:color w:val="000000" w:themeColor="text1"/>
                <w:sz w:val="21"/>
                <w:szCs w:val="21"/>
                <w14:textFill>
                  <w14:solidFill>
                    <w14:schemeClr w14:val="tx1"/>
                  </w14:solidFill>
                </w14:textFill>
              </w:rPr>
            </w:pPr>
            <w:r>
              <w:rPr>
                <w:rFonts w:hint="eastAsia"/>
                <w:sz w:val="21"/>
                <w:szCs w:val="21"/>
              </w:rPr>
              <w:t xml:space="preserve">      </w:t>
            </w:r>
            <w:r>
              <w:rPr>
                <w:rFonts w:hint="eastAsia"/>
                <w:sz w:val="21"/>
                <w:szCs w:val="21"/>
              </w:rPr>
              <w:drawing>
                <wp:inline distT="0" distB="0" distL="114300" distR="114300">
                  <wp:extent cx="1183640" cy="387985"/>
                  <wp:effectExtent l="0" t="0" r="16510" b="12065"/>
                  <wp:docPr id="1" name="图片 1" descr="微信图片_2024030414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304140349"/>
                          <pic:cNvPicPr>
                            <a:picLocks noChangeAspect="1"/>
                          </pic:cNvPicPr>
                        </pic:nvPicPr>
                        <pic:blipFill>
                          <a:blip r:embed="rId5"/>
                          <a:stretch>
                            <a:fillRect/>
                          </a:stretch>
                        </pic:blipFill>
                        <pic:spPr>
                          <a:xfrm>
                            <a:off x="0" y="0"/>
                            <a:ext cx="1183640" cy="387985"/>
                          </a:xfrm>
                          <a:prstGeom prst="rect">
                            <a:avLst/>
                          </a:prstGeom>
                        </pic:spPr>
                      </pic:pic>
                    </a:graphicData>
                  </a:graphic>
                </wp:inline>
              </w:drawing>
            </w:r>
            <w:r>
              <w:rPr>
                <w:rFonts w:hint="eastAsia"/>
                <w:sz w:val="21"/>
                <w:szCs w:val="21"/>
              </w:rPr>
              <w:t xml:space="preserve">   </w:t>
            </w:r>
          </w:p>
        </w:tc>
        <w:tc>
          <w:tcPr>
            <w:tcW w:w="1425" w:type="dxa"/>
            <w:gridSpan w:val="2"/>
            <w:tcBorders>
              <w:top w:val="double" w:color="auto" w:sz="4" w:space="0"/>
            </w:tcBorders>
            <w:vAlign w:val="center"/>
          </w:tcPr>
          <w:p w14:paraId="5D285FF9">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2090" w:type="dxa"/>
            <w:gridSpan w:val="2"/>
            <w:tcBorders>
              <w:top w:val="double" w:color="auto" w:sz="4" w:space="0"/>
              <w:right w:val="single" w:color="auto" w:sz="12" w:space="0"/>
            </w:tcBorders>
            <w:vAlign w:val="center"/>
          </w:tcPr>
          <w:p w14:paraId="70F6CDD0">
            <w:pPr>
              <w:widowControl w:val="0"/>
              <w:jc w:val="center"/>
              <w:rPr>
                <w:rFonts w:hint="eastAsia" w:ascii="Times New Roman" w:hAnsi="Times New Roman" w:eastAsia="宋体"/>
                <w:color w:val="000000"/>
                <w:sz w:val="21"/>
                <w:szCs w:val="21"/>
                <w:lang w:eastAsia="zh-CN"/>
              </w:rPr>
            </w:pPr>
            <w:r>
              <w:rPr>
                <w:rFonts w:ascii="Times New Roman" w:hAnsi="Times New Roman"/>
                <w:color w:val="000000"/>
                <w:sz w:val="21"/>
                <w:szCs w:val="21"/>
              </w:rPr>
              <w:t>202</w:t>
            </w:r>
            <w:r>
              <w:rPr>
                <w:rFonts w:hint="eastAsia" w:ascii="Times New Roman" w:hAnsi="Times New Roman"/>
                <w:color w:val="000000"/>
                <w:sz w:val="21"/>
                <w:szCs w:val="21"/>
                <w:lang w:val="en-US" w:eastAsia="zh-CN"/>
              </w:rPr>
              <w:t>6.8</w:t>
            </w:r>
          </w:p>
        </w:tc>
      </w:tr>
      <w:tr w14:paraId="6261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60873E1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3F65F616">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anchor distT="0" distB="0" distL="114300" distR="114300" simplePos="0" relativeHeight="251659264" behindDoc="0" locked="0" layoutInCell="1" allowOverlap="1">
                  <wp:simplePos x="0" y="0"/>
                  <wp:positionH relativeFrom="column">
                    <wp:posOffset>490855</wp:posOffset>
                  </wp:positionH>
                  <wp:positionV relativeFrom="paragraph">
                    <wp:posOffset>3175</wp:posOffset>
                  </wp:positionV>
                  <wp:extent cx="1114425" cy="365760"/>
                  <wp:effectExtent l="0" t="0" r="0" b="0"/>
                  <wp:wrapNone/>
                  <wp:docPr id="2" name="图片 2" descr="微信图片_2024030414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304140349"/>
                          <pic:cNvPicPr>
                            <a:picLocks noChangeAspect="1"/>
                          </pic:cNvPicPr>
                        </pic:nvPicPr>
                        <pic:blipFill>
                          <a:blip r:embed="rId5">
                            <a:clrChange>
                              <a:clrFrom>
                                <a:srgbClr val="FFFFFF">
                                  <a:alpha val="100000"/>
                                </a:srgbClr>
                              </a:clrFrom>
                              <a:clrTo>
                                <a:srgbClr val="FFFFFF">
                                  <a:alpha val="100000"/>
                                  <a:alpha val="0"/>
                                </a:srgbClr>
                              </a:clrTo>
                            </a:clrChange>
                          </a:blip>
                          <a:stretch>
                            <a:fillRect/>
                          </a:stretch>
                        </pic:blipFill>
                        <pic:spPr>
                          <a:xfrm>
                            <a:off x="0" y="0"/>
                            <a:ext cx="1114425" cy="365760"/>
                          </a:xfrm>
                          <a:prstGeom prst="rect">
                            <a:avLst/>
                          </a:prstGeom>
                        </pic:spPr>
                      </pic:pic>
                    </a:graphicData>
                  </a:graphic>
                </wp:anchor>
              </w:drawing>
            </w:r>
          </w:p>
        </w:tc>
        <w:tc>
          <w:tcPr>
            <w:tcW w:w="1425" w:type="dxa"/>
            <w:gridSpan w:val="2"/>
            <w:vAlign w:val="center"/>
          </w:tcPr>
          <w:p w14:paraId="459E7BE4">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2090" w:type="dxa"/>
            <w:gridSpan w:val="2"/>
            <w:tcBorders>
              <w:right w:val="single" w:color="auto" w:sz="12" w:space="0"/>
            </w:tcBorders>
            <w:vAlign w:val="center"/>
          </w:tcPr>
          <w:p w14:paraId="6C03A1C2">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2026.9</w:t>
            </w:r>
          </w:p>
        </w:tc>
      </w:tr>
      <w:tr w14:paraId="7442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88" w:hRule="atLeast"/>
        </w:trPr>
        <w:tc>
          <w:tcPr>
            <w:tcW w:w="1691" w:type="dxa"/>
            <w:tcBorders>
              <w:left w:val="single" w:color="auto" w:sz="12" w:space="0"/>
            </w:tcBorders>
            <w:shd w:val="clear" w:color="auto" w:fill="auto"/>
            <w:vAlign w:val="center"/>
          </w:tcPr>
          <w:p w14:paraId="503A015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vAlign w:val="center"/>
          </w:tcPr>
          <w:p w14:paraId="5C525559">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14:ligatures w14:val="standardContextual"/>
              </w:rPr>
              <w:drawing>
                <wp:inline distT="0" distB="0" distL="0" distR="0">
                  <wp:extent cx="661670" cy="395605"/>
                  <wp:effectExtent l="0" t="0" r="5080" b="4445"/>
                  <wp:docPr id="153444455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444553" name="图片 4"/>
                          <pic:cNvPicPr>
                            <a:picLocks noChangeAspect="1"/>
                          </pic:cNvPicPr>
                        </pic:nvPicPr>
                        <pic:blipFill>
                          <a:blip r:embed="rId6">
                            <a:biLevel thresh="50000"/>
                            <a:extLst>
                              <a:ext uri="{28A0092B-C50C-407E-A947-70E740481C1C}">
                                <a14:useLocalDpi xmlns:a14="http://schemas.microsoft.com/office/drawing/2010/main" val="0"/>
                              </a:ext>
                            </a:extLst>
                          </a:blip>
                          <a:srcRect l="24288" r="15201"/>
                          <a:stretch>
                            <a:fillRect/>
                          </a:stretch>
                        </pic:blipFill>
                        <pic:spPr>
                          <a:xfrm>
                            <a:off x="0" y="0"/>
                            <a:ext cx="662293" cy="396000"/>
                          </a:xfrm>
                          <a:prstGeom prst="rect">
                            <a:avLst/>
                          </a:prstGeom>
                          <a:ln>
                            <a:noFill/>
                          </a:ln>
                        </pic:spPr>
                      </pic:pic>
                    </a:graphicData>
                  </a:graphic>
                </wp:inline>
              </w:drawing>
            </w:r>
          </w:p>
        </w:tc>
        <w:tc>
          <w:tcPr>
            <w:tcW w:w="1425" w:type="dxa"/>
            <w:gridSpan w:val="2"/>
            <w:vAlign w:val="center"/>
          </w:tcPr>
          <w:p w14:paraId="5DA12301">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2090" w:type="dxa"/>
            <w:gridSpan w:val="2"/>
            <w:tcBorders>
              <w:right w:val="single" w:color="auto" w:sz="12" w:space="0"/>
            </w:tcBorders>
            <w:vAlign w:val="center"/>
          </w:tcPr>
          <w:p w14:paraId="09C8B7E1">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2026.9</w:t>
            </w:r>
          </w:p>
        </w:tc>
      </w:tr>
    </w:tbl>
    <w:p w14:paraId="63C44197">
      <w:pPr>
        <w:pStyle w:val="16"/>
        <w:spacing w:before="326" w:beforeLines="100" w:line="360" w:lineRule="auto"/>
        <w:rPr>
          <w:rFonts w:ascii="黑体" w:hAnsi="宋体"/>
        </w:rPr>
      </w:pPr>
      <w:r>
        <w:rPr>
          <w:rFonts w:hint="eastAsia" w:ascii="黑体" w:hAnsi="宋体"/>
        </w:rPr>
        <w:t>二、课程目标与毕业要求</w:t>
      </w:r>
    </w:p>
    <w:p w14:paraId="7B151E36">
      <w:pPr>
        <w:pStyle w:val="17"/>
        <w:spacing w:before="81" w:after="163"/>
      </w:pPr>
      <w:r>
        <w:rPr>
          <w:rFonts w:hint="eastAsia"/>
        </w:rPr>
        <w:t xml:space="preserve">（一）课程目标 </w:t>
      </w:r>
    </w:p>
    <w:tbl>
      <w:tblPr>
        <w:tblStyle w:val="7"/>
        <w:tblW w:w="488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181"/>
        <w:gridCol w:w="749"/>
        <w:gridCol w:w="6151"/>
      </w:tblGrid>
      <w:tr w14:paraId="4747BF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9" w:type="dxa"/>
            <w:vAlign w:val="center"/>
          </w:tcPr>
          <w:p w14:paraId="7434EE15">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7" w:type="dxa"/>
            <w:shd w:val="clear" w:color="auto" w:fill="auto"/>
            <w:vAlign w:val="center"/>
          </w:tcPr>
          <w:p w14:paraId="2D9E8E32">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0" w:type="dxa"/>
            <w:vAlign w:val="center"/>
          </w:tcPr>
          <w:p w14:paraId="36C1E3AA">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783BF6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9" w:type="dxa"/>
            <w:vAlign w:val="center"/>
          </w:tcPr>
          <w:p w14:paraId="269913C0">
            <w:pPr>
              <w:snapToGrid w:val="0"/>
              <w:jc w:val="center"/>
            </w:pPr>
            <w:r>
              <w:rPr>
                <w:rFonts w:hint="eastAsia" w:ascii="黑体" w:hAnsi="黑体" w:eastAsia="黑体"/>
                <w:bCs/>
                <w:color w:val="000000"/>
                <w:sz w:val="21"/>
                <w:szCs w:val="18"/>
              </w:rPr>
              <w:t>知识目标</w:t>
            </w:r>
          </w:p>
        </w:tc>
        <w:tc>
          <w:tcPr>
            <w:tcW w:w="767" w:type="dxa"/>
            <w:shd w:val="clear" w:color="auto" w:fill="auto"/>
            <w:vAlign w:val="center"/>
          </w:tcPr>
          <w:p w14:paraId="59976DA3">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0" w:type="dxa"/>
            <w:vAlign w:val="center"/>
          </w:tcPr>
          <w:p w14:paraId="2155EB98">
            <w:pPr>
              <w:pStyle w:val="14"/>
              <w:jc w:val="left"/>
              <w:rPr>
                <w:rFonts w:ascii="宋体" w:hAnsi="宋体"/>
                <w:bCs/>
              </w:rPr>
            </w:pPr>
            <w:r>
              <w:rPr>
                <w:rFonts w:hint="eastAsia" w:ascii="宋体" w:hAnsi="宋体"/>
                <w:bCs/>
              </w:rPr>
              <w:t>具备较为扎实的跨境电子商务法律理论功底，掌握跨境电子商务法律制度的基本理论和具体法律规定；掌握跨境电子商务合同订立、履行与消灭、违反国际货物买卖合同的救济方法；理解我国跨境电子商务企业设立的规则；认识跨境电子商务法律法规在解决国际商事纠纷中的作用；了解跨境电子商务纠纷解决的基本方法和制度。</w:t>
            </w:r>
          </w:p>
        </w:tc>
      </w:tr>
      <w:tr w14:paraId="1DB55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9" w:type="dxa"/>
            <w:vMerge w:val="restart"/>
            <w:vAlign w:val="center"/>
          </w:tcPr>
          <w:p w14:paraId="2F798108">
            <w:pPr>
              <w:snapToGrid w:val="0"/>
              <w:jc w:val="center"/>
            </w:pPr>
            <w:r>
              <w:rPr>
                <w:rFonts w:hint="eastAsia" w:ascii="黑体" w:hAnsi="黑体" w:eastAsia="黑体"/>
                <w:bCs/>
                <w:color w:val="000000"/>
                <w:sz w:val="21"/>
                <w:szCs w:val="18"/>
              </w:rPr>
              <w:t>技能目标</w:t>
            </w:r>
          </w:p>
        </w:tc>
        <w:tc>
          <w:tcPr>
            <w:tcW w:w="767" w:type="dxa"/>
            <w:shd w:val="clear" w:color="auto" w:fill="auto"/>
            <w:vAlign w:val="center"/>
          </w:tcPr>
          <w:p w14:paraId="6357CB2C">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0" w:type="dxa"/>
            <w:vAlign w:val="center"/>
          </w:tcPr>
          <w:p w14:paraId="3A1A4AD3">
            <w:pPr>
              <w:pStyle w:val="14"/>
              <w:jc w:val="left"/>
              <w:rPr>
                <w:rFonts w:ascii="宋体" w:hAnsi="宋体"/>
                <w:bCs/>
              </w:rPr>
            </w:pPr>
            <w:r>
              <w:rPr>
                <w:rFonts w:hint="eastAsia" w:ascii="宋体" w:hAnsi="宋体"/>
                <w:bCs/>
              </w:rPr>
              <w:t>能够运用跨境电子商务理论和知识分析和正确处理跨境电子商务纠纷，具备防范和规避跨境电子商务活动中潜在法律风险的能力。</w:t>
            </w:r>
          </w:p>
        </w:tc>
      </w:tr>
      <w:tr w14:paraId="487CCC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764" w:hRule="atLeast"/>
          <w:jc w:val="center"/>
        </w:trPr>
        <w:tc>
          <w:tcPr>
            <w:tcW w:w="1209" w:type="dxa"/>
            <w:vMerge w:val="continue"/>
            <w:vAlign w:val="center"/>
          </w:tcPr>
          <w:p w14:paraId="504F319A">
            <w:pPr>
              <w:pStyle w:val="14"/>
              <w:rPr>
                <w:rFonts w:ascii="宋体" w:hAnsi="宋体"/>
              </w:rPr>
            </w:pPr>
          </w:p>
        </w:tc>
        <w:tc>
          <w:tcPr>
            <w:tcW w:w="767" w:type="dxa"/>
            <w:shd w:val="clear" w:color="auto" w:fill="auto"/>
            <w:vAlign w:val="center"/>
          </w:tcPr>
          <w:p w14:paraId="092EBE16">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0" w:type="dxa"/>
            <w:vAlign w:val="center"/>
          </w:tcPr>
          <w:p w14:paraId="613EFD00">
            <w:pPr>
              <w:pStyle w:val="14"/>
              <w:jc w:val="left"/>
              <w:rPr>
                <w:rFonts w:ascii="宋体" w:hAnsi="宋体"/>
                <w:bCs/>
              </w:rPr>
            </w:pPr>
            <w:r>
              <w:rPr>
                <w:rFonts w:hint="eastAsia" w:ascii="宋体" w:hAnsi="宋体"/>
                <w:bCs/>
              </w:rPr>
              <w:t>能够运用数字化网络手段收集相关跨境电子商务法律领域的各种数据和信息，从中选取有效资料为己所用，主动安排学习计划，完成自主实践任务。</w:t>
            </w:r>
          </w:p>
        </w:tc>
      </w:tr>
      <w:tr w14:paraId="4657E7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917" w:hRule="atLeast"/>
          <w:jc w:val="center"/>
        </w:trPr>
        <w:tc>
          <w:tcPr>
            <w:tcW w:w="1209" w:type="dxa"/>
            <w:vAlign w:val="center"/>
          </w:tcPr>
          <w:p w14:paraId="70E1A966">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1C2CA425">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7" w:type="dxa"/>
            <w:shd w:val="clear" w:color="auto" w:fill="auto"/>
            <w:vAlign w:val="center"/>
          </w:tcPr>
          <w:p w14:paraId="77A1DD1B">
            <w:pPr>
              <w:snapToGrid w:val="0"/>
              <w:jc w:val="center"/>
              <w:rPr>
                <w:rFonts w:hint="eastAsia" w:ascii="Arial" w:hAnsi="Arial" w:eastAsia="黑体" w:cs="Arial"/>
                <w:bCs/>
                <w:color w:val="000000"/>
                <w:sz w:val="21"/>
                <w:szCs w:val="18"/>
                <w:lang w:eastAsia="zh-CN"/>
              </w:rPr>
            </w:pPr>
            <w:r>
              <w:rPr>
                <w:rFonts w:hint="eastAsia" w:ascii="Arial" w:hAnsi="Arial" w:eastAsia="黑体" w:cs="Arial"/>
                <w:bCs/>
                <w:color w:val="000000"/>
                <w:sz w:val="21"/>
                <w:szCs w:val="18"/>
                <w:lang w:val="en-US" w:eastAsia="zh-CN"/>
              </w:rPr>
              <w:t>4</w:t>
            </w:r>
          </w:p>
        </w:tc>
        <w:tc>
          <w:tcPr>
            <w:tcW w:w="6300" w:type="dxa"/>
            <w:vAlign w:val="center"/>
          </w:tcPr>
          <w:p w14:paraId="17AC4175">
            <w:pPr>
              <w:pStyle w:val="14"/>
              <w:jc w:val="left"/>
              <w:rPr>
                <w:rFonts w:ascii="宋体" w:hAnsi="宋体"/>
                <w:bCs/>
              </w:rPr>
            </w:pPr>
            <w:r>
              <w:rPr>
                <w:rFonts w:hint="eastAsia" w:ascii="宋体" w:hAnsi="宋体"/>
                <w:bCs/>
              </w:rPr>
              <w:t>专业知识与德育元素自然和谐，培养深厚的中国特色社会主义家国情怀和高度社会责任感，明确爱国、诚信、敬业、友爱的精神，熟悉跨境电子商务行业相关法律法规及职业道德规范，拓展国际视野，坚定文化自信。</w:t>
            </w:r>
          </w:p>
        </w:tc>
      </w:tr>
    </w:tbl>
    <w:p w14:paraId="355F4D82">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1E5E54F1">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600" w:hRule="atLeast"/>
        </w:trPr>
        <w:tc>
          <w:tcPr>
            <w:tcW w:w="8296" w:type="dxa"/>
          </w:tcPr>
          <w:p w14:paraId="242D4B85">
            <w:pPr>
              <w:pStyle w:val="14"/>
              <w:widowControl w:val="0"/>
              <w:jc w:val="left"/>
              <w:rPr>
                <w:rFonts w:ascii="宋体" w:hAnsi="宋体"/>
                <w:bCs/>
              </w:rPr>
            </w:pPr>
            <w:r>
              <w:rPr>
                <w:rFonts w:cs="Times New Roman"/>
                <w:bCs/>
              </w:rPr>
              <w:t>LO1</w:t>
            </w:r>
            <w:r>
              <w:rPr>
                <w:rFonts w:hint="eastAsia" w:ascii="宋体" w:hAnsi="宋体"/>
                <w:bCs/>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78B6F83E">
            <w:pPr>
              <w:pStyle w:val="14"/>
              <w:widowControl w:val="0"/>
              <w:jc w:val="left"/>
              <w:rPr>
                <w:rFonts w:ascii="Cambria Math" w:hAnsi="Cambria Math" w:cs="Cambria Math"/>
                <w:szCs w:val="24"/>
              </w:rPr>
            </w:pPr>
            <w:r>
              <w:rPr>
                <w:rFonts w:ascii="宋体" w:hAnsi="宋体" w:eastAsia="宋体" w:cs="宋体"/>
                <w:b w:val="0"/>
                <w:i w:val="0"/>
                <w:color w:val="000000"/>
                <w:sz w:val="24"/>
              </w:rPr>
              <w:t>②遵纪守法，增强法律意识，培养法律思维，自觉遵守法律法规、校纪校规。</w:t>
            </w:r>
          </w:p>
        </w:tc>
      </w:tr>
      <w:tr w14:paraId="51E13DD0">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3ED631D">
            <w:pPr>
              <w:pStyle w:val="14"/>
              <w:widowControl w:val="0"/>
              <w:jc w:val="left"/>
              <w:rPr>
                <w:rFonts w:hint="eastAsia" w:ascii="宋体" w:hAnsi="宋体"/>
                <w:bCs/>
              </w:rPr>
            </w:pPr>
            <w:r>
              <w:rPr>
                <w:rFonts w:hint="eastAsia" w:ascii="宋体" w:hAnsi="宋体"/>
                <w:bCs/>
              </w:rPr>
              <w:t>LO2专业能力：具有人文科学素养，具备从事某项工作或专业的理论知识、实践能力。</w:t>
            </w:r>
          </w:p>
          <w:p w14:paraId="79D6AF6B">
            <w:pPr>
              <w:pStyle w:val="14"/>
              <w:widowControl w:val="0"/>
              <w:jc w:val="left"/>
              <w:rPr>
                <w:rFonts w:ascii="宋体" w:hAnsi="宋体"/>
                <w:bCs/>
              </w:rPr>
            </w:pPr>
            <w:r>
              <w:rPr>
                <w:rFonts w:ascii="宋体" w:hAnsi="宋体" w:eastAsia="宋体" w:cs="宋体"/>
                <w:b w:val="0"/>
                <w:i w:val="0"/>
                <w:color w:val="000000"/>
                <w:sz w:val="24"/>
              </w:rPr>
              <w:t>③掌握经济学、管理学、法学等相关学科的基础知识，了解商务活动的基本工作内容和运行机制，熟悉商务组织治理结构、战略规划、运营管理等方面的基本理论和基础知识。</w:t>
            </w:r>
          </w:p>
        </w:tc>
      </w:tr>
      <w:tr w14:paraId="275FF2E6">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765" w:hRule="atLeast"/>
        </w:trPr>
        <w:tc>
          <w:tcPr>
            <w:tcW w:w="8296" w:type="dxa"/>
          </w:tcPr>
          <w:p w14:paraId="44FB1960">
            <w:pPr>
              <w:widowControl w:val="0"/>
              <w:spacing w:before="0" w:after="0" w:line="440" w:lineRule="exact"/>
              <w:ind w:left="0"/>
              <w:jc w:val="left"/>
            </w:pPr>
            <w:r>
              <w:rPr>
                <w:rFonts w:hint="eastAsia" w:ascii="宋体" w:hAnsi="宋体" w:eastAsia="宋体" w:cs="宋体"/>
                <w:bCs/>
                <w:color w:val="000000"/>
                <w:sz w:val="21"/>
                <w:szCs w:val="21"/>
                <w:lang w:val="en-US" w:eastAsia="zh-CN" w:bidi="ar-SA"/>
              </w:rPr>
              <w:t xml:space="preserve"> LO7 信息应用:</w:t>
            </w:r>
            <w:r>
              <w:rPr>
                <w:rFonts w:ascii="宋体" w:hAnsi="宋体" w:eastAsia="宋体" w:cs="宋体"/>
                <w:b w:val="0"/>
                <w:i w:val="0"/>
                <w:color w:val="000000"/>
                <w:sz w:val="24"/>
              </w:rPr>
              <w:t>具备一定的信息素养，并能在工作中应用信息技术和工具解决问题。</w:t>
            </w:r>
          </w:p>
          <w:p w14:paraId="4E2BA69C">
            <w:pPr>
              <w:widowControl w:val="0"/>
              <w:spacing w:before="0" w:after="0" w:line="440" w:lineRule="exact"/>
              <w:ind w:left="0"/>
              <w:jc w:val="left"/>
            </w:pPr>
            <w:r>
              <w:rPr>
                <w:rFonts w:ascii="宋体" w:hAnsi="宋体" w:eastAsia="宋体" w:cs="宋体"/>
                <w:b w:val="0"/>
                <w:i w:val="0"/>
                <w:color w:val="000000"/>
                <w:sz w:val="24"/>
              </w:rPr>
              <w:t xml:space="preserve"> ①能够根据需要进行专业文献检索。</w:t>
            </w:r>
          </w:p>
          <w:p w14:paraId="22BD6573">
            <w:pPr>
              <w:pStyle w:val="14"/>
              <w:widowControl w:val="0"/>
              <w:jc w:val="left"/>
              <w:rPr>
                <w:rFonts w:ascii="宋体" w:hAnsi="宋体"/>
                <w:bCs/>
              </w:rPr>
            </w:pPr>
          </w:p>
        </w:tc>
      </w:tr>
      <w:tr w14:paraId="12B2E7D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6668823">
            <w:pPr>
              <w:pStyle w:val="14"/>
              <w:widowControl w:val="0"/>
              <w:jc w:val="left"/>
              <w:rPr>
                <w:rFonts w:ascii="宋体" w:hAnsi="宋体"/>
                <w:sz w:val="20"/>
                <w:szCs w:val="20"/>
              </w:rPr>
            </w:pPr>
          </w:p>
        </w:tc>
      </w:tr>
    </w:tbl>
    <w:p w14:paraId="74742A78">
      <w:pPr>
        <w:pStyle w:val="17"/>
        <w:spacing w:before="163" w:beforeLines="50" w:after="163"/>
      </w:pPr>
      <w:r>
        <w:rPr>
          <w:rFonts w:hint="eastAsia"/>
        </w:rPr>
        <w:t xml:space="preserve">（三）毕业要求与课程目标的关系 </w:t>
      </w:r>
    </w:p>
    <w:tbl>
      <w:tblPr>
        <w:tblStyle w:val="7"/>
        <w:tblW w:w="47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31"/>
        <w:gridCol w:w="747"/>
        <w:gridCol w:w="736"/>
        <w:gridCol w:w="4466"/>
        <w:gridCol w:w="1264"/>
      </w:tblGrid>
      <w:tr w14:paraId="5A6EC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47" w:type="dxa"/>
            <w:tcBorders>
              <w:top w:val="single" w:color="auto" w:sz="12" w:space="0"/>
              <w:left w:val="single" w:color="auto" w:sz="12" w:space="0"/>
              <w:right w:val="single" w:color="auto" w:sz="4" w:space="0"/>
            </w:tcBorders>
            <w:shd w:val="clear" w:color="auto" w:fill="auto"/>
            <w:vAlign w:val="center"/>
          </w:tcPr>
          <w:p w14:paraId="278E2CDD">
            <w:pPr>
              <w:pStyle w:val="13"/>
              <w:rPr>
                <w:szCs w:val="16"/>
              </w:rPr>
            </w:pPr>
            <w:r>
              <w:rPr>
                <w:rFonts w:hint="eastAsia" w:ascii="黑体" w:hAnsi="黑体"/>
                <w:szCs w:val="18"/>
              </w:rPr>
              <w:t>毕业要求</w:t>
            </w:r>
          </w:p>
        </w:tc>
        <w:tc>
          <w:tcPr>
            <w:tcW w:w="763" w:type="dxa"/>
            <w:tcBorders>
              <w:top w:val="single" w:color="auto" w:sz="12" w:space="0"/>
              <w:left w:val="single" w:color="auto" w:sz="4" w:space="0"/>
            </w:tcBorders>
            <w:vAlign w:val="center"/>
          </w:tcPr>
          <w:p w14:paraId="145BEA16">
            <w:pPr>
              <w:pStyle w:val="13"/>
              <w:rPr>
                <w:szCs w:val="16"/>
              </w:rPr>
            </w:pPr>
            <w:r>
              <w:rPr>
                <w:rFonts w:hint="eastAsia"/>
                <w:szCs w:val="16"/>
              </w:rPr>
              <w:t>指标点</w:t>
            </w:r>
          </w:p>
        </w:tc>
        <w:tc>
          <w:tcPr>
            <w:tcW w:w="752" w:type="dxa"/>
            <w:tcBorders>
              <w:top w:val="single" w:color="auto" w:sz="12" w:space="0"/>
              <w:right w:val="double" w:color="auto" w:sz="4" w:space="0"/>
            </w:tcBorders>
            <w:shd w:val="clear" w:color="auto" w:fill="auto"/>
            <w:vAlign w:val="center"/>
          </w:tcPr>
          <w:p w14:paraId="253012A1">
            <w:pPr>
              <w:pStyle w:val="13"/>
              <w:rPr>
                <w:szCs w:val="16"/>
              </w:rPr>
            </w:pPr>
            <w:r>
              <w:rPr>
                <w:rFonts w:hint="eastAsia"/>
                <w:szCs w:val="16"/>
              </w:rPr>
              <w:t>支撑度</w:t>
            </w:r>
          </w:p>
        </w:tc>
        <w:tc>
          <w:tcPr>
            <w:tcW w:w="4564" w:type="dxa"/>
            <w:tcBorders>
              <w:top w:val="single" w:color="auto" w:sz="12" w:space="0"/>
            </w:tcBorders>
            <w:vAlign w:val="center"/>
          </w:tcPr>
          <w:p w14:paraId="40476CA6">
            <w:pPr>
              <w:pStyle w:val="13"/>
              <w:rPr>
                <w:szCs w:val="16"/>
              </w:rPr>
            </w:pPr>
            <w:r>
              <w:rPr>
                <w:rFonts w:hint="eastAsia"/>
                <w:szCs w:val="16"/>
              </w:rPr>
              <w:t>课程目标</w:t>
            </w:r>
          </w:p>
        </w:tc>
        <w:tc>
          <w:tcPr>
            <w:tcW w:w="1292" w:type="dxa"/>
            <w:tcBorders>
              <w:top w:val="single" w:color="auto" w:sz="12" w:space="0"/>
              <w:right w:val="single" w:color="auto" w:sz="12" w:space="0"/>
            </w:tcBorders>
            <w:vAlign w:val="center"/>
          </w:tcPr>
          <w:p w14:paraId="0F20050F">
            <w:pPr>
              <w:pStyle w:val="13"/>
              <w:rPr>
                <w:szCs w:val="16"/>
              </w:rPr>
            </w:pPr>
            <w:r>
              <w:rPr>
                <w:rFonts w:hint="eastAsia"/>
                <w:szCs w:val="16"/>
              </w:rPr>
              <w:t>对指标点的贡献度</w:t>
            </w:r>
          </w:p>
        </w:tc>
      </w:tr>
      <w:tr w14:paraId="4D34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47" w:type="dxa"/>
            <w:tcBorders>
              <w:left w:val="single" w:color="auto" w:sz="12" w:space="0"/>
              <w:right w:val="single" w:color="auto" w:sz="4" w:space="0"/>
            </w:tcBorders>
            <w:shd w:val="clear" w:color="auto" w:fill="auto"/>
            <w:vAlign w:val="center"/>
          </w:tcPr>
          <w:p w14:paraId="65FD712A">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LO1</w:t>
            </w:r>
            <w:r>
              <w:rPr>
                <w:rFonts w:ascii="宋体" w:hAnsi="宋体" w:eastAsia="宋体" w:cs="宋体"/>
                <w:b w:val="0"/>
                <w:i w:val="0"/>
                <w:color w:val="000000"/>
                <w:sz w:val="24"/>
              </w:rPr>
              <w:t>②</w:t>
            </w:r>
          </w:p>
        </w:tc>
        <w:tc>
          <w:tcPr>
            <w:tcW w:w="763" w:type="dxa"/>
            <w:tcBorders>
              <w:left w:val="single" w:color="auto" w:sz="4" w:space="0"/>
            </w:tcBorders>
            <w:vAlign w:val="center"/>
          </w:tcPr>
          <w:p w14:paraId="46EB4AAC">
            <w:pPr>
              <w:pStyle w:val="14"/>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4</w:t>
            </w:r>
          </w:p>
        </w:tc>
        <w:tc>
          <w:tcPr>
            <w:tcW w:w="752" w:type="dxa"/>
            <w:tcBorders>
              <w:right w:val="double" w:color="auto" w:sz="4" w:space="0"/>
            </w:tcBorders>
            <w:shd w:val="clear" w:color="auto" w:fill="auto"/>
            <w:vAlign w:val="center"/>
          </w:tcPr>
          <w:p w14:paraId="4B9C9056">
            <w:pPr>
              <w:pStyle w:val="14"/>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H</w:t>
            </w:r>
          </w:p>
        </w:tc>
        <w:tc>
          <w:tcPr>
            <w:tcW w:w="4564" w:type="dxa"/>
            <w:tcBorders>
              <w:bottom w:val="single" w:color="auto" w:sz="4" w:space="0"/>
            </w:tcBorders>
          </w:tcPr>
          <w:p w14:paraId="505A03A4">
            <w:pPr>
              <w:pStyle w:val="14"/>
              <w:jc w:val="both"/>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专业知识与德育元素自然和谐，培养深厚的中国特色社会主义家国情怀和高度社会责任感，明确爱国、诚信、敬业、友爱的精神，熟悉跨境电子商务行业相关法律法规及职业道德规范，拓展国际视野，坚定文化自信。</w:t>
            </w:r>
          </w:p>
        </w:tc>
        <w:tc>
          <w:tcPr>
            <w:tcW w:w="1292" w:type="dxa"/>
            <w:tcBorders>
              <w:right w:val="single" w:color="auto" w:sz="12" w:space="0"/>
            </w:tcBorders>
            <w:vAlign w:val="center"/>
          </w:tcPr>
          <w:p w14:paraId="284A8099">
            <w:pPr>
              <w:pStyle w:val="14"/>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lang w:val="en-US" w:eastAsia="zh-CN"/>
              </w:rPr>
              <w:t>30</w:t>
            </w:r>
            <w:r>
              <w:rPr>
                <w:rFonts w:hint="eastAsia" w:asciiTheme="minorEastAsia" w:hAnsiTheme="minorEastAsia" w:eastAsiaTheme="minorEastAsia" w:cstheme="minorEastAsia"/>
                <w:bCs/>
                <w:sz w:val="21"/>
                <w:szCs w:val="21"/>
              </w:rPr>
              <w:t>%</w:t>
            </w:r>
          </w:p>
        </w:tc>
      </w:tr>
      <w:tr w14:paraId="0B4D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84" w:hRule="atLeast"/>
          <w:jc w:val="center"/>
        </w:trPr>
        <w:tc>
          <w:tcPr>
            <w:tcW w:w="747" w:type="dxa"/>
            <w:tcBorders>
              <w:left w:val="single" w:color="auto" w:sz="12" w:space="0"/>
              <w:right w:val="single" w:color="auto" w:sz="4" w:space="0"/>
            </w:tcBorders>
            <w:shd w:val="clear" w:color="auto" w:fill="auto"/>
            <w:vAlign w:val="center"/>
          </w:tcPr>
          <w:p w14:paraId="66E76B76">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LO2</w:t>
            </w:r>
            <w:r>
              <w:rPr>
                <w:rFonts w:ascii="宋体" w:hAnsi="宋体" w:eastAsia="宋体" w:cs="宋体"/>
                <w:b w:val="0"/>
                <w:i w:val="0"/>
                <w:color w:val="000000"/>
                <w:sz w:val="24"/>
              </w:rPr>
              <w:t>③</w:t>
            </w:r>
          </w:p>
        </w:tc>
        <w:tc>
          <w:tcPr>
            <w:tcW w:w="763" w:type="dxa"/>
            <w:tcBorders>
              <w:left w:val="single" w:color="auto" w:sz="4" w:space="0"/>
            </w:tcBorders>
            <w:vAlign w:val="center"/>
          </w:tcPr>
          <w:p w14:paraId="57126F59">
            <w:pPr>
              <w:pStyle w:val="14"/>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1&amp;2</w:t>
            </w:r>
          </w:p>
        </w:tc>
        <w:tc>
          <w:tcPr>
            <w:tcW w:w="752" w:type="dxa"/>
            <w:tcBorders>
              <w:right w:val="double" w:color="auto" w:sz="4" w:space="0"/>
            </w:tcBorders>
            <w:shd w:val="clear" w:color="auto" w:fill="auto"/>
            <w:vAlign w:val="center"/>
          </w:tcPr>
          <w:p w14:paraId="79468F3B">
            <w:pPr>
              <w:pStyle w:val="14"/>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w:t>
            </w:r>
          </w:p>
        </w:tc>
        <w:tc>
          <w:tcPr>
            <w:tcW w:w="4564" w:type="dxa"/>
            <w:vAlign w:val="center"/>
          </w:tcPr>
          <w:p w14:paraId="79473827">
            <w:pPr>
              <w:pStyle w:val="14"/>
              <w:widowControl w:val="0"/>
              <w:jc w:val="left"/>
              <w:rPr>
                <w:rFonts w:hint="eastAsia" w:asciiTheme="minorEastAsia" w:hAnsiTheme="minorEastAsia" w:eastAsiaTheme="minorEastAsia" w:cstheme="minorEastAsia"/>
                <w:bCs/>
                <w:sz w:val="21"/>
                <w:szCs w:val="21"/>
              </w:rPr>
            </w:pPr>
            <w:r>
              <w:rPr>
                <w:rFonts w:hint="eastAsia" w:ascii="宋体" w:hAnsi="宋体"/>
                <w:bCs/>
              </w:rPr>
              <w:t>掌握跨境电子商务法律的基础理论、知识和跨境电子商务活动的法律规则，能够灵活运用经管法等专业知识解决实际问题，具备国际商务实践能力。</w:t>
            </w:r>
          </w:p>
        </w:tc>
        <w:tc>
          <w:tcPr>
            <w:tcW w:w="1292" w:type="dxa"/>
            <w:tcBorders>
              <w:right w:val="single" w:color="auto" w:sz="12" w:space="0"/>
            </w:tcBorders>
            <w:vAlign w:val="center"/>
          </w:tcPr>
          <w:p w14:paraId="31259EE5">
            <w:pPr>
              <w:pStyle w:val="14"/>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lang w:val="en-US" w:eastAsia="zh-CN"/>
              </w:rPr>
              <w:t>3</w:t>
            </w:r>
            <w:r>
              <w:rPr>
                <w:rFonts w:hint="eastAsia" w:asciiTheme="minorEastAsia" w:hAnsiTheme="minorEastAsia" w:eastAsiaTheme="minorEastAsia" w:cstheme="minorEastAsia"/>
                <w:bCs/>
                <w:sz w:val="21"/>
                <w:szCs w:val="21"/>
              </w:rPr>
              <w:t>0%</w:t>
            </w:r>
          </w:p>
        </w:tc>
      </w:tr>
      <w:tr w14:paraId="7B66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66" w:hRule="atLeast"/>
          <w:jc w:val="center"/>
        </w:trPr>
        <w:tc>
          <w:tcPr>
            <w:tcW w:w="747" w:type="dxa"/>
            <w:tcBorders>
              <w:left w:val="single" w:color="auto" w:sz="12" w:space="0"/>
              <w:right w:val="single" w:color="auto" w:sz="4" w:space="0"/>
            </w:tcBorders>
            <w:shd w:val="clear" w:color="auto" w:fill="auto"/>
            <w:vAlign w:val="center"/>
          </w:tcPr>
          <w:p w14:paraId="4B7C18E1">
            <w:pPr>
              <w:pStyle w:val="14"/>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LO</w:t>
            </w:r>
            <w:r>
              <w:rPr>
                <w:rFonts w:hint="eastAsia" w:asciiTheme="minorEastAsia" w:hAnsiTheme="minorEastAsia" w:eastAsiaTheme="minorEastAsia" w:cstheme="minorEastAsia"/>
                <w:b/>
                <w:bCs/>
                <w:sz w:val="21"/>
                <w:szCs w:val="21"/>
                <w:lang w:val="en-US" w:eastAsia="zh-CN"/>
              </w:rPr>
              <w:t>7</w:t>
            </w:r>
            <w:r>
              <w:rPr>
                <w:rFonts w:ascii="宋体" w:hAnsi="宋体" w:eastAsia="宋体" w:cs="宋体"/>
                <w:b w:val="0"/>
                <w:i w:val="0"/>
                <w:color w:val="000000"/>
                <w:sz w:val="24"/>
              </w:rPr>
              <w:t>①</w:t>
            </w:r>
          </w:p>
        </w:tc>
        <w:tc>
          <w:tcPr>
            <w:tcW w:w="763" w:type="dxa"/>
            <w:tcBorders>
              <w:left w:val="single" w:color="auto" w:sz="4" w:space="0"/>
            </w:tcBorders>
            <w:vAlign w:val="center"/>
          </w:tcPr>
          <w:p w14:paraId="72D347C7">
            <w:pPr>
              <w:pStyle w:val="14"/>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w:t>
            </w:r>
          </w:p>
        </w:tc>
        <w:tc>
          <w:tcPr>
            <w:tcW w:w="752" w:type="dxa"/>
            <w:tcBorders>
              <w:right w:val="double" w:color="auto" w:sz="4" w:space="0"/>
            </w:tcBorders>
            <w:shd w:val="clear" w:color="auto" w:fill="auto"/>
            <w:vAlign w:val="center"/>
          </w:tcPr>
          <w:p w14:paraId="2E75878B">
            <w:pPr>
              <w:pStyle w:val="14"/>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H</w:t>
            </w:r>
          </w:p>
        </w:tc>
        <w:tc>
          <w:tcPr>
            <w:tcW w:w="4564" w:type="dxa"/>
            <w:vAlign w:val="center"/>
          </w:tcPr>
          <w:p w14:paraId="6ABE23E6">
            <w:pPr>
              <w:pStyle w:val="14"/>
              <w:jc w:val="left"/>
              <w:rPr>
                <w:rFonts w:hint="eastAsia" w:asciiTheme="minorEastAsia" w:hAnsiTheme="minorEastAsia" w:eastAsiaTheme="minorEastAsia" w:cstheme="minorEastAsia"/>
                <w:bCs/>
                <w:sz w:val="21"/>
                <w:szCs w:val="21"/>
              </w:rPr>
            </w:pPr>
            <w:r>
              <w:rPr>
                <w:rFonts w:hint="eastAsia" w:cs="Times New Roman"/>
                <w:bCs/>
              </w:rPr>
              <w:t>能够运用数字化网络手段收集相关跨境电子商务法律领域的各种数据和信息，从中选取有效资料为己所用，主动安排学习计划，完成自主实践任务。</w:t>
            </w:r>
          </w:p>
        </w:tc>
        <w:tc>
          <w:tcPr>
            <w:tcW w:w="1292" w:type="dxa"/>
            <w:tcBorders>
              <w:right w:val="single" w:color="auto" w:sz="12" w:space="0"/>
            </w:tcBorders>
            <w:vAlign w:val="center"/>
          </w:tcPr>
          <w:p w14:paraId="6BA3865D">
            <w:pPr>
              <w:pStyle w:val="14"/>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lang w:val="en-US" w:eastAsia="zh-CN"/>
              </w:rPr>
              <w:t>30</w:t>
            </w:r>
            <w:r>
              <w:rPr>
                <w:rFonts w:hint="eastAsia" w:asciiTheme="minorEastAsia" w:hAnsiTheme="minorEastAsia" w:eastAsiaTheme="minorEastAsia" w:cstheme="minorEastAsia"/>
                <w:bCs/>
                <w:sz w:val="21"/>
                <w:szCs w:val="21"/>
              </w:rPr>
              <w:t>%</w:t>
            </w:r>
          </w:p>
        </w:tc>
      </w:tr>
    </w:tbl>
    <w:p w14:paraId="610F8F67">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2CFD3EBB">
      <w:pPr>
        <w:pStyle w:val="17"/>
        <w:spacing w:before="81" w:after="163"/>
      </w:pPr>
      <w:r>
        <w:rPr>
          <w:rFonts w:hint="eastAsia"/>
        </w:rPr>
        <w:t>（一）各教学单元预期学习成果与教学内容</w:t>
      </w:r>
    </w:p>
    <w:tbl>
      <w:tblPr>
        <w:tblStyle w:val="7"/>
        <w:tblW w:w="491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3042"/>
        <w:gridCol w:w="3024"/>
        <w:gridCol w:w="1494"/>
      </w:tblGrid>
      <w:tr w14:paraId="6861BA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67" w:type="dxa"/>
            <w:vAlign w:val="center"/>
          </w:tcPr>
          <w:p w14:paraId="606559B5">
            <w:pPr>
              <w:keepNext w:val="0"/>
              <w:keepLines w:val="0"/>
              <w:widowControl/>
              <w:suppressLineNumbers w:val="0"/>
              <w:jc w:val="left"/>
              <w:rPr>
                <w:rFonts w:ascii="Times New Roman" w:hAnsi="Times New Roman" w:cs="Times New Roman"/>
                <w:color w:val="000000"/>
                <w:sz w:val="21"/>
                <w:szCs w:val="21"/>
                <w:lang w:val="zh-CN"/>
              </w:rPr>
            </w:pPr>
            <w:r>
              <w:rPr>
                <w:rFonts w:hint="default" w:ascii="var(--dsw-font-markdown-table-h" w:hAnsi="var(--dsw-font-markdown-table-h" w:eastAsia="var(--dsw-font-markdown-table-h" w:cs="var(--dsw-font-markdown-table-h"/>
                <w:b/>
                <w:bCs/>
                <w:i w:val="0"/>
                <w:iCs w:val="0"/>
                <w:caps w:val="0"/>
                <w:color w:val="0F1115"/>
                <w:spacing w:val="0"/>
                <w:kern w:val="0"/>
                <w:sz w:val="24"/>
                <w:szCs w:val="24"/>
                <w:lang w:val="en-US" w:eastAsia="zh-CN" w:bidi="ar"/>
              </w:rPr>
              <w:t>单元</w:t>
            </w:r>
          </w:p>
        </w:tc>
        <w:tc>
          <w:tcPr>
            <w:tcW w:w="3056" w:type="dxa"/>
            <w:vAlign w:val="center"/>
          </w:tcPr>
          <w:p w14:paraId="2B2F5689">
            <w:pPr>
              <w:keepNext w:val="0"/>
              <w:keepLines w:val="0"/>
              <w:widowControl/>
              <w:suppressLineNumbers w:val="0"/>
              <w:jc w:val="left"/>
              <w:rPr>
                <w:rFonts w:ascii="Times New Roman" w:hAnsi="Times New Roman" w:cs="Times New Roman"/>
                <w:color w:val="000000"/>
                <w:sz w:val="21"/>
                <w:szCs w:val="21"/>
                <w:lang w:val="zh-CN"/>
              </w:rPr>
            </w:pPr>
            <w:r>
              <w:rPr>
                <w:rFonts w:hint="default" w:ascii="var(--dsw-font-markdown-table-h" w:hAnsi="var(--dsw-font-markdown-table-h" w:eastAsia="var(--dsw-font-markdown-table-h" w:cs="var(--dsw-font-markdown-table-h"/>
                <w:b/>
                <w:bCs/>
                <w:i w:val="0"/>
                <w:iCs w:val="0"/>
                <w:caps w:val="0"/>
                <w:color w:val="0F1115"/>
                <w:spacing w:val="0"/>
                <w:kern w:val="0"/>
                <w:sz w:val="24"/>
                <w:szCs w:val="24"/>
                <w:lang w:val="en-US" w:eastAsia="zh-CN" w:bidi="ar"/>
              </w:rPr>
              <w:t>教学内容</w:t>
            </w:r>
          </w:p>
        </w:tc>
        <w:tc>
          <w:tcPr>
            <w:tcW w:w="3039" w:type="dxa"/>
            <w:vAlign w:val="center"/>
          </w:tcPr>
          <w:p w14:paraId="5217A12E">
            <w:pPr>
              <w:keepNext w:val="0"/>
              <w:keepLines w:val="0"/>
              <w:widowControl/>
              <w:suppressLineNumbers w:val="0"/>
              <w:jc w:val="left"/>
              <w:rPr>
                <w:rFonts w:ascii="Times New Roman" w:hAnsi="Times New Roman" w:cs="Times New Roman"/>
                <w:color w:val="000000"/>
                <w:sz w:val="21"/>
                <w:szCs w:val="21"/>
                <w:lang w:val="zh-CN"/>
              </w:rPr>
            </w:pPr>
            <w:r>
              <w:rPr>
                <w:rFonts w:hint="default" w:ascii="var(--dsw-font-markdown-table-h" w:hAnsi="var(--dsw-font-markdown-table-h" w:eastAsia="var(--dsw-font-markdown-table-h" w:cs="var(--dsw-font-markdown-table-h"/>
                <w:b/>
                <w:bCs/>
                <w:i w:val="0"/>
                <w:iCs w:val="0"/>
                <w:caps w:val="0"/>
                <w:color w:val="0F1115"/>
                <w:spacing w:val="0"/>
                <w:kern w:val="0"/>
                <w:sz w:val="24"/>
                <w:szCs w:val="24"/>
                <w:lang w:val="en-US" w:eastAsia="zh-CN" w:bidi="ar"/>
              </w:rPr>
              <w:t>能力要求</w:t>
            </w:r>
          </w:p>
        </w:tc>
        <w:tc>
          <w:tcPr>
            <w:tcW w:w="1495" w:type="dxa"/>
            <w:vAlign w:val="center"/>
          </w:tcPr>
          <w:p w14:paraId="6F8F52A0">
            <w:pPr>
              <w:keepNext w:val="0"/>
              <w:keepLines w:val="0"/>
              <w:widowControl/>
              <w:suppressLineNumbers w:val="0"/>
              <w:jc w:val="left"/>
              <w:rPr>
                <w:rFonts w:ascii="Times New Roman" w:hAnsi="Times New Roman" w:cs="Times New Roman"/>
                <w:bCs/>
                <w:color w:val="000000"/>
                <w:sz w:val="21"/>
                <w:szCs w:val="21"/>
              </w:rPr>
            </w:pPr>
            <w:r>
              <w:rPr>
                <w:rFonts w:hint="default" w:ascii="var(--dsw-font-markdown-table-h" w:hAnsi="var(--dsw-font-markdown-table-h" w:eastAsia="var(--dsw-font-markdown-table-h" w:cs="var(--dsw-font-markdown-table-h"/>
                <w:b/>
                <w:bCs/>
                <w:i w:val="0"/>
                <w:iCs w:val="0"/>
                <w:caps w:val="0"/>
                <w:color w:val="0F1115"/>
                <w:spacing w:val="0"/>
                <w:kern w:val="0"/>
                <w:sz w:val="24"/>
                <w:szCs w:val="24"/>
                <w:lang w:val="en-US" w:eastAsia="zh-CN" w:bidi="ar"/>
              </w:rPr>
              <w:t>教学难点</w:t>
            </w:r>
          </w:p>
        </w:tc>
      </w:tr>
      <w:tr w14:paraId="647E84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9A6021C">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zh-CN"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 xml:space="preserve">第1章 </w:t>
            </w:r>
          </w:p>
        </w:tc>
        <w:tc>
          <w:tcPr>
            <w:tcW w:w="3056" w:type="dxa"/>
            <w:vAlign w:val="center"/>
          </w:tcPr>
          <w:p w14:paraId="1EB5CB51">
            <w:pPr>
              <w:keepNext w:val="0"/>
              <w:keepLines w:val="0"/>
              <w:widowControl/>
              <w:suppressLineNumbers w:val="0"/>
              <w:jc w:val="left"/>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了解跨境电子商务的概念、特征以及近年来发展状况；了解跨境电子商务在经营中遇到的主要法律问题；了解我国跨境电子商务法律法规发展现状及其完善。重点：跨境电子商务的特征；我国跨境电子商务法律法规发展现状；我国跨境电子商务法律体系的完善。</w:t>
            </w:r>
          </w:p>
        </w:tc>
        <w:tc>
          <w:tcPr>
            <w:tcW w:w="3039" w:type="dxa"/>
            <w:vAlign w:val="center"/>
          </w:tcPr>
          <w:p w14:paraId="3F45A4E3">
            <w:pPr>
              <w:keepNext w:val="0"/>
              <w:keepLines w:val="0"/>
              <w:widowControl/>
              <w:suppressLineNumbers w:val="0"/>
              <w:jc w:val="left"/>
              <w:rPr>
                <w:rFonts w:ascii="Times New Roman" w:hAnsi="Times New Roman" w:cs="Times New Roman"/>
                <w:color w:val="000000"/>
                <w:sz w:val="21"/>
                <w:szCs w:val="21"/>
                <w:lang w:val="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跨境电子商务法律法规的渊源；熟悉跨境电子商务法律法规的概念；了解跨境电子商务法律法规的各历史发展阶段。具备扎实的跨境电子商务法律理论功底，为今后学习打下基础。培养遵纪守法、诚实信用的良好职业素质。</w:t>
            </w:r>
          </w:p>
        </w:tc>
        <w:tc>
          <w:tcPr>
            <w:tcW w:w="1495" w:type="dxa"/>
            <w:vAlign w:val="center"/>
          </w:tcPr>
          <w:p w14:paraId="6DD376B9">
            <w:pPr>
              <w:keepNext w:val="0"/>
              <w:keepLines w:val="0"/>
              <w:widowControl/>
              <w:suppressLineNumbers w:val="0"/>
              <w:jc w:val="left"/>
              <w:rPr>
                <w:rFonts w:hint="default" w:ascii="Times New Roman" w:hAnsi="Times New Roman" w:eastAsia="宋体" w:cs="Times New Roman"/>
                <w:bCs/>
                <w:color w:val="000000"/>
                <w:sz w:val="21"/>
                <w:szCs w:val="21"/>
                <w:lang w:val="en-US" w:eastAsia="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跨境电子商务在经营中遇到的主要法律问题；对《电子商务法》意义的正确认识。</w:t>
            </w:r>
          </w:p>
        </w:tc>
      </w:tr>
      <w:tr w14:paraId="6ACD4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4A949BD">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zh-CN"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 xml:space="preserve">第2章 </w:t>
            </w:r>
          </w:p>
        </w:tc>
        <w:tc>
          <w:tcPr>
            <w:tcW w:w="3056" w:type="dxa"/>
            <w:vAlign w:val="center"/>
          </w:tcPr>
          <w:p w14:paraId="03EFCAE7">
            <w:pPr>
              <w:keepNext w:val="0"/>
              <w:keepLines w:val="0"/>
              <w:widowControl/>
              <w:suppressLineNumbers w:val="0"/>
              <w:jc w:val="left"/>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了解我国跨境电子商务企业设立的商事组织法律制度；掌握合伙企业法律制度；熟悉跨境电子商务企业组织形式与《电子商务法》对电子商务经营者的一般规定。重点：普通合伙企业与有限合伙企业的区别；有限责任公司与股份有限公司的区别；《电子商务法》对电子商务经营者的一般规定。</w:t>
            </w:r>
          </w:p>
        </w:tc>
        <w:tc>
          <w:tcPr>
            <w:tcW w:w="3039" w:type="dxa"/>
            <w:vAlign w:val="center"/>
          </w:tcPr>
          <w:p w14:paraId="2147B259">
            <w:pPr>
              <w:keepNext w:val="0"/>
              <w:keepLines w:val="0"/>
              <w:widowControl/>
              <w:suppressLineNumbers w:val="0"/>
              <w:jc w:val="left"/>
              <w:rPr>
                <w:rFonts w:ascii="Times New Roman" w:hAnsi="Times New Roman" w:cs="Times New Roman"/>
                <w:color w:val="000000"/>
                <w:sz w:val="21"/>
                <w:szCs w:val="21"/>
                <w:lang w:val="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跨境电子商务公司的设立、组织、经营等有关知识；熟悉合伙企业的法律特征、合伙的成立、合伙的内外部关系；了解合伙的解散和清算等。能够运用所学知识分析相关案例，分析比较不同商事组织的能力。培养探究态度和求知欲。</w:t>
            </w:r>
          </w:p>
        </w:tc>
        <w:tc>
          <w:tcPr>
            <w:tcW w:w="1495" w:type="dxa"/>
            <w:vAlign w:val="center"/>
          </w:tcPr>
          <w:p w14:paraId="30132DB5">
            <w:pPr>
              <w:keepNext w:val="0"/>
              <w:keepLines w:val="0"/>
              <w:widowControl/>
              <w:suppressLineNumbers w:val="0"/>
              <w:jc w:val="left"/>
              <w:rPr>
                <w:rFonts w:hint="default" w:ascii="Times New Roman" w:hAnsi="Times New Roman" w:eastAsia="宋体" w:cs="Times New Roman"/>
                <w:bCs/>
                <w:color w:val="000000"/>
                <w:sz w:val="21"/>
                <w:szCs w:val="21"/>
                <w:lang w:val="en-US" w:eastAsia="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跨境电子商务的资质与许可。</w:t>
            </w:r>
          </w:p>
        </w:tc>
      </w:tr>
      <w:tr w14:paraId="6CE423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5F5F9FFD">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zh-CN"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 xml:space="preserve">第3章 </w:t>
            </w:r>
          </w:p>
        </w:tc>
        <w:tc>
          <w:tcPr>
            <w:tcW w:w="3056" w:type="dxa"/>
            <w:vAlign w:val="center"/>
          </w:tcPr>
          <w:p w14:paraId="241DFA46">
            <w:pPr>
              <w:keepNext w:val="0"/>
              <w:keepLines w:val="0"/>
              <w:widowControl/>
              <w:suppressLineNumbers w:val="0"/>
              <w:jc w:val="left"/>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了解我国电子商务合同的基本法律规则；掌握电子商务合同的订立、内容、效力、认证等相关法律规则；熟悉电子商务合同的履行及违约责任等相关法律规则；了解跨境电子商务合同法律适用。重点：电子商务合同的订立；电子商务合同的内容；电子商务合同的履行方式；电子商务合同违约责任的免责事由。</w:t>
            </w:r>
          </w:p>
        </w:tc>
        <w:tc>
          <w:tcPr>
            <w:tcW w:w="3039" w:type="dxa"/>
            <w:vAlign w:val="center"/>
          </w:tcPr>
          <w:p w14:paraId="22D48DFB">
            <w:pPr>
              <w:keepNext w:val="0"/>
              <w:keepLines w:val="0"/>
              <w:widowControl/>
              <w:suppressLineNumbers w:val="0"/>
              <w:jc w:val="left"/>
              <w:rPr>
                <w:rFonts w:ascii="Times New Roman" w:hAnsi="Times New Roman" w:cs="Times New Roman"/>
                <w:color w:val="000000"/>
                <w:sz w:val="21"/>
                <w:szCs w:val="21"/>
                <w:lang w:val="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跨境电子商务买卖合同的成立、跨境电子商务买卖合同中买卖双方的义务；熟悉违反跨境电子商务买卖合同的救济措施和保全货物；了解跨境电子商务买卖合同中货物所有权及风险转移的规定。培养学生利用所学知识处理实际问题的能力。</w:t>
            </w:r>
          </w:p>
        </w:tc>
        <w:tc>
          <w:tcPr>
            <w:tcW w:w="1495" w:type="dxa"/>
            <w:vAlign w:val="center"/>
          </w:tcPr>
          <w:p w14:paraId="4F578DB4">
            <w:pPr>
              <w:keepNext w:val="0"/>
              <w:keepLines w:val="0"/>
              <w:widowControl/>
              <w:suppressLineNumbers w:val="0"/>
              <w:jc w:val="left"/>
              <w:rPr>
                <w:rFonts w:hint="default" w:ascii="Times New Roman" w:hAnsi="Times New Roman" w:eastAsia="宋体" w:cs="Times New Roman"/>
                <w:bCs/>
                <w:color w:val="000000"/>
                <w:sz w:val="21"/>
                <w:szCs w:val="21"/>
                <w:lang w:val="en-US" w:eastAsia="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电子商务合同的生效和认证；电子商务合同履行的时间和地点；跨境电子商务合同法律适用。</w:t>
            </w:r>
          </w:p>
        </w:tc>
      </w:tr>
      <w:tr w14:paraId="6EFEAB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722BDAA">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zh-CN"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 xml:space="preserve">第4章 </w:t>
            </w:r>
          </w:p>
        </w:tc>
        <w:tc>
          <w:tcPr>
            <w:tcW w:w="3056" w:type="dxa"/>
            <w:vAlign w:val="center"/>
          </w:tcPr>
          <w:p w14:paraId="4835094D">
            <w:pPr>
              <w:keepNext w:val="0"/>
              <w:keepLines w:val="0"/>
              <w:widowControl/>
              <w:suppressLineNumbers w:val="0"/>
              <w:jc w:val="left"/>
              <w:rPr>
                <w:rFonts w:hint="default" w:ascii="var(--dsw-font-markdown-table)" w:hAnsi="var(--dsw-font-markdown-table)" w:eastAsia="var(--dsw-font-markdown-table)" w:cs="var(--dsw-font-markdown-table)"/>
                <w:i w:val="0"/>
                <w:iCs w:val="0"/>
                <w:caps w:val="0"/>
                <w:color w:val="0F1115"/>
                <w:spacing w:val="0"/>
                <w:kern w:val="0"/>
                <w:sz w:val="24"/>
                <w:szCs w:val="24"/>
                <w:lang w:val="zh-CN"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了解我国跨境电子商务物流的含义及与传统物流的不同；掌握跨境货物运输的方式及相关法律规则；熟悉跨境电子商务海外仓建设的相关法律问题。重点：跨境电子商务物流的特点；中国人保海上货物运输保险合同条款；海外仓的主要模式及其利弊。</w:t>
            </w:r>
          </w:p>
        </w:tc>
        <w:tc>
          <w:tcPr>
            <w:tcW w:w="3039" w:type="dxa"/>
            <w:vAlign w:val="center"/>
          </w:tcPr>
          <w:p w14:paraId="35B2A24B">
            <w:pPr>
              <w:keepNext w:val="0"/>
              <w:keepLines w:val="0"/>
              <w:widowControl/>
              <w:suppressLineNumbers w:val="0"/>
              <w:jc w:val="left"/>
              <w:rPr>
                <w:rFonts w:ascii="Times New Roman" w:hAnsi="Times New Roman" w:cs="Times New Roman"/>
                <w:color w:val="000000"/>
                <w:sz w:val="21"/>
                <w:szCs w:val="21"/>
                <w:lang w:val="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掌握跨境电子商务物流法律相关内容；熟悉国际货物运输相关规则、违约及救济；了解海牙规则等相关内容。能够熟练运用所学规则分析判断实例中的违约情况，并能依据相关国际通行的规则进行救济。</w:t>
            </w:r>
          </w:p>
        </w:tc>
        <w:tc>
          <w:tcPr>
            <w:tcW w:w="1495" w:type="dxa"/>
            <w:vAlign w:val="center"/>
          </w:tcPr>
          <w:p w14:paraId="2108F07D">
            <w:pPr>
              <w:keepNext w:val="0"/>
              <w:keepLines w:val="0"/>
              <w:widowControl/>
              <w:suppressLineNumbers w:val="0"/>
              <w:jc w:val="left"/>
              <w:rPr>
                <w:rFonts w:hint="default" w:ascii="Times New Roman" w:hAnsi="Times New Roman" w:eastAsia="宋体" w:cs="Times New Roman"/>
                <w:bCs/>
                <w:color w:val="000000"/>
                <w:sz w:val="21"/>
                <w:szCs w:val="21"/>
                <w:lang w:val="en-US" w:eastAsia="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提单的概念和法律性质；国际多式联运合同。</w:t>
            </w:r>
          </w:p>
        </w:tc>
      </w:tr>
      <w:tr w14:paraId="0D4978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3B0DC606">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zh-CN"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 xml:space="preserve">第5章 </w:t>
            </w:r>
          </w:p>
        </w:tc>
        <w:tc>
          <w:tcPr>
            <w:tcW w:w="3056" w:type="dxa"/>
            <w:vAlign w:val="center"/>
          </w:tcPr>
          <w:p w14:paraId="21B7A103">
            <w:pPr>
              <w:keepNext w:val="0"/>
              <w:keepLines w:val="0"/>
              <w:widowControl/>
              <w:suppressLineNumbers w:val="0"/>
              <w:jc w:val="left"/>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掌握跨境支付的主要方式；掌握信用证支付的法律规则；了解跨境第三方支付的种类。重点：跨境支付平台的支付规则；速卖通和Wish平台的支付规则。</w:t>
            </w:r>
          </w:p>
        </w:tc>
        <w:tc>
          <w:tcPr>
            <w:tcW w:w="3039" w:type="dxa"/>
            <w:vAlign w:val="center"/>
          </w:tcPr>
          <w:p w14:paraId="1CA8C25D">
            <w:pPr>
              <w:keepNext w:val="0"/>
              <w:keepLines w:val="0"/>
              <w:widowControl/>
              <w:suppressLineNumbers w:val="0"/>
              <w:jc w:val="left"/>
              <w:rPr>
                <w:rFonts w:ascii="Times New Roman" w:hAnsi="Times New Roman" w:cs="Times New Roman"/>
                <w:color w:val="000000"/>
                <w:sz w:val="21"/>
                <w:szCs w:val="21"/>
                <w:lang w:val="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跨境支付的主要方式；熟悉信用证的法律规则；了解第三方支付的种类。能够根据相关支付规则，对跨境支付中的实际问题有一定的判定能力，并结合跨境支付平台的学习，对跨境支付有较为全面的认识。培养遵纪守法的法律意识、诚实守信的职业素质。</w:t>
            </w:r>
          </w:p>
        </w:tc>
        <w:tc>
          <w:tcPr>
            <w:tcW w:w="1495" w:type="dxa"/>
            <w:vAlign w:val="center"/>
          </w:tcPr>
          <w:p w14:paraId="403A07C9">
            <w:pPr>
              <w:keepNext w:val="0"/>
              <w:keepLines w:val="0"/>
              <w:widowControl/>
              <w:suppressLineNumbers w:val="0"/>
              <w:jc w:val="left"/>
              <w:rPr>
                <w:rFonts w:hint="default" w:ascii="Times New Roman" w:hAnsi="Times New Roman" w:eastAsia="宋体" w:cs="Times New Roman"/>
                <w:bCs/>
                <w:color w:val="000000"/>
                <w:sz w:val="21"/>
                <w:szCs w:val="21"/>
                <w:lang w:val="en-US" w:eastAsia="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信用证支付的基本规则。</w:t>
            </w:r>
          </w:p>
        </w:tc>
      </w:tr>
      <w:tr w14:paraId="5C709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56AAF3BC">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zh-CN"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 xml:space="preserve">第6章 </w:t>
            </w:r>
          </w:p>
        </w:tc>
        <w:tc>
          <w:tcPr>
            <w:tcW w:w="3056" w:type="dxa"/>
            <w:vAlign w:val="center"/>
          </w:tcPr>
          <w:p w14:paraId="383B754D">
            <w:pPr>
              <w:keepNext w:val="0"/>
              <w:keepLines w:val="0"/>
              <w:widowControl/>
              <w:suppressLineNumbers w:val="0"/>
              <w:jc w:val="left"/>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掌握跨境电子商务进出口货物报关流程；掌握我国对跨境电子商务贸易监管方式及规则；了解跨境电子商务税收规则。重点：跨界电子商务进出口报关流程；行邮税。</w:t>
            </w:r>
          </w:p>
        </w:tc>
        <w:tc>
          <w:tcPr>
            <w:tcW w:w="3039" w:type="dxa"/>
            <w:vAlign w:val="center"/>
          </w:tcPr>
          <w:p w14:paraId="1DD650E4">
            <w:pPr>
              <w:keepNext w:val="0"/>
              <w:keepLines w:val="0"/>
              <w:widowControl/>
              <w:suppressLineNumbers w:val="0"/>
              <w:jc w:val="left"/>
              <w:rPr>
                <w:rFonts w:ascii="Times New Roman" w:hAnsi="Times New Roman" w:cs="Times New Roman"/>
                <w:color w:val="000000"/>
                <w:sz w:val="21"/>
                <w:szCs w:val="21"/>
                <w:lang w:val="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跨境电子商务货物清关与贸易管制的概念、特征及与清关有关的基本用语；熟悉跨境电子商务货物清关与贸易管制的法律规则；了解有关基本理论和法律规定。对跨境电子商务货物清关与贸易管制的法律规则能够进行正确判断和深入理解，提高学习能力和分析能力。</w:t>
            </w:r>
          </w:p>
        </w:tc>
        <w:tc>
          <w:tcPr>
            <w:tcW w:w="1495" w:type="dxa"/>
            <w:vAlign w:val="center"/>
          </w:tcPr>
          <w:p w14:paraId="47A9E986">
            <w:pPr>
              <w:keepNext w:val="0"/>
              <w:keepLines w:val="0"/>
              <w:widowControl/>
              <w:suppressLineNumbers w:val="0"/>
              <w:jc w:val="left"/>
              <w:rPr>
                <w:rFonts w:hint="default" w:ascii="Times New Roman" w:hAnsi="Times New Roman" w:eastAsia="宋体" w:cs="Times New Roman"/>
                <w:bCs/>
                <w:color w:val="000000"/>
                <w:sz w:val="21"/>
                <w:szCs w:val="21"/>
                <w:lang w:val="en-US" w:eastAsia="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跨境电子商务进口及出口税收规则；跨境电子商务贸易监管代码及相关规则。</w:t>
            </w:r>
          </w:p>
        </w:tc>
      </w:tr>
      <w:tr w14:paraId="5993E3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598E9D5">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zh-CN"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 xml:space="preserve">第7章 </w:t>
            </w:r>
          </w:p>
        </w:tc>
        <w:tc>
          <w:tcPr>
            <w:tcW w:w="3056" w:type="dxa"/>
            <w:vAlign w:val="center"/>
          </w:tcPr>
          <w:p w14:paraId="71053700">
            <w:pPr>
              <w:keepNext w:val="0"/>
              <w:keepLines w:val="0"/>
              <w:widowControl/>
              <w:suppressLineNumbers w:val="0"/>
              <w:jc w:val="left"/>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了解我国跨境电子商务运营中的知识产权制度；掌握著作权、商标权和专利权的一般规则；熟悉著作权人、商标权人和专利权人的权利。重点：跨境电子商务活动中侵犯著作权的情形；跨境电子商务活动中侵犯商标权的情形；跨境电子商务活动中侵犯专利的情形。</w:t>
            </w:r>
          </w:p>
        </w:tc>
        <w:tc>
          <w:tcPr>
            <w:tcW w:w="3039" w:type="dxa"/>
            <w:vAlign w:val="center"/>
          </w:tcPr>
          <w:p w14:paraId="6E867330">
            <w:pPr>
              <w:keepNext w:val="0"/>
              <w:keepLines w:val="0"/>
              <w:widowControl/>
              <w:suppressLineNumbers w:val="0"/>
              <w:jc w:val="left"/>
              <w:rPr>
                <w:rFonts w:ascii="Times New Roman" w:hAnsi="Times New Roman" w:cs="Times New Roman"/>
                <w:color w:val="000000"/>
                <w:sz w:val="21"/>
                <w:szCs w:val="21"/>
                <w:lang w:val="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知识产权法的基本理论；熟悉跨境电子商务活动中侵犯知识产权的主要情形；了解我国在跨境电子商务活动中保护知识产权的主要规则。在掌握知识产权规则的基础上，能依据相关通行的国际知识产权规则，对我国跨境知识产权保护的方向有所了解。</w:t>
            </w:r>
          </w:p>
        </w:tc>
        <w:tc>
          <w:tcPr>
            <w:tcW w:w="1495" w:type="dxa"/>
            <w:vAlign w:val="center"/>
          </w:tcPr>
          <w:p w14:paraId="48D97615">
            <w:pPr>
              <w:keepNext w:val="0"/>
              <w:keepLines w:val="0"/>
              <w:widowControl/>
              <w:suppressLineNumbers w:val="0"/>
              <w:jc w:val="left"/>
              <w:rPr>
                <w:rFonts w:hint="default" w:ascii="Times New Roman" w:hAnsi="Times New Roman" w:eastAsia="宋体" w:cs="Times New Roman"/>
                <w:bCs/>
                <w:color w:val="000000"/>
                <w:sz w:val="21"/>
                <w:szCs w:val="21"/>
                <w:lang w:val="en-US" w:eastAsia="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跨境电子商务面临的知识产权困境；跨境电子商务知识产权侵权防范措施。</w:t>
            </w:r>
          </w:p>
        </w:tc>
      </w:tr>
      <w:tr w14:paraId="1F018A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9F0E160">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en-US"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 xml:space="preserve">第8章 </w:t>
            </w:r>
          </w:p>
        </w:tc>
        <w:tc>
          <w:tcPr>
            <w:tcW w:w="3056" w:type="dxa"/>
            <w:vAlign w:val="center"/>
          </w:tcPr>
          <w:p w14:paraId="2812F3F2">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en-US"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熟悉电子商务运营中的消费者权利保护法律规则；掌握电子商务运营中的不正当竞争法律规则；熟悉互联网广告相关法律规则。重点：电子商务消费者的权利；电子商务经营者的义务。</w:t>
            </w:r>
          </w:p>
        </w:tc>
        <w:tc>
          <w:tcPr>
            <w:tcW w:w="3039" w:type="dxa"/>
            <w:vAlign w:val="center"/>
          </w:tcPr>
          <w:p w14:paraId="7E885424">
            <w:pPr>
              <w:keepNext w:val="0"/>
              <w:keepLines w:val="0"/>
              <w:widowControl/>
              <w:suppressLineNumbers w:val="0"/>
              <w:jc w:val="left"/>
              <w:rPr>
                <w:rFonts w:hint="eastAsia" w:ascii="Times New Roman" w:hAnsi="Times New Roman" w:cs="Times New Roman"/>
                <w:color w:val="000000"/>
                <w:sz w:val="21"/>
                <w:szCs w:val="21"/>
                <w:lang w:val="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消费者权益保护的概念及法律规则；熟悉电子商务活动中不正当竞争的法规规则；了解和熟悉互联网广告的法律规则。在掌握消费者权益保护与市场监管规则和制度的基础上，运用相关知识维护消费者合法权益和企业合法权益的能力。</w:t>
            </w:r>
          </w:p>
        </w:tc>
        <w:tc>
          <w:tcPr>
            <w:tcW w:w="1495" w:type="dxa"/>
            <w:vAlign w:val="center"/>
          </w:tcPr>
          <w:p w14:paraId="768F5426">
            <w:pPr>
              <w:keepNext w:val="0"/>
              <w:keepLines w:val="0"/>
              <w:widowControl/>
              <w:suppressLineNumbers w:val="0"/>
              <w:jc w:val="left"/>
              <w:rPr>
                <w:rFonts w:hint="eastAsia" w:ascii="Times New Roman" w:hAnsi="Times New Roman" w:cs="Times New Roman"/>
                <w:bCs/>
                <w:color w:val="000000"/>
                <w:sz w:val="21"/>
                <w:szCs w:val="21"/>
                <w:lang w:val="en-US" w:eastAsia="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不正当竞争行为的主要类型；互联网广告内容及广告行为的相关法律规则。</w:t>
            </w:r>
          </w:p>
        </w:tc>
      </w:tr>
      <w:tr w14:paraId="469796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515124F7">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en-US"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 xml:space="preserve">第9章 </w:t>
            </w:r>
          </w:p>
        </w:tc>
        <w:tc>
          <w:tcPr>
            <w:tcW w:w="3056" w:type="dxa"/>
            <w:vAlign w:val="center"/>
          </w:tcPr>
          <w:p w14:paraId="774E6428">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en-US"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我国对个人信息保护的法律规则；掌握我国关于数据保护的法律规则；掌握跨境电子商务企业（平台）对于个人信息保护和数据保护的义务。重点：我国个人信息跨境提供的法律规则；跨境电子商务企业数据保护的法律规则。</w:t>
            </w:r>
          </w:p>
        </w:tc>
        <w:tc>
          <w:tcPr>
            <w:tcW w:w="3039" w:type="dxa"/>
            <w:vAlign w:val="center"/>
          </w:tcPr>
          <w:p w14:paraId="03B34104">
            <w:pPr>
              <w:keepNext w:val="0"/>
              <w:keepLines w:val="0"/>
              <w:widowControl/>
              <w:suppressLineNumbers w:val="0"/>
              <w:jc w:val="left"/>
              <w:rPr>
                <w:rFonts w:hint="eastAsia" w:ascii="Times New Roman" w:hAnsi="Times New Roman" w:cs="Times New Roman"/>
                <w:color w:val="000000"/>
                <w:sz w:val="21"/>
                <w:szCs w:val="21"/>
                <w:lang w:val="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个人信息保护的概念及法律规则；熟悉跨境电子商务活动中数据安全的法规规则；了解和熟悉跨境电子商务企业对于个人信息保护和数据安全的法律规则。在掌握个人信息保护和数据安全监管规则和制度的基础上，运用相关知识维护跨境电子商务企业合法权益的能力。</w:t>
            </w:r>
          </w:p>
        </w:tc>
        <w:tc>
          <w:tcPr>
            <w:tcW w:w="1495" w:type="dxa"/>
            <w:vAlign w:val="center"/>
          </w:tcPr>
          <w:p w14:paraId="5A99900D">
            <w:pPr>
              <w:keepNext w:val="0"/>
              <w:keepLines w:val="0"/>
              <w:widowControl/>
              <w:suppressLineNumbers w:val="0"/>
              <w:jc w:val="left"/>
              <w:rPr>
                <w:rFonts w:hint="eastAsia" w:ascii="Times New Roman" w:hAnsi="Times New Roman" w:cs="Times New Roman"/>
                <w:bCs/>
                <w:color w:val="000000"/>
                <w:sz w:val="21"/>
                <w:szCs w:val="21"/>
                <w:lang w:val="en-US" w:eastAsia="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跨境数据提供的保护规则。</w:t>
            </w:r>
          </w:p>
        </w:tc>
      </w:tr>
      <w:tr w14:paraId="1DB148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3F3C159D">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en-US"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 xml:space="preserve">第10章 </w:t>
            </w:r>
          </w:p>
        </w:tc>
        <w:tc>
          <w:tcPr>
            <w:tcW w:w="3056" w:type="dxa"/>
            <w:vAlign w:val="center"/>
          </w:tcPr>
          <w:p w14:paraId="740C51C7">
            <w:pPr>
              <w:keepNext w:val="0"/>
              <w:keepLines w:val="0"/>
              <w:widowControl/>
              <w:suppressLineNumbers w:val="0"/>
              <w:jc w:val="left"/>
              <w:rPr>
                <w:rFonts w:hint="eastAsia" w:ascii="var(--dsw-font-markdown-table)" w:hAnsi="var(--dsw-font-markdown-table)" w:eastAsia="var(--dsw-font-markdown-table)" w:cs="var(--dsw-font-markdown-table)"/>
                <w:i w:val="0"/>
                <w:iCs w:val="0"/>
                <w:caps w:val="0"/>
                <w:color w:val="0F1115"/>
                <w:spacing w:val="0"/>
                <w:kern w:val="0"/>
                <w:sz w:val="24"/>
                <w:szCs w:val="24"/>
                <w:lang w:val="en-US" w:eastAsia="zh-CN" w:bidi="ar"/>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了解我国跨境电子商务经营中纠纷解决的途径；掌握国际商事仲裁的基本内容；熟悉涉外商事诉讼的相关法律法规。重点：跨境电子商务纠纷解决的途径；国际商事仲裁协议的内容与效力；国际商事仲裁裁决的承认与执行。</w:t>
            </w:r>
          </w:p>
        </w:tc>
        <w:tc>
          <w:tcPr>
            <w:tcW w:w="3039" w:type="dxa"/>
            <w:vAlign w:val="center"/>
          </w:tcPr>
          <w:p w14:paraId="4B37AE4A">
            <w:pPr>
              <w:keepNext w:val="0"/>
              <w:keepLines w:val="0"/>
              <w:widowControl/>
              <w:suppressLineNumbers w:val="0"/>
              <w:jc w:val="left"/>
              <w:rPr>
                <w:rFonts w:hint="eastAsia" w:ascii="Times New Roman" w:hAnsi="Times New Roman" w:cs="Times New Roman"/>
                <w:color w:val="000000"/>
                <w:sz w:val="21"/>
                <w:szCs w:val="21"/>
                <w:lang w:val="zh-CN"/>
              </w:rPr>
            </w:pPr>
            <w:r>
              <w:rPr>
                <w:rFonts w:hint="default" w:ascii="var(--dsw-font-markdown-table)" w:hAnsi="var(--dsw-font-markdown-table)" w:eastAsia="var(--dsw-font-markdown-table)" w:cs="var(--dsw-font-markdown-table)"/>
                <w:i w:val="0"/>
                <w:iCs w:val="0"/>
                <w:caps w:val="0"/>
                <w:color w:val="0F1115"/>
                <w:spacing w:val="0"/>
                <w:kern w:val="0"/>
                <w:sz w:val="24"/>
                <w:szCs w:val="24"/>
                <w:lang w:val="en-US" w:eastAsia="zh-CN" w:bidi="ar"/>
              </w:rPr>
              <w:t>掌握跨境电子商务纠纷解决的概念及法律规则；熟悉国际商事仲裁的法规规则；了解和熟悉涉外商事诉讼的法律规则。在掌握跨境电子商务纠纷解决规则的基础上，运用相关知识维护企业合法权益的能力。</w:t>
            </w:r>
          </w:p>
        </w:tc>
        <w:tc>
          <w:tcPr>
            <w:tcW w:w="1495" w:type="dxa"/>
            <w:vAlign w:val="center"/>
          </w:tcPr>
          <w:p w14:paraId="60AAC20B">
            <w:pPr>
              <w:rPr>
                <w:rFonts w:hint="eastAsia" w:ascii="Times New Roman" w:hAnsi="Times New Roman" w:cs="Times New Roman"/>
                <w:bCs/>
                <w:color w:val="000000"/>
                <w:sz w:val="21"/>
                <w:szCs w:val="21"/>
                <w:lang w:val="en-US" w:eastAsia="zh-CN"/>
              </w:rPr>
            </w:pPr>
            <w:r>
              <w:rPr>
                <w:rFonts w:hint="eastAsia" w:ascii="Times New Roman" w:hAnsi="Times New Roman" w:cs="Times New Roman"/>
                <w:bCs/>
                <w:color w:val="000000"/>
                <w:sz w:val="21"/>
                <w:szCs w:val="21"/>
                <w:lang w:val="en-US" w:eastAsia="zh-CN"/>
              </w:rPr>
              <w:t>涉外商事诉讼的管辖权，跨境电子商务在线争议解决（ODR）。</w:t>
            </w:r>
          </w:p>
        </w:tc>
      </w:tr>
    </w:tbl>
    <w:p w14:paraId="124BCDE9">
      <w:pPr>
        <w:pStyle w:val="17"/>
        <w:spacing w:before="81" w:after="163"/>
      </w:pPr>
    </w:p>
    <w:p w14:paraId="3BF6F625">
      <w:pPr>
        <w:pStyle w:val="17"/>
        <w:numPr>
          <w:ilvl w:val="0"/>
          <w:numId w:val="2"/>
        </w:numPr>
        <w:spacing w:before="81" w:after="163"/>
        <w:rPr>
          <w:rFonts w:hint="eastAsia"/>
        </w:rPr>
      </w:pPr>
      <w:r>
        <w:rPr>
          <w:rFonts w:hint="eastAsia"/>
        </w:rPr>
        <w:t>教学单元对课程目标的支撑关系</w:t>
      </w:r>
    </w:p>
    <w:tbl>
      <w:tblPr>
        <w:tblStyle w:val="7"/>
        <w:tblW w:w="42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3934"/>
        <w:gridCol w:w="762"/>
        <w:gridCol w:w="762"/>
        <w:gridCol w:w="796"/>
        <w:gridCol w:w="796"/>
      </w:tblGrid>
      <w:tr w14:paraId="25B6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4019" w:type="dxa"/>
            <w:tcBorders>
              <w:top w:val="single" w:color="auto" w:sz="12" w:space="0"/>
              <w:left w:val="single" w:color="auto" w:sz="12" w:space="0"/>
              <w:tl2br w:val="single" w:color="auto" w:sz="4" w:space="0"/>
            </w:tcBorders>
          </w:tcPr>
          <w:p w14:paraId="7BC80C47">
            <w:pPr>
              <w:pStyle w:val="13"/>
              <w:ind w:firstLine="489"/>
              <w:jc w:val="right"/>
              <w:rPr>
                <w:szCs w:val="16"/>
              </w:rPr>
            </w:pPr>
            <w:r>
              <w:rPr>
                <w:rFonts w:hint="eastAsia"/>
                <w:szCs w:val="16"/>
              </w:rPr>
              <w:t>课程目标</w:t>
            </w:r>
          </w:p>
          <w:p w14:paraId="448BF7AE">
            <w:pPr>
              <w:pStyle w:val="13"/>
              <w:ind w:right="210"/>
              <w:jc w:val="left"/>
              <w:rPr>
                <w:szCs w:val="16"/>
              </w:rPr>
            </w:pPr>
          </w:p>
          <w:p w14:paraId="48A999AA">
            <w:pPr>
              <w:pStyle w:val="13"/>
              <w:ind w:right="210"/>
              <w:jc w:val="left"/>
              <w:rPr>
                <w:szCs w:val="16"/>
              </w:rPr>
            </w:pPr>
            <w:r>
              <w:rPr>
                <w:rFonts w:hint="eastAsia"/>
                <w:szCs w:val="16"/>
              </w:rPr>
              <w:t>教学单元</w:t>
            </w:r>
          </w:p>
        </w:tc>
        <w:tc>
          <w:tcPr>
            <w:tcW w:w="779" w:type="dxa"/>
            <w:tcBorders>
              <w:top w:val="single" w:color="auto" w:sz="12" w:space="0"/>
            </w:tcBorders>
            <w:vAlign w:val="center"/>
          </w:tcPr>
          <w:p w14:paraId="2D78E53A">
            <w:pPr>
              <w:pStyle w:val="13"/>
              <w:rPr>
                <w:rFonts w:ascii="黑体" w:hAnsi="黑体" w:cs="Times New Roman"/>
                <w:szCs w:val="16"/>
              </w:rPr>
            </w:pPr>
            <w:r>
              <w:rPr>
                <w:rFonts w:ascii="黑体" w:hAnsi="黑体" w:cs="Times New Roman"/>
                <w:szCs w:val="16"/>
              </w:rPr>
              <w:t>1</w:t>
            </w:r>
          </w:p>
        </w:tc>
        <w:tc>
          <w:tcPr>
            <w:tcW w:w="779" w:type="dxa"/>
            <w:tcBorders>
              <w:top w:val="single" w:color="auto" w:sz="12" w:space="0"/>
            </w:tcBorders>
            <w:vAlign w:val="center"/>
          </w:tcPr>
          <w:p w14:paraId="11FEAD14">
            <w:pPr>
              <w:pStyle w:val="13"/>
              <w:rPr>
                <w:rFonts w:ascii="黑体" w:hAnsi="黑体" w:cs="Times New Roman"/>
                <w:szCs w:val="16"/>
              </w:rPr>
            </w:pPr>
            <w:r>
              <w:rPr>
                <w:rFonts w:ascii="黑体" w:hAnsi="黑体" w:cs="Times New Roman"/>
                <w:szCs w:val="16"/>
              </w:rPr>
              <w:t>2</w:t>
            </w:r>
          </w:p>
        </w:tc>
        <w:tc>
          <w:tcPr>
            <w:tcW w:w="813" w:type="dxa"/>
            <w:tcBorders>
              <w:top w:val="single" w:color="auto" w:sz="12" w:space="0"/>
            </w:tcBorders>
            <w:vAlign w:val="center"/>
          </w:tcPr>
          <w:p w14:paraId="724284EC">
            <w:pPr>
              <w:pStyle w:val="13"/>
              <w:rPr>
                <w:rFonts w:ascii="黑体" w:hAnsi="黑体" w:cs="Times New Roman"/>
                <w:szCs w:val="16"/>
              </w:rPr>
            </w:pPr>
            <w:r>
              <w:rPr>
                <w:rFonts w:ascii="黑体" w:hAnsi="黑体" w:cs="Times New Roman"/>
                <w:szCs w:val="16"/>
              </w:rPr>
              <w:t>3</w:t>
            </w:r>
          </w:p>
        </w:tc>
        <w:tc>
          <w:tcPr>
            <w:tcW w:w="813" w:type="dxa"/>
            <w:tcBorders>
              <w:top w:val="single" w:color="auto" w:sz="12" w:space="0"/>
            </w:tcBorders>
            <w:vAlign w:val="center"/>
          </w:tcPr>
          <w:p w14:paraId="0530FBC2">
            <w:pPr>
              <w:pStyle w:val="13"/>
              <w:rPr>
                <w:rFonts w:hint="eastAsia" w:ascii="黑体" w:hAnsi="黑体" w:eastAsia="黑体" w:cs="Times New Roman"/>
                <w:szCs w:val="16"/>
                <w:lang w:val="en-US" w:eastAsia="zh-CN"/>
              </w:rPr>
            </w:pPr>
            <w:r>
              <w:rPr>
                <w:rFonts w:hint="eastAsia" w:ascii="黑体" w:hAnsi="黑体" w:cs="Times New Roman"/>
                <w:szCs w:val="16"/>
                <w:lang w:val="en-US" w:eastAsia="zh-CN"/>
              </w:rPr>
              <w:t>4</w:t>
            </w:r>
          </w:p>
        </w:tc>
      </w:tr>
      <w:tr w14:paraId="47B9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019" w:type="dxa"/>
            <w:tcBorders>
              <w:left w:val="single" w:color="auto" w:sz="12" w:space="0"/>
              <w:bottom w:val="single" w:color="auto" w:sz="4" w:space="0"/>
            </w:tcBorders>
            <w:vAlign w:val="center"/>
          </w:tcPr>
          <w:p w14:paraId="2BDAF1D1">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Unit 1</w:t>
            </w:r>
          </w:p>
        </w:tc>
        <w:tc>
          <w:tcPr>
            <w:tcW w:w="779" w:type="dxa"/>
            <w:tcBorders>
              <w:bottom w:val="single" w:color="auto" w:sz="4" w:space="0"/>
            </w:tcBorders>
            <w:vAlign w:val="center"/>
          </w:tcPr>
          <w:p w14:paraId="2278AC22">
            <w:pPr>
              <w:pStyle w:val="14"/>
              <w:rPr>
                <w:rFonts w:cs="Times New Roman"/>
              </w:rPr>
            </w:pPr>
            <w:r>
              <w:rPr>
                <w:rFonts w:hint="eastAsia" w:cs="Times New Roman"/>
              </w:rPr>
              <w:t>√</w:t>
            </w:r>
          </w:p>
        </w:tc>
        <w:tc>
          <w:tcPr>
            <w:tcW w:w="779" w:type="dxa"/>
            <w:tcBorders>
              <w:bottom w:val="single" w:color="auto" w:sz="4" w:space="0"/>
            </w:tcBorders>
            <w:vAlign w:val="center"/>
          </w:tcPr>
          <w:p w14:paraId="0A706581">
            <w:pPr>
              <w:pStyle w:val="14"/>
              <w:rPr>
                <w:rFonts w:cs="Times New Roman"/>
              </w:rPr>
            </w:pPr>
            <w:r>
              <w:rPr>
                <w:rFonts w:hint="eastAsia" w:cs="Times New Roman"/>
              </w:rPr>
              <w:t>√</w:t>
            </w:r>
          </w:p>
        </w:tc>
        <w:tc>
          <w:tcPr>
            <w:tcW w:w="813" w:type="dxa"/>
            <w:tcBorders>
              <w:bottom w:val="single" w:color="auto" w:sz="4" w:space="0"/>
            </w:tcBorders>
            <w:vAlign w:val="center"/>
          </w:tcPr>
          <w:p w14:paraId="14F2AE7A">
            <w:pPr>
              <w:pStyle w:val="14"/>
              <w:rPr>
                <w:rFonts w:cs="Times New Roman"/>
              </w:rPr>
            </w:pPr>
            <w:r>
              <w:rPr>
                <w:rFonts w:hint="eastAsia" w:cs="Times New Roman"/>
              </w:rPr>
              <w:t>√</w:t>
            </w:r>
          </w:p>
        </w:tc>
        <w:tc>
          <w:tcPr>
            <w:tcW w:w="813" w:type="dxa"/>
            <w:tcBorders>
              <w:bottom w:val="single" w:color="auto" w:sz="4" w:space="0"/>
            </w:tcBorders>
            <w:shd w:val="clear" w:color="auto" w:fill="auto"/>
            <w:vAlign w:val="center"/>
          </w:tcPr>
          <w:p w14:paraId="5BBE0369">
            <w:pPr>
              <w:pStyle w:val="14"/>
              <w:rPr>
                <w:rFonts w:hint="eastAsia" w:ascii="Times New Roman" w:hAnsi="Times New Roman" w:eastAsia="宋体" w:cs="Times New Roman"/>
                <w:color w:val="000000"/>
                <w:sz w:val="21"/>
                <w:szCs w:val="21"/>
                <w:lang w:val="en-US" w:eastAsia="zh-CN" w:bidi="ar-SA"/>
              </w:rPr>
            </w:pPr>
            <w:r>
              <w:rPr>
                <w:rFonts w:hint="eastAsia" w:cs="Times New Roman"/>
              </w:rPr>
              <w:t>√</w:t>
            </w:r>
          </w:p>
        </w:tc>
      </w:tr>
      <w:tr w14:paraId="6513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019" w:type="dxa"/>
            <w:tcBorders>
              <w:left w:val="single" w:color="auto" w:sz="12" w:space="0"/>
              <w:bottom w:val="single" w:color="auto" w:sz="4" w:space="0"/>
            </w:tcBorders>
            <w:vAlign w:val="center"/>
          </w:tcPr>
          <w:p w14:paraId="1CF93C3D">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2 </w:t>
            </w:r>
          </w:p>
        </w:tc>
        <w:tc>
          <w:tcPr>
            <w:tcW w:w="779" w:type="dxa"/>
            <w:tcBorders>
              <w:bottom w:val="single" w:color="auto" w:sz="4" w:space="0"/>
            </w:tcBorders>
            <w:vAlign w:val="center"/>
          </w:tcPr>
          <w:p w14:paraId="10639781">
            <w:pPr>
              <w:pStyle w:val="14"/>
              <w:rPr>
                <w:rFonts w:cs="Times New Roman"/>
              </w:rPr>
            </w:pPr>
            <w:r>
              <w:rPr>
                <w:rFonts w:hint="eastAsia" w:cs="Times New Roman"/>
              </w:rPr>
              <w:t>√</w:t>
            </w:r>
          </w:p>
        </w:tc>
        <w:tc>
          <w:tcPr>
            <w:tcW w:w="779" w:type="dxa"/>
            <w:tcBorders>
              <w:bottom w:val="single" w:color="auto" w:sz="4" w:space="0"/>
            </w:tcBorders>
            <w:vAlign w:val="center"/>
          </w:tcPr>
          <w:p w14:paraId="57B7E284">
            <w:pPr>
              <w:pStyle w:val="14"/>
              <w:rPr>
                <w:rFonts w:cs="Times New Roman"/>
              </w:rPr>
            </w:pPr>
            <w:r>
              <w:rPr>
                <w:rFonts w:hint="eastAsia" w:cs="Times New Roman"/>
              </w:rPr>
              <w:t>√</w:t>
            </w:r>
          </w:p>
        </w:tc>
        <w:tc>
          <w:tcPr>
            <w:tcW w:w="813" w:type="dxa"/>
            <w:tcBorders>
              <w:bottom w:val="single" w:color="auto" w:sz="4" w:space="0"/>
            </w:tcBorders>
            <w:vAlign w:val="center"/>
          </w:tcPr>
          <w:p w14:paraId="4479B3B3">
            <w:pPr>
              <w:pStyle w:val="14"/>
              <w:rPr>
                <w:rFonts w:cs="Times New Roman"/>
              </w:rPr>
            </w:pPr>
            <w:r>
              <w:rPr>
                <w:rFonts w:hint="eastAsia" w:cs="Times New Roman"/>
              </w:rPr>
              <w:t>√</w:t>
            </w:r>
          </w:p>
        </w:tc>
        <w:tc>
          <w:tcPr>
            <w:tcW w:w="813" w:type="dxa"/>
            <w:tcBorders>
              <w:bottom w:val="single" w:color="auto" w:sz="4" w:space="0"/>
            </w:tcBorders>
            <w:shd w:val="clear" w:color="auto" w:fill="auto"/>
            <w:vAlign w:val="center"/>
          </w:tcPr>
          <w:p w14:paraId="2FC5300A">
            <w:pPr>
              <w:pStyle w:val="14"/>
              <w:rPr>
                <w:rFonts w:hint="eastAsia" w:ascii="Times New Roman" w:hAnsi="Times New Roman" w:eastAsia="宋体" w:cs="Times New Roman"/>
                <w:color w:val="000000"/>
                <w:sz w:val="21"/>
                <w:szCs w:val="21"/>
                <w:lang w:val="en-US" w:eastAsia="zh-CN" w:bidi="ar-SA"/>
              </w:rPr>
            </w:pPr>
            <w:r>
              <w:rPr>
                <w:rFonts w:hint="eastAsia" w:cs="Times New Roman"/>
              </w:rPr>
              <w:t>√</w:t>
            </w:r>
          </w:p>
        </w:tc>
      </w:tr>
      <w:tr w14:paraId="4612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019" w:type="dxa"/>
            <w:tcBorders>
              <w:left w:val="single" w:color="auto" w:sz="12" w:space="0"/>
              <w:bottom w:val="single" w:color="auto" w:sz="4" w:space="0"/>
            </w:tcBorders>
            <w:vAlign w:val="center"/>
          </w:tcPr>
          <w:p w14:paraId="7E6CFD44">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Unit 3</w:t>
            </w:r>
            <w:r>
              <w:rPr>
                <w:rFonts w:hint="eastAsia" w:ascii="Times New Roman" w:hAnsi="Times New Roman" w:cs="Times New Roman" w:eastAsiaTheme="minorEastAsia"/>
                <w:sz w:val="21"/>
                <w:szCs w:val="21"/>
                <w:lang w:val="en-US" w:eastAsia="zh-CN"/>
              </w:rPr>
              <w:t xml:space="preserve"> </w:t>
            </w:r>
          </w:p>
        </w:tc>
        <w:tc>
          <w:tcPr>
            <w:tcW w:w="779" w:type="dxa"/>
            <w:tcBorders>
              <w:bottom w:val="single" w:color="auto" w:sz="4" w:space="0"/>
            </w:tcBorders>
            <w:vAlign w:val="center"/>
          </w:tcPr>
          <w:p w14:paraId="4BCDAA0B">
            <w:pPr>
              <w:pStyle w:val="14"/>
              <w:rPr>
                <w:rFonts w:cs="Times New Roman"/>
              </w:rPr>
            </w:pPr>
            <w:r>
              <w:rPr>
                <w:rFonts w:hint="eastAsia" w:cs="Times New Roman"/>
              </w:rPr>
              <w:t>√</w:t>
            </w:r>
          </w:p>
        </w:tc>
        <w:tc>
          <w:tcPr>
            <w:tcW w:w="779" w:type="dxa"/>
            <w:tcBorders>
              <w:bottom w:val="single" w:color="auto" w:sz="4" w:space="0"/>
            </w:tcBorders>
            <w:vAlign w:val="center"/>
          </w:tcPr>
          <w:p w14:paraId="2C013E64">
            <w:pPr>
              <w:pStyle w:val="14"/>
              <w:rPr>
                <w:rFonts w:cs="Times New Roman"/>
              </w:rPr>
            </w:pPr>
            <w:r>
              <w:rPr>
                <w:rFonts w:hint="eastAsia" w:cs="Times New Roman"/>
              </w:rPr>
              <w:t>√</w:t>
            </w:r>
          </w:p>
        </w:tc>
        <w:tc>
          <w:tcPr>
            <w:tcW w:w="813" w:type="dxa"/>
            <w:tcBorders>
              <w:bottom w:val="single" w:color="auto" w:sz="4" w:space="0"/>
            </w:tcBorders>
            <w:vAlign w:val="center"/>
          </w:tcPr>
          <w:p w14:paraId="46C3465D">
            <w:pPr>
              <w:pStyle w:val="14"/>
              <w:rPr>
                <w:rFonts w:cs="Times New Roman"/>
              </w:rPr>
            </w:pPr>
            <w:r>
              <w:rPr>
                <w:rFonts w:hint="eastAsia" w:cs="Times New Roman"/>
              </w:rPr>
              <w:t>√</w:t>
            </w:r>
          </w:p>
        </w:tc>
        <w:tc>
          <w:tcPr>
            <w:tcW w:w="813" w:type="dxa"/>
            <w:tcBorders>
              <w:bottom w:val="single" w:color="auto" w:sz="4" w:space="0"/>
            </w:tcBorders>
            <w:shd w:val="clear" w:color="auto" w:fill="auto"/>
            <w:vAlign w:val="center"/>
          </w:tcPr>
          <w:p w14:paraId="739F58CC">
            <w:pPr>
              <w:pStyle w:val="14"/>
              <w:rPr>
                <w:rFonts w:hint="eastAsia" w:ascii="Times New Roman" w:hAnsi="Times New Roman" w:eastAsia="宋体" w:cs="Times New Roman"/>
                <w:color w:val="000000"/>
                <w:sz w:val="21"/>
                <w:szCs w:val="21"/>
                <w:lang w:val="en-US" w:eastAsia="zh-CN" w:bidi="ar-SA"/>
              </w:rPr>
            </w:pPr>
            <w:r>
              <w:rPr>
                <w:rFonts w:hint="eastAsia" w:cs="Times New Roman"/>
              </w:rPr>
              <w:t>√</w:t>
            </w:r>
          </w:p>
        </w:tc>
      </w:tr>
      <w:tr w14:paraId="69D0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019" w:type="dxa"/>
            <w:tcBorders>
              <w:left w:val="single" w:color="auto" w:sz="12" w:space="0"/>
              <w:bottom w:val="single" w:color="auto" w:sz="4" w:space="0"/>
            </w:tcBorders>
            <w:vAlign w:val="center"/>
          </w:tcPr>
          <w:p w14:paraId="40032428">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4 </w:t>
            </w:r>
          </w:p>
        </w:tc>
        <w:tc>
          <w:tcPr>
            <w:tcW w:w="779" w:type="dxa"/>
            <w:tcBorders>
              <w:bottom w:val="single" w:color="auto" w:sz="4" w:space="0"/>
            </w:tcBorders>
            <w:vAlign w:val="center"/>
          </w:tcPr>
          <w:p w14:paraId="1BE3CF0B">
            <w:pPr>
              <w:pStyle w:val="14"/>
              <w:rPr>
                <w:rFonts w:cs="Times New Roman"/>
              </w:rPr>
            </w:pPr>
            <w:r>
              <w:rPr>
                <w:rFonts w:hint="eastAsia" w:cs="Times New Roman"/>
              </w:rPr>
              <w:t>√</w:t>
            </w:r>
          </w:p>
        </w:tc>
        <w:tc>
          <w:tcPr>
            <w:tcW w:w="779" w:type="dxa"/>
            <w:tcBorders>
              <w:bottom w:val="single" w:color="auto" w:sz="4" w:space="0"/>
            </w:tcBorders>
            <w:vAlign w:val="center"/>
          </w:tcPr>
          <w:p w14:paraId="0D8A8B80">
            <w:pPr>
              <w:pStyle w:val="14"/>
              <w:rPr>
                <w:rFonts w:cs="Times New Roman"/>
              </w:rPr>
            </w:pPr>
            <w:r>
              <w:rPr>
                <w:rFonts w:hint="eastAsia" w:cs="Times New Roman"/>
              </w:rPr>
              <w:t>√</w:t>
            </w:r>
          </w:p>
        </w:tc>
        <w:tc>
          <w:tcPr>
            <w:tcW w:w="813" w:type="dxa"/>
            <w:tcBorders>
              <w:bottom w:val="single" w:color="auto" w:sz="4" w:space="0"/>
            </w:tcBorders>
            <w:vAlign w:val="center"/>
          </w:tcPr>
          <w:p w14:paraId="17167150">
            <w:pPr>
              <w:pStyle w:val="14"/>
              <w:rPr>
                <w:rFonts w:cs="Times New Roman"/>
              </w:rPr>
            </w:pPr>
            <w:r>
              <w:rPr>
                <w:rFonts w:hint="eastAsia" w:cs="Times New Roman"/>
              </w:rPr>
              <w:t>√</w:t>
            </w:r>
          </w:p>
        </w:tc>
        <w:tc>
          <w:tcPr>
            <w:tcW w:w="813" w:type="dxa"/>
            <w:tcBorders>
              <w:bottom w:val="single" w:color="auto" w:sz="4" w:space="0"/>
            </w:tcBorders>
            <w:shd w:val="clear" w:color="auto" w:fill="auto"/>
            <w:vAlign w:val="center"/>
          </w:tcPr>
          <w:p w14:paraId="274B0036">
            <w:pPr>
              <w:pStyle w:val="14"/>
              <w:rPr>
                <w:rFonts w:hint="eastAsia" w:ascii="Times New Roman" w:hAnsi="Times New Roman" w:eastAsia="宋体" w:cs="Times New Roman"/>
                <w:color w:val="000000"/>
                <w:sz w:val="21"/>
                <w:szCs w:val="21"/>
                <w:lang w:val="en-US" w:eastAsia="zh-CN" w:bidi="ar-SA"/>
              </w:rPr>
            </w:pPr>
            <w:r>
              <w:rPr>
                <w:rFonts w:hint="eastAsia" w:cs="Times New Roman"/>
              </w:rPr>
              <w:t>√</w:t>
            </w:r>
          </w:p>
        </w:tc>
      </w:tr>
      <w:tr w14:paraId="67AF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019" w:type="dxa"/>
            <w:tcBorders>
              <w:left w:val="single" w:color="auto" w:sz="12" w:space="0"/>
              <w:bottom w:val="single" w:color="auto" w:sz="4" w:space="0"/>
            </w:tcBorders>
            <w:vAlign w:val="center"/>
          </w:tcPr>
          <w:p w14:paraId="7941D5BE">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5 </w:t>
            </w:r>
          </w:p>
        </w:tc>
        <w:tc>
          <w:tcPr>
            <w:tcW w:w="779" w:type="dxa"/>
            <w:tcBorders>
              <w:bottom w:val="single" w:color="auto" w:sz="4" w:space="0"/>
            </w:tcBorders>
            <w:vAlign w:val="center"/>
          </w:tcPr>
          <w:p w14:paraId="374C4E0E">
            <w:pPr>
              <w:pStyle w:val="14"/>
              <w:rPr>
                <w:rFonts w:cs="Times New Roman"/>
              </w:rPr>
            </w:pPr>
            <w:r>
              <w:rPr>
                <w:rFonts w:hint="eastAsia" w:cs="Times New Roman"/>
              </w:rPr>
              <w:t>√</w:t>
            </w:r>
          </w:p>
        </w:tc>
        <w:tc>
          <w:tcPr>
            <w:tcW w:w="779" w:type="dxa"/>
            <w:tcBorders>
              <w:bottom w:val="single" w:color="auto" w:sz="4" w:space="0"/>
            </w:tcBorders>
            <w:vAlign w:val="center"/>
          </w:tcPr>
          <w:p w14:paraId="055B4256">
            <w:pPr>
              <w:pStyle w:val="14"/>
              <w:rPr>
                <w:rFonts w:cs="Times New Roman"/>
              </w:rPr>
            </w:pPr>
            <w:r>
              <w:rPr>
                <w:rFonts w:hint="eastAsia" w:cs="Times New Roman"/>
              </w:rPr>
              <w:t>√</w:t>
            </w:r>
          </w:p>
        </w:tc>
        <w:tc>
          <w:tcPr>
            <w:tcW w:w="813" w:type="dxa"/>
            <w:tcBorders>
              <w:bottom w:val="single" w:color="auto" w:sz="4" w:space="0"/>
            </w:tcBorders>
            <w:vAlign w:val="center"/>
          </w:tcPr>
          <w:p w14:paraId="190C8927">
            <w:pPr>
              <w:pStyle w:val="14"/>
              <w:rPr>
                <w:rFonts w:cs="Times New Roman"/>
              </w:rPr>
            </w:pPr>
            <w:r>
              <w:rPr>
                <w:rFonts w:hint="eastAsia" w:cs="Times New Roman"/>
              </w:rPr>
              <w:t>√</w:t>
            </w:r>
          </w:p>
        </w:tc>
        <w:tc>
          <w:tcPr>
            <w:tcW w:w="813" w:type="dxa"/>
            <w:tcBorders>
              <w:bottom w:val="single" w:color="auto" w:sz="4" w:space="0"/>
            </w:tcBorders>
            <w:shd w:val="clear" w:color="auto" w:fill="auto"/>
            <w:vAlign w:val="center"/>
          </w:tcPr>
          <w:p w14:paraId="50D7D450">
            <w:pPr>
              <w:pStyle w:val="14"/>
              <w:rPr>
                <w:rFonts w:hint="eastAsia" w:ascii="Times New Roman" w:hAnsi="Times New Roman" w:eastAsia="宋体" w:cs="Times New Roman"/>
                <w:color w:val="000000"/>
                <w:sz w:val="21"/>
                <w:szCs w:val="21"/>
                <w:lang w:val="en-US" w:eastAsia="zh-CN" w:bidi="ar-SA"/>
              </w:rPr>
            </w:pPr>
            <w:r>
              <w:rPr>
                <w:rFonts w:hint="eastAsia" w:cs="Times New Roman"/>
              </w:rPr>
              <w:t>√</w:t>
            </w:r>
          </w:p>
        </w:tc>
      </w:tr>
      <w:tr w14:paraId="7C94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019" w:type="dxa"/>
            <w:tcBorders>
              <w:left w:val="single" w:color="auto" w:sz="12" w:space="0"/>
              <w:bottom w:val="single" w:color="auto" w:sz="4" w:space="0"/>
            </w:tcBorders>
            <w:vAlign w:val="center"/>
          </w:tcPr>
          <w:p w14:paraId="7A26DDE1">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6 </w:t>
            </w:r>
            <w:r>
              <w:rPr>
                <w:rFonts w:hint="eastAsia" w:ascii="Times New Roman" w:hAnsi="Times New Roman" w:cs="Times New Roman" w:eastAsiaTheme="minorEastAsia"/>
                <w:sz w:val="21"/>
                <w:szCs w:val="21"/>
              </w:rPr>
              <w:t xml:space="preserve"> </w:t>
            </w:r>
          </w:p>
        </w:tc>
        <w:tc>
          <w:tcPr>
            <w:tcW w:w="779" w:type="dxa"/>
            <w:tcBorders>
              <w:bottom w:val="single" w:color="auto" w:sz="4" w:space="0"/>
            </w:tcBorders>
            <w:vAlign w:val="center"/>
          </w:tcPr>
          <w:p w14:paraId="4CFCA9CC">
            <w:pPr>
              <w:pStyle w:val="14"/>
              <w:rPr>
                <w:rFonts w:cs="Times New Roman"/>
              </w:rPr>
            </w:pPr>
            <w:r>
              <w:rPr>
                <w:rFonts w:hint="eastAsia" w:cs="Times New Roman"/>
              </w:rPr>
              <w:t>√</w:t>
            </w:r>
          </w:p>
        </w:tc>
        <w:tc>
          <w:tcPr>
            <w:tcW w:w="779" w:type="dxa"/>
            <w:tcBorders>
              <w:bottom w:val="single" w:color="auto" w:sz="4" w:space="0"/>
            </w:tcBorders>
            <w:vAlign w:val="center"/>
          </w:tcPr>
          <w:p w14:paraId="140ADA9E">
            <w:pPr>
              <w:pStyle w:val="14"/>
              <w:rPr>
                <w:rFonts w:cs="Times New Roman"/>
              </w:rPr>
            </w:pPr>
            <w:r>
              <w:rPr>
                <w:rFonts w:hint="eastAsia" w:cs="Times New Roman"/>
              </w:rPr>
              <w:t>√</w:t>
            </w:r>
          </w:p>
        </w:tc>
        <w:tc>
          <w:tcPr>
            <w:tcW w:w="813" w:type="dxa"/>
            <w:tcBorders>
              <w:bottom w:val="single" w:color="auto" w:sz="4" w:space="0"/>
            </w:tcBorders>
            <w:vAlign w:val="center"/>
          </w:tcPr>
          <w:p w14:paraId="7F719B43">
            <w:pPr>
              <w:pStyle w:val="14"/>
              <w:rPr>
                <w:rFonts w:cs="Times New Roman"/>
              </w:rPr>
            </w:pPr>
            <w:r>
              <w:rPr>
                <w:rFonts w:hint="eastAsia" w:cs="Times New Roman"/>
              </w:rPr>
              <w:t>√</w:t>
            </w:r>
          </w:p>
        </w:tc>
        <w:tc>
          <w:tcPr>
            <w:tcW w:w="813" w:type="dxa"/>
            <w:tcBorders>
              <w:bottom w:val="single" w:color="auto" w:sz="4" w:space="0"/>
            </w:tcBorders>
            <w:shd w:val="clear" w:color="auto" w:fill="auto"/>
            <w:vAlign w:val="center"/>
          </w:tcPr>
          <w:p w14:paraId="3817F4BD">
            <w:pPr>
              <w:pStyle w:val="14"/>
              <w:rPr>
                <w:rFonts w:hint="eastAsia" w:ascii="Times New Roman" w:hAnsi="Times New Roman" w:eastAsia="宋体" w:cs="Times New Roman"/>
                <w:color w:val="000000"/>
                <w:sz w:val="21"/>
                <w:szCs w:val="21"/>
                <w:lang w:val="en-US" w:eastAsia="zh-CN" w:bidi="ar-SA"/>
              </w:rPr>
            </w:pPr>
            <w:r>
              <w:rPr>
                <w:rFonts w:hint="eastAsia" w:cs="Times New Roman"/>
              </w:rPr>
              <w:t>√</w:t>
            </w:r>
          </w:p>
        </w:tc>
      </w:tr>
      <w:tr w14:paraId="46C0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019" w:type="dxa"/>
            <w:tcBorders>
              <w:left w:val="single" w:color="auto" w:sz="12" w:space="0"/>
            </w:tcBorders>
            <w:vAlign w:val="center"/>
          </w:tcPr>
          <w:p w14:paraId="6D1064D4">
            <w:pPr>
              <w:jc w:val="center"/>
              <w:rPr>
                <w:rFonts w:hint="default" w:ascii="Times New Roman" w:hAnsi="Times New Roman" w:cs="Times New Roman" w:eastAsiaTheme="minorEastAsia"/>
                <w:sz w:val="21"/>
                <w:szCs w:val="21"/>
                <w:lang w:val="en-US" w:eastAsia="zh-CN"/>
              </w:rPr>
            </w:pPr>
            <w:r>
              <w:rPr>
                <w:rFonts w:ascii="Times New Roman" w:hAnsi="Times New Roman" w:cs="Times New Roman" w:eastAsiaTheme="minorEastAsia"/>
                <w:sz w:val="21"/>
                <w:szCs w:val="21"/>
              </w:rPr>
              <w:t xml:space="preserve">Unit 7 </w:t>
            </w:r>
          </w:p>
        </w:tc>
        <w:tc>
          <w:tcPr>
            <w:tcW w:w="779" w:type="dxa"/>
            <w:vAlign w:val="center"/>
          </w:tcPr>
          <w:p w14:paraId="28F9140D">
            <w:pPr>
              <w:pStyle w:val="14"/>
              <w:rPr>
                <w:rFonts w:cs="Times New Roman"/>
              </w:rPr>
            </w:pPr>
            <w:r>
              <w:rPr>
                <w:rFonts w:hint="eastAsia" w:cs="Times New Roman"/>
              </w:rPr>
              <w:t>√</w:t>
            </w:r>
          </w:p>
        </w:tc>
        <w:tc>
          <w:tcPr>
            <w:tcW w:w="779" w:type="dxa"/>
            <w:vAlign w:val="center"/>
          </w:tcPr>
          <w:p w14:paraId="7682F416">
            <w:pPr>
              <w:pStyle w:val="14"/>
              <w:rPr>
                <w:rFonts w:cs="Times New Roman"/>
              </w:rPr>
            </w:pPr>
            <w:r>
              <w:rPr>
                <w:rFonts w:hint="eastAsia" w:cs="Times New Roman"/>
              </w:rPr>
              <w:t>√</w:t>
            </w:r>
          </w:p>
        </w:tc>
        <w:tc>
          <w:tcPr>
            <w:tcW w:w="813" w:type="dxa"/>
            <w:vAlign w:val="center"/>
          </w:tcPr>
          <w:p w14:paraId="18DAE722">
            <w:pPr>
              <w:pStyle w:val="14"/>
              <w:rPr>
                <w:rFonts w:cs="Times New Roman"/>
              </w:rPr>
            </w:pPr>
            <w:r>
              <w:rPr>
                <w:rFonts w:hint="eastAsia" w:cs="Times New Roman"/>
              </w:rPr>
              <w:t>√</w:t>
            </w:r>
          </w:p>
        </w:tc>
        <w:tc>
          <w:tcPr>
            <w:tcW w:w="813" w:type="dxa"/>
            <w:shd w:val="clear" w:color="auto" w:fill="auto"/>
            <w:vAlign w:val="center"/>
          </w:tcPr>
          <w:p w14:paraId="67AC7A1F">
            <w:pPr>
              <w:pStyle w:val="14"/>
              <w:rPr>
                <w:rFonts w:hint="eastAsia" w:ascii="Times New Roman" w:hAnsi="Times New Roman" w:eastAsia="宋体" w:cs="Times New Roman"/>
                <w:color w:val="000000"/>
                <w:sz w:val="21"/>
                <w:szCs w:val="21"/>
                <w:lang w:val="en-US" w:eastAsia="zh-CN" w:bidi="ar-SA"/>
              </w:rPr>
            </w:pPr>
            <w:r>
              <w:rPr>
                <w:rFonts w:hint="eastAsia" w:cs="Times New Roman"/>
              </w:rPr>
              <w:t>√</w:t>
            </w:r>
          </w:p>
        </w:tc>
      </w:tr>
      <w:tr w14:paraId="271B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019" w:type="dxa"/>
            <w:tcBorders>
              <w:left w:val="single" w:color="auto" w:sz="12" w:space="0"/>
            </w:tcBorders>
            <w:vAlign w:val="center"/>
          </w:tcPr>
          <w:p w14:paraId="421C5840">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w:t>
            </w:r>
            <w:r>
              <w:rPr>
                <w:rFonts w:hint="eastAsia" w:ascii="Times New Roman" w:hAnsi="Times New Roman" w:cs="Times New Roman" w:eastAsiaTheme="minorEastAsia"/>
                <w:sz w:val="21"/>
                <w:szCs w:val="21"/>
                <w:lang w:val="en-US" w:eastAsia="zh-CN"/>
              </w:rPr>
              <w:t>8</w:t>
            </w:r>
            <w:r>
              <w:rPr>
                <w:rFonts w:ascii="Times New Roman" w:hAnsi="Times New Roman" w:cs="Times New Roman" w:eastAsiaTheme="minorEastAsia"/>
                <w:sz w:val="21"/>
                <w:szCs w:val="21"/>
              </w:rPr>
              <w:t xml:space="preserve"> </w:t>
            </w:r>
          </w:p>
        </w:tc>
        <w:tc>
          <w:tcPr>
            <w:tcW w:w="779" w:type="dxa"/>
            <w:vAlign w:val="center"/>
          </w:tcPr>
          <w:p w14:paraId="4A470F12">
            <w:pPr>
              <w:pStyle w:val="14"/>
              <w:rPr>
                <w:rFonts w:hint="eastAsia" w:cs="Times New Roman"/>
              </w:rPr>
            </w:pPr>
            <w:r>
              <w:rPr>
                <w:rFonts w:hint="eastAsia" w:cs="Times New Roman"/>
              </w:rPr>
              <w:t>√</w:t>
            </w:r>
          </w:p>
        </w:tc>
        <w:tc>
          <w:tcPr>
            <w:tcW w:w="779" w:type="dxa"/>
            <w:vAlign w:val="center"/>
          </w:tcPr>
          <w:p w14:paraId="35EC5BE2">
            <w:pPr>
              <w:pStyle w:val="14"/>
              <w:rPr>
                <w:rFonts w:hint="eastAsia" w:cs="Times New Roman"/>
              </w:rPr>
            </w:pPr>
            <w:r>
              <w:rPr>
                <w:rFonts w:hint="eastAsia" w:cs="Times New Roman"/>
              </w:rPr>
              <w:t>√</w:t>
            </w:r>
          </w:p>
        </w:tc>
        <w:tc>
          <w:tcPr>
            <w:tcW w:w="813" w:type="dxa"/>
            <w:vAlign w:val="center"/>
          </w:tcPr>
          <w:p w14:paraId="4B080D6D">
            <w:pPr>
              <w:pStyle w:val="14"/>
              <w:rPr>
                <w:rFonts w:hint="eastAsia" w:cs="Times New Roman"/>
              </w:rPr>
            </w:pPr>
            <w:r>
              <w:rPr>
                <w:rFonts w:hint="eastAsia" w:cs="Times New Roman"/>
              </w:rPr>
              <w:t>√</w:t>
            </w:r>
          </w:p>
        </w:tc>
        <w:tc>
          <w:tcPr>
            <w:tcW w:w="813" w:type="dxa"/>
            <w:shd w:val="clear" w:color="auto" w:fill="auto"/>
            <w:vAlign w:val="center"/>
          </w:tcPr>
          <w:p w14:paraId="526CE1B9">
            <w:pPr>
              <w:pStyle w:val="14"/>
              <w:rPr>
                <w:rFonts w:hint="eastAsia" w:ascii="Times New Roman" w:hAnsi="Times New Roman" w:eastAsia="宋体" w:cs="Times New Roman"/>
                <w:color w:val="000000"/>
                <w:sz w:val="21"/>
                <w:szCs w:val="21"/>
                <w:lang w:val="en-US" w:eastAsia="zh-CN" w:bidi="ar-SA"/>
              </w:rPr>
            </w:pPr>
            <w:r>
              <w:rPr>
                <w:rFonts w:hint="eastAsia" w:cs="Times New Roman"/>
              </w:rPr>
              <w:t>√</w:t>
            </w:r>
          </w:p>
        </w:tc>
      </w:tr>
      <w:tr w14:paraId="2A030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019" w:type="dxa"/>
            <w:tcBorders>
              <w:left w:val="single" w:color="auto" w:sz="12" w:space="0"/>
            </w:tcBorders>
            <w:vAlign w:val="center"/>
          </w:tcPr>
          <w:p w14:paraId="6BE5186C">
            <w:pPr>
              <w:jc w:val="center"/>
              <w:rPr>
                <w:rFonts w:hint="eastAsia" w:ascii="Times New Roman" w:hAnsi="Times New Roman" w:cs="Times New Roman" w:eastAsiaTheme="minorEastAsia"/>
                <w:sz w:val="21"/>
                <w:szCs w:val="21"/>
                <w:lang w:eastAsia="zh-CN"/>
              </w:rPr>
            </w:pPr>
            <w:r>
              <w:rPr>
                <w:rFonts w:ascii="Times New Roman" w:hAnsi="Times New Roman" w:cs="Times New Roman" w:eastAsiaTheme="minorEastAsia"/>
                <w:sz w:val="21"/>
                <w:szCs w:val="21"/>
              </w:rPr>
              <w:t xml:space="preserve">Unit </w:t>
            </w:r>
            <w:r>
              <w:rPr>
                <w:rFonts w:hint="eastAsia" w:ascii="Times New Roman" w:hAnsi="Times New Roman" w:cs="Times New Roman" w:eastAsiaTheme="minorEastAsia"/>
                <w:sz w:val="21"/>
                <w:szCs w:val="21"/>
                <w:lang w:val="en-US" w:eastAsia="zh-CN"/>
              </w:rPr>
              <w:t>9</w:t>
            </w:r>
          </w:p>
        </w:tc>
        <w:tc>
          <w:tcPr>
            <w:tcW w:w="779" w:type="dxa"/>
            <w:vAlign w:val="center"/>
          </w:tcPr>
          <w:p w14:paraId="660352A8">
            <w:pPr>
              <w:pStyle w:val="14"/>
              <w:rPr>
                <w:rFonts w:hint="eastAsia" w:cs="Times New Roman"/>
              </w:rPr>
            </w:pPr>
            <w:r>
              <w:rPr>
                <w:rFonts w:hint="eastAsia" w:cs="Times New Roman"/>
              </w:rPr>
              <w:t>√</w:t>
            </w:r>
          </w:p>
        </w:tc>
        <w:tc>
          <w:tcPr>
            <w:tcW w:w="779" w:type="dxa"/>
            <w:vAlign w:val="center"/>
          </w:tcPr>
          <w:p w14:paraId="332F82F0">
            <w:pPr>
              <w:pStyle w:val="14"/>
              <w:rPr>
                <w:rFonts w:hint="eastAsia" w:cs="Times New Roman"/>
              </w:rPr>
            </w:pPr>
            <w:r>
              <w:rPr>
                <w:rFonts w:hint="eastAsia" w:cs="Times New Roman"/>
              </w:rPr>
              <w:t>√</w:t>
            </w:r>
          </w:p>
        </w:tc>
        <w:tc>
          <w:tcPr>
            <w:tcW w:w="813" w:type="dxa"/>
            <w:vAlign w:val="center"/>
          </w:tcPr>
          <w:p w14:paraId="6EFC117A">
            <w:pPr>
              <w:pStyle w:val="14"/>
              <w:rPr>
                <w:rFonts w:hint="eastAsia" w:cs="Times New Roman"/>
              </w:rPr>
            </w:pPr>
            <w:r>
              <w:rPr>
                <w:rFonts w:hint="eastAsia" w:cs="Times New Roman"/>
              </w:rPr>
              <w:t>√</w:t>
            </w:r>
          </w:p>
        </w:tc>
        <w:tc>
          <w:tcPr>
            <w:tcW w:w="813" w:type="dxa"/>
            <w:shd w:val="clear" w:color="auto" w:fill="auto"/>
            <w:vAlign w:val="center"/>
          </w:tcPr>
          <w:p w14:paraId="44202FB7">
            <w:pPr>
              <w:pStyle w:val="14"/>
              <w:rPr>
                <w:rFonts w:hint="eastAsia" w:ascii="Times New Roman" w:hAnsi="Times New Roman" w:eastAsia="宋体" w:cs="Times New Roman"/>
                <w:color w:val="000000"/>
                <w:sz w:val="21"/>
                <w:szCs w:val="21"/>
                <w:lang w:val="en-US" w:eastAsia="zh-CN" w:bidi="ar-SA"/>
              </w:rPr>
            </w:pPr>
            <w:r>
              <w:rPr>
                <w:rFonts w:hint="eastAsia" w:cs="Times New Roman"/>
              </w:rPr>
              <w:t>√</w:t>
            </w:r>
          </w:p>
        </w:tc>
      </w:tr>
      <w:tr w14:paraId="7451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019" w:type="dxa"/>
            <w:tcBorders>
              <w:left w:val="single" w:color="auto" w:sz="12" w:space="0"/>
            </w:tcBorders>
            <w:vAlign w:val="center"/>
          </w:tcPr>
          <w:p w14:paraId="490EA837">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Unit</w:t>
            </w:r>
            <w:r>
              <w:rPr>
                <w:rFonts w:hint="eastAsia" w:ascii="Times New Roman" w:hAnsi="Times New Roman" w:cs="Times New Roman" w:eastAsiaTheme="minorEastAsia"/>
                <w:sz w:val="21"/>
                <w:szCs w:val="21"/>
                <w:lang w:val="en-US" w:eastAsia="zh-CN"/>
              </w:rPr>
              <w:t>10</w:t>
            </w:r>
            <w:r>
              <w:rPr>
                <w:rFonts w:hint="eastAsia" w:ascii="Times New Roman" w:hAnsi="Times New Roman" w:cs="Times New Roman" w:eastAsiaTheme="minorEastAsia"/>
                <w:sz w:val="21"/>
                <w:szCs w:val="21"/>
              </w:rPr>
              <w:t xml:space="preserve"> </w:t>
            </w:r>
          </w:p>
        </w:tc>
        <w:tc>
          <w:tcPr>
            <w:tcW w:w="779" w:type="dxa"/>
            <w:vAlign w:val="center"/>
          </w:tcPr>
          <w:p w14:paraId="428388B9">
            <w:pPr>
              <w:pStyle w:val="14"/>
              <w:rPr>
                <w:rFonts w:hint="eastAsia" w:cs="Times New Roman"/>
              </w:rPr>
            </w:pPr>
            <w:r>
              <w:rPr>
                <w:rFonts w:hint="eastAsia" w:cs="Times New Roman"/>
              </w:rPr>
              <w:t>√</w:t>
            </w:r>
          </w:p>
        </w:tc>
        <w:tc>
          <w:tcPr>
            <w:tcW w:w="779" w:type="dxa"/>
            <w:vAlign w:val="center"/>
          </w:tcPr>
          <w:p w14:paraId="0E6F59C5">
            <w:pPr>
              <w:pStyle w:val="14"/>
              <w:rPr>
                <w:rFonts w:hint="eastAsia" w:cs="Times New Roman"/>
              </w:rPr>
            </w:pPr>
            <w:r>
              <w:rPr>
                <w:rFonts w:hint="eastAsia" w:cs="Times New Roman"/>
              </w:rPr>
              <w:t>√</w:t>
            </w:r>
          </w:p>
        </w:tc>
        <w:tc>
          <w:tcPr>
            <w:tcW w:w="813" w:type="dxa"/>
            <w:vAlign w:val="center"/>
          </w:tcPr>
          <w:p w14:paraId="60916E54">
            <w:pPr>
              <w:pStyle w:val="14"/>
              <w:rPr>
                <w:rFonts w:hint="eastAsia" w:cs="Times New Roman"/>
              </w:rPr>
            </w:pPr>
            <w:r>
              <w:rPr>
                <w:rFonts w:hint="eastAsia" w:cs="Times New Roman"/>
              </w:rPr>
              <w:t>√</w:t>
            </w:r>
          </w:p>
        </w:tc>
        <w:tc>
          <w:tcPr>
            <w:tcW w:w="813" w:type="dxa"/>
            <w:shd w:val="clear" w:color="auto" w:fill="auto"/>
            <w:vAlign w:val="center"/>
          </w:tcPr>
          <w:p w14:paraId="45553DAA">
            <w:pPr>
              <w:pStyle w:val="14"/>
              <w:rPr>
                <w:rFonts w:hint="eastAsia" w:ascii="Times New Roman" w:hAnsi="Times New Roman" w:eastAsia="宋体" w:cs="Times New Roman"/>
                <w:color w:val="000000"/>
                <w:sz w:val="21"/>
                <w:szCs w:val="21"/>
                <w:lang w:val="en-US" w:eastAsia="zh-CN" w:bidi="ar-SA"/>
              </w:rPr>
            </w:pPr>
            <w:r>
              <w:rPr>
                <w:rFonts w:hint="eastAsia" w:cs="Times New Roman"/>
              </w:rPr>
              <w:t>√</w:t>
            </w:r>
          </w:p>
        </w:tc>
      </w:tr>
    </w:tbl>
    <w:p w14:paraId="641FBF58">
      <w:pPr>
        <w:pStyle w:val="17"/>
        <w:numPr>
          <w:ilvl w:val="0"/>
          <w:numId w:val="0"/>
        </w:numPr>
        <w:spacing w:before="81" w:after="163"/>
        <w:rPr>
          <w:rFonts w:hint="eastAsia"/>
        </w:rPr>
      </w:pPr>
    </w:p>
    <w:p w14:paraId="2E6F41EE">
      <w:pPr>
        <w:pStyle w:val="17"/>
        <w:numPr>
          <w:ilvl w:val="0"/>
          <w:numId w:val="2"/>
        </w:numPr>
        <w:spacing w:before="326" w:beforeLines="100" w:after="163"/>
        <w:ind w:left="0" w:leftChars="0" w:firstLine="0" w:firstLineChars="0"/>
        <w:rPr>
          <w:rFonts w:hint="eastAsia"/>
        </w:rPr>
      </w:pPr>
      <w:r>
        <w:rPr>
          <w:rFonts w:hint="eastAsia"/>
        </w:rPr>
        <w:t>课程教学方法与学时分配</w:t>
      </w:r>
    </w:p>
    <w:tbl>
      <w:tblPr>
        <w:tblStyle w:val="8"/>
        <w:tblW w:w="48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503"/>
        <w:gridCol w:w="1895"/>
        <w:gridCol w:w="1662"/>
        <w:gridCol w:w="702"/>
        <w:gridCol w:w="650"/>
        <w:gridCol w:w="695"/>
      </w:tblGrid>
      <w:tr w14:paraId="49D5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570" w:type="dxa"/>
            <w:vMerge w:val="restart"/>
            <w:tcBorders>
              <w:top w:val="single" w:color="auto" w:sz="12" w:space="0"/>
              <w:left w:val="single" w:color="auto" w:sz="12" w:space="0"/>
            </w:tcBorders>
            <w:vAlign w:val="center"/>
          </w:tcPr>
          <w:p w14:paraId="168848B6">
            <w:pPr>
              <w:widowControl w:val="0"/>
              <w:snapToGrid w:val="0"/>
              <w:jc w:val="center"/>
              <w:rPr>
                <w:rFonts w:ascii="Times New Roman" w:hAnsi="Times New Roman" w:eastAsia="黑体" w:cs="Times New Roman"/>
                <w:bCs/>
                <w:sz w:val="21"/>
                <w:szCs w:val="21"/>
              </w:rPr>
            </w:pPr>
            <w:r>
              <w:rPr>
                <w:rFonts w:ascii="Times New Roman" w:hAnsi="黑体" w:eastAsia="黑体" w:cs="Times New Roman"/>
                <w:bCs/>
                <w:sz w:val="21"/>
                <w:szCs w:val="21"/>
              </w:rPr>
              <w:t>教学单元</w:t>
            </w:r>
          </w:p>
        </w:tc>
        <w:tc>
          <w:tcPr>
            <w:tcW w:w="1943" w:type="dxa"/>
            <w:vMerge w:val="restart"/>
            <w:tcBorders>
              <w:top w:val="single" w:color="auto" w:sz="12" w:space="0"/>
            </w:tcBorders>
            <w:vAlign w:val="center"/>
          </w:tcPr>
          <w:p w14:paraId="61D9BA96">
            <w:pPr>
              <w:pStyle w:val="13"/>
              <w:widowControl w:val="0"/>
              <w:rPr>
                <w:szCs w:val="21"/>
              </w:rPr>
            </w:pPr>
            <w:r>
              <w:rPr>
                <w:rFonts w:hint="eastAsia" w:ascii="黑体" w:hAnsi="黑体"/>
                <w:szCs w:val="21"/>
              </w:rPr>
              <w:t>教与学方式</w:t>
            </w:r>
          </w:p>
        </w:tc>
        <w:tc>
          <w:tcPr>
            <w:tcW w:w="1696" w:type="dxa"/>
            <w:vMerge w:val="restart"/>
            <w:tcBorders>
              <w:top w:val="single" w:color="auto" w:sz="12" w:space="0"/>
            </w:tcBorders>
            <w:vAlign w:val="center"/>
          </w:tcPr>
          <w:p w14:paraId="6D7755B5">
            <w:pPr>
              <w:pStyle w:val="13"/>
              <w:widowControl w:val="0"/>
              <w:rPr>
                <w:rFonts w:ascii="黑体" w:hAnsi="黑体"/>
                <w:szCs w:val="21"/>
              </w:rPr>
            </w:pPr>
            <w:r>
              <w:rPr>
                <w:rFonts w:hint="eastAsia" w:ascii="黑体" w:hAnsi="黑体"/>
                <w:szCs w:val="21"/>
              </w:rPr>
              <w:t>考核方式</w:t>
            </w:r>
          </w:p>
        </w:tc>
        <w:tc>
          <w:tcPr>
            <w:tcW w:w="2075" w:type="dxa"/>
            <w:gridSpan w:val="3"/>
            <w:tcBorders>
              <w:top w:val="single" w:color="auto" w:sz="12" w:space="0"/>
              <w:right w:val="single" w:color="auto" w:sz="12" w:space="0"/>
            </w:tcBorders>
            <w:vAlign w:val="center"/>
          </w:tcPr>
          <w:p w14:paraId="5762191E">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6B05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570" w:type="dxa"/>
            <w:vMerge w:val="continue"/>
            <w:tcBorders>
              <w:left w:val="single" w:color="auto" w:sz="12" w:space="0"/>
            </w:tcBorders>
          </w:tcPr>
          <w:p w14:paraId="57C0457A">
            <w:pPr>
              <w:widowControl w:val="0"/>
              <w:snapToGrid w:val="0"/>
              <w:jc w:val="center"/>
              <w:rPr>
                <w:rFonts w:ascii="Times New Roman" w:hAnsi="Times New Roman" w:eastAsia="黑体" w:cs="Times New Roman"/>
                <w:bCs/>
                <w:sz w:val="21"/>
                <w:szCs w:val="21"/>
              </w:rPr>
            </w:pPr>
          </w:p>
        </w:tc>
        <w:tc>
          <w:tcPr>
            <w:tcW w:w="1943" w:type="dxa"/>
            <w:vMerge w:val="continue"/>
          </w:tcPr>
          <w:p w14:paraId="23C60663">
            <w:pPr>
              <w:widowControl w:val="0"/>
              <w:snapToGrid w:val="0"/>
              <w:jc w:val="center"/>
              <w:rPr>
                <w:rFonts w:ascii="黑体" w:hAnsi="黑体" w:eastAsia="黑体"/>
                <w:bCs/>
                <w:sz w:val="21"/>
                <w:szCs w:val="21"/>
              </w:rPr>
            </w:pPr>
          </w:p>
        </w:tc>
        <w:tc>
          <w:tcPr>
            <w:tcW w:w="1696" w:type="dxa"/>
            <w:vMerge w:val="continue"/>
          </w:tcPr>
          <w:p w14:paraId="44936029">
            <w:pPr>
              <w:widowControl w:val="0"/>
              <w:snapToGrid w:val="0"/>
              <w:jc w:val="center"/>
              <w:rPr>
                <w:rFonts w:ascii="黑体" w:hAnsi="黑体" w:eastAsia="黑体"/>
                <w:bCs/>
                <w:sz w:val="21"/>
                <w:szCs w:val="21"/>
              </w:rPr>
            </w:pPr>
          </w:p>
        </w:tc>
        <w:tc>
          <w:tcPr>
            <w:tcW w:w="712" w:type="dxa"/>
            <w:vAlign w:val="center"/>
          </w:tcPr>
          <w:p w14:paraId="30315D78">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58" w:type="dxa"/>
            <w:vAlign w:val="center"/>
          </w:tcPr>
          <w:p w14:paraId="03A38508">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05" w:type="dxa"/>
            <w:tcBorders>
              <w:right w:val="single" w:color="auto" w:sz="12" w:space="0"/>
            </w:tcBorders>
            <w:vAlign w:val="center"/>
          </w:tcPr>
          <w:p w14:paraId="382E0A95">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6389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570" w:type="dxa"/>
            <w:tcBorders>
              <w:left w:val="single" w:color="auto" w:sz="12" w:space="0"/>
            </w:tcBorders>
            <w:vAlign w:val="center"/>
          </w:tcPr>
          <w:p w14:paraId="1DA20603">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第1章 概述</w:t>
            </w:r>
          </w:p>
        </w:tc>
        <w:tc>
          <w:tcPr>
            <w:tcW w:w="1943" w:type="dxa"/>
            <w:vAlign w:val="center"/>
          </w:tcPr>
          <w:p w14:paraId="2C23131F">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讲授</w:t>
            </w:r>
          </w:p>
        </w:tc>
        <w:tc>
          <w:tcPr>
            <w:tcW w:w="1696" w:type="dxa"/>
            <w:vAlign w:val="center"/>
          </w:tcPr>
          <w:p w14:paraId="7EC9BED1">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课堂提问、作业、闭卷考试等</w:t>
            </w:r>
          </w:p>
        </w:tc>
        <w:tc>
          <w:tcPr>
            <w:tcW w:w="712" w:type="dxa"/>
            <w:vAlign w:val="center"/>
          </w:tcPr>
          <w:p w14:paraId="6FDD83EB">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2</w:t>
            </w:r>
          </w:p>
        </w:tc>
        <w:tc>
          <w:tcPr>
            <w:tcW w:w="658" w:type="dxa"/>
            <w:vAlign w:val="center"/>
          </w:tcPr>
          <w:p w14:paraId="5967F93C">
            <w:pPr>
              <w:widowControl w:val="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0</w:t>
            </w:r>
          </w:p>
        </w:tc>
        <w:tc>
          <w:tcPr>
            <w:tcW w:w="705" w:type="dxa"/>
            <w:tcBorders>
              <w:right w:val="single" w:color="auto" w:sz="12" w:space="0"/>
            </w:tcBorders>
            <w:vAlign w:val="center"/>
          </w:tcPr>
          <w:p w14:paraId="07B15777">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2</w:t>
            </w:r>
          </w:p>
        </w:tc>
      </w:tr>
      <w:tr w14:paraId="5960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570" w:type="dxa"/>
            <w:tcBorders>
              <w:left w:val="single" w:color="auto" w:sz="12" w:space="0"/>
            </w:tcBorders>
            <w:vAlign w:val="center"/>
          </w:tcPr>
          <w:p w14:paraId="293A5768">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第2章 跨境电子商务企业设立中的法律法规</w:t>
            </w:r>
          </w:p>
        </w:tc>
        <w:tc>
          <w:tcPr>
            <w:tcW w:w="1943" w:type="dxa"/>
            <w:vAlign w:val="center"/>
          </w:tcPr>
          <w:p w14:paraId="22DBD57F">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讲授/案例研讨</w:t>
            </w:r>
          </w:p>
        </w:tc>
        <w:tc>
          <w:tcPr>
            <w:tcW w:w="1696" w:type="dxa"/>
            <w:vAlign w:val="center"/>
          </w:tcPr>
          <w:p w14:paraId="0F030BE9">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课堂提问、作业、闭卷考试等</w:t>
            </w:r>
          </w:p>
        </w:tc>
        <w:tc>
          <w:tcPr>
            <w:tcW w:w="712" w:type="dxa"/>
            <w:vAlign w:val="center"/>
          </w:tcPr>
          <w:p w14:paraId="41DD466F">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c>
          <w:tcPr>
            <w:tcW w:w="658" w:type="dxa"/>
            <w:vAlign w:val="center"/>
          </w:tcPr>
          <w:p w14:paraId="33CC58BA">
            <w:pPr>
              <w:widowControl w:val="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0</w:t>
            </w:r>
          </w:p>
        </w:tc>
        <w:tc>
          <w:tcPr>
            <w:tcW w:w="705" w:type="dxa"/>
            <w:tcBorders>
              <w:right w:val="single" w:color="auto" w:sz="12" w:space="0"/>
            </w:tcBorders>
            <w:vAlign w:val="center"/>
          </w:tcPr>
          <w:p w14:paraId="67D924B2">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r>
      <w:tr w14:paraId="5E4A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570" w:type="dxa"/>
            <w:tcBorders>
              <w:left w:val="single" w:color="auto" w:sz="12" w:space="0"/>
            </w:tcBorders>
            <w:vAlign w:val="center"/>
          </w:tcPr>
          <w:p w14:paraId="46C6A2F9">
            <w:pPr>
              <w:widowControl w:val="0"/>
              <w:jc w:val="center"/>
              <w:rPr>
                <w:rFonts w:hint="eastAsia" w:ascii="Times New Roman" w:hAnsi="Times New Roman" w:cs="Times New Roman" w:eastAsiaTheme="minorEastAsia"/>
                <w:sz w:val="21"/>
                <w:szCs w:val="21"/>
                <w:lang w:val="zh-CN" w:eastAsia="zh-CN"/>
              </w:rPr>
            </w:pPr>
            <w:r>
              <w:rPr>
                <w:rFonts w:hint="default" w:ascii="Times New Roman" w:hAnsi="Times New Roman" w:cs="Times New Roman" w:eastAsiaTheme="minorEastAsia"/>
                <w:sz w:val="21"/>
                <w:szCs w:val="21"/>
                <w:lang w:val="en-US" w:eastAsia="zh-CN"/>
              </w:rPr>
              <w:t>第3章 跨境电子商务合同规则与法律适用</w:t>
            </w:r>
          </w:p>
        </w:tc>
        <w:tc>
          <w:tcPr>
            <w:tcW w:w="1943" w:type="dxa"/>
            <w:vAlign w:val="center"/>
          </w:tcPr>
          <w:p w14:paraId="29D060B0">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讲授/案例研讨</w:t>
            </w:r>
          </w:p>
        </w:tc>
        <w:tc>
          <w:tcPr>
            <w:tcW w:w="1696" w:type="dxa"/>
            <w:vAlign w:val="center"/>
          </w:tcPr>
          <w:p w14:paraId="730FADDE">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课堂提问、作业、闭卷考试等</w:t>
            </w:r>
          </w:p>
        </w:tc>
        <w:tc>
          <w:tcPr>
            <w:tcW w:w="712" w:type="dxa"/>
            <w:vAlign w:val="center"/>
          </w:tcPr>
          <w:p w14:paraId="37D1AD30">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c>
          <w:tcPr>
            <w:tcW w:w="658" w:type="dxa"/>
            <w:vAlign w:val="center"/>
          </w:tcPr>
          <w:p w14:paraId="341FEDBB">
            <w:pPr>
              <w:widowControl w:val="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0</w:t>
            </w:r>
          </w:p>
        </w:tc>
        <w:tc>
          <w:tcPr>
            <w:tcW w:w="705" w:type="dxa"/>
            <w:tcBorders>
              <w:right w:val="single" w:color="auto" w:sz="12" w:space="0"/>
            </w:tcBorders>
            <w:vAlign w:val="center"/>
          </w:tcPr>
          <w:p w14:paraId="741749FD">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r>
      <w:tr w14:paraId="1ABD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570" w:type="dxa"/>
            <w:tcBorders>
              <w:left w:val="single" w:color="auto" w:sz="12" w:space="0"/>
            </w:tcBorders>
            <w:vAlign w:val="center"/>
          </w:tcPr>
          <w:p w14:paraId="0C41A70B">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第4章 跨境电子商务物流法律规则</w:t>
            </w:r>
          </w:p>
        </w:tc>
        <w:tc>
          <w:tcPr>
            <w:tcW w:w="1943" w:type="dxa"/>
            <w:vAlign w:val="center"/>
          </w:tcPr>
          <w:p w14:paraId="7D35317D">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讲授/案例研讨</w:t>
            </w:r>
          </w:p>
        </w:tc>
        <w:tc>
          <w:tcPr>
            <w:tcW w:w="1696" w:type="dxa"/>
            <w:vAlign w:val="center"/>
          </w:tcPr>
          <w:p w14:paraId="46CB3421">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课堂提问、作业、闭卷考试等</w:t>
            </w:r>
          </w:p>
        </w:tc>
        <w:tc>
          <w:tcPr>
            <w:tcW w:w="712" w:type="dxa"/>
            <w:vAlign w:val="center"/>
          </w:tcPr>
          <w:p w14:paraId="549393FC">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c>
          <w:tcPr>
            <w:tcW w:w="658" w:type="dxa"/>
            <w:vAlign w:val="center"/>
          </w:tcPr>
          <w:p w14:paraId="7F1D448B">
            <w:pPr>
              <w:widowControl w:val="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0</w:t>
            </w:r>
          </w:p>
        </w:tc>
        <w:tc>
          <w:tcPr>
            <w:tcW w:w="705" w:type="dxa"/>
            <w:tcBorders>
              <w:right w:val="single" w:color="auto" w:sz="12" w:space="0"/>
            </w:tcBorders>
            <w:vAlign w:val="center"/>
          </w:tcPr>
          <w:p w14:paraId="2768DEB7">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r>
      <w:tr w14:paraId="322E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570" w:type="dxa"/>
            <w:tcBorders>
              <w:left w:val="single" w:color="auto" w:sz="12" w:space="0"/>
            </w:tcBorders>
            <w:vAlign w:val="center"/>
          </w:tcPr>
          <w:p w14:paraId="5F8D014D">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第5章 跨境支付的法律规则</w:t>
            </w:r>
          </w:p>
        </w:tc>
        <w:tc>
          <w:tcPr>
            <w:tcW w:w="1943" w:type="dxa"/>
            <w:vAlign w:val="center"/>
          </w:tcPr>
          <w:p w14:paraId="2B40DBAA">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讲授</w:t>
            </w:r>
          </w:p>
        </w:tc>
        <w:tc>
          <w:tcPr>
            <w:tcW w:w="1696" w:type="dxa"/>
            <w:vAlign w:val="center"/>
          </w:tcPr>
          <w:p w14:paraId="56DE8B8D">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课堂提问、作业、闭卷考试等</w:t>
            </w:r>
          </w:p>
        </w:tc>
        <w:tc>
          <w:tcPr>
            <w:tcW w:w="712" w:type="dxa"/>
            <w:vAlign w:val="center"/>
          </w:tcPr>
          <w:p w14:paraId="138CD24A">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2</w:t>
            </w:r>
          </w:p>
        </w:tc>
        <w:tc>
          <w:tcPr>
            <w:tcW w:w="658" w:type="dxa"/>
            <w:vAlign w:val="center"/>
          </w:tcPr>
          <w:p w14:paraId="4C0DAA1A">
            <w:pPr>
              <w:widowControl w:val="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0</w:t>
            </w:r>
          </w:p>
        </w:tc>
        <w:tc>
          <w:tcPr>
            <w:tcW w:w="705" w:type="dxa"/>
            <w:tcBorders>
              <w:right w:val="single" w:color="auto" w:sz="12" w:space="0"/>
            </w:tcBorders>
            <w:vAlign w:val="center"/>
          </w:tcPr>
          <w:p w14:paraId="18F0768A">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2</w:t>
            </w:r>
          </w:p>
        </w:tc>
      </w:tr>
      <w:tr w14:paraId="5234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570" w:type="dxa"/>
            <w:tcBorders>
              <w:left w:val="single" w:color="auto" w:sz="12" w:space="0"/>
            </w:tcBorders>
            <w:vAlign w:val="center"/>
          </w:tcPr>
          <w:p w14:paraId="15048C18">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第6章 跨境电子商务货物清关与贸易管制</w:t>
            </w:r>
          </w:p>
        </w:tc>
        <w:tc>
          <w:tcPr>
            <w:tcW w:w="1943" w:type="dxa"/>
            <w:vAlign w:val="center"/>
          </w:tcPr>
          <w:p w14:paraId="104DAB95">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讲授/案例研讨</w:t>
            </w:r>
          </w:p>
        </w:tc>
        <w:tc>
          <w:tcPr>
            <w:tcW w:w="1696" w:type="dxa"/>
            <w:vAlign w:val="center"/>
          </w:tcPr>
          <w:p w14:paraId="7A67CCD0">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课堂提问、作业、闭卷考试等</w:t>
            </w:r>
          </w:p>
        </w:tc>
        <w:tc>
          <w:tcPr>
            <w:tcW w:w="712" w:type="dxa"/>
            <w:vAlign w:val="center"/>
          </w:tcPr>
          <w:p w14:paraId="6528256D">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c>
          <w:tcPr>
            <w:tcW w:w="658" w:type="dxa"/>
            <w:vAlign w:val="center"/>
          </w:tcPr>
          <w:p w14:paraId="3F1294C1">
            <w:pPr>
              <w:widowControl w:val="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0</w:t>
            </w:r>
          </w:p>
        </w:tc>
        <w:tc>
          <w:tcPr>
            <w:tcW w:w="705" w:type="dxa"/>
            <w:tcBorders>
              <w:right w:val="single" w:color="auto" w:sz="12" w:space="0"/>
            </w:tcBorders>
            <w:vAlign w:val="center"/>
          </w:tcPr>
          <w:p w14:paraId="6DB6209F">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r>
      <w:tr w14:paraId="29B5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570" w:type="dxa"/>
            <w:tcBorders>
              <w:left w:val="single" w:color="auto" w:sz="12" w:space="0"/>
            </w:tcBorders>
            <w:vAlign w:val="center"/>
          </w:tcPr>
          <w:p w14:paraId="680735C0">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第7章 跨境电子商务知识产权制度</w:t>
            </w:r>
          </w:p>
        </w:tc>
        <w:tc>
          <w:tcPr>
            <w:tcW w:w="1943" w:type="dxa"/>
            <w:vAlign w:val="center"/>
          </w:tcPr>
          <w:p w14:paraId="314D2239">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讲授</w:t>
            </w:r>
          </w:p>
        </w:tc>
        <w:tc>
          <w:tcPr>
            <w:tcW w:w="1696" w:type="dxa"/>
            <w:vAlign w:val="center"/>
          </w:tcPr>
          <w:p w14:paraId="665A7227">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课堂提问、作业、闭卷考试等</w:t>
            </w:r>
          </w:p>
        </w:tc>
        <w:tc>
          <w:tcPr>
            <w:tcW w:w="712" w:type="dxa"/>
            <w:vAlign w:val="center"/>
          </w:tcPr>
          <w:p w14:paraId="3CD817DF">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2</w:t>
            </w:r>
          </w:p>
        </w:tc>
        <w:tc>
          <w:tcPr>
            <w:tcW w:w="658" w:type="dxa"/>
            <w:vAlign w:val="center"/>
          </w:tcPr>
          <w:p w14:paraId="117F221D">
            <w:pPr>
              <w:widowControl w:val="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0</w:t>
            </w:r>
          </w:p>
        </w:tc>
        <w:tc>
          <w:tcPr>
            <w:tcW w:w="705" w:type="dxa"/>
            <w:tcBorders>
              <w:right w:val="single" w:color="auto" w:sz="12" w:space="0"/>
            </w:tcBorders>
            <w:vAlign w:val="center"/>
          </w:tcPr>
          <w:p w14:paraId="75A6417F">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2</w:t>
            </w:r>
          </w:p>
        </w:tc>
      </w:tr>
      <w:tr w14:paraId="369A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570" w:type="dxa"/>
            <w:tcBorders>
              <w:left w:val="single" w:color="auto" w:sz="12" w:space="0"/>
            </w:tcBorders>
            <w:vAlign w:val="center"/>
          </w:tcPr>
          <w:p w14:paraId="501D2E82">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第8章 电子商务经营中的消费者权益保护与市场监管规则</w:t>
            </w:r>
          </w:p>
        </w:tc>
        <w:tc>
          <w:tcPr>
            <w:tcW w:w="1943" w:type="dxa"/>
            <w:vAlign w:val="center"/>
          </w:tcPr>
          <w:p w14:paraId="41C60697">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讲授/案例研讨</w:t>
            </w:r>
          </w:p>
        </w:tc>
        <w:tc>
          <w:tcPr>
            <w:tcW w:w="1696" w:type="dxa"/>
            <w:vAlign w:val="center"/>
          </w:tcPr>
          <w:p w14:paraId="34E21DDB">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课堂提问、作业、闭卷考试等</w:t>
            </w:r>
          </w:p>
        </w:tc>
        <w:tc>
          <w:tcPr>
            <w:tcW w:w="712" w:type="dxa"/>
            <w:vAlign w:val="center"/>
          </w:tcPr>
          <w:p w14:paraId="4541DD67">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c>
          <w:tcPr>
            <w:tcW w:w="658" w:type="dxa"/>
            <w:vAlign w:val="center"/>
          </w:tcPr>
          <w:p w14:paraId="45A65DCD">
            <w:pPr>
              <w:widowControl w:val="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0</w:t>
            </w:r>
          </w:p>
        </w:tc>
        <w:tc>
          <w:tcPr>
            <w:tcW w:w="705" w:type="dxa"/>
            <w:tcBorders>
              <w:right w:val="single" w:color="auto" w:sz="12" w:space="0"/>
            </w:tcBorders>
            <w:vAlign w:val="center"/>
          </w:tcPr>
          <w:p w14:paraId="6D6151BF">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r>
      <w:tr w14:paraId="12F8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570" w:type="dxa"/>
            <w:tcBorders>
              <w:left w:val="single" w:color="auto" w:sz="12" w:space="0"/>
            </w:tcBorders>
            <w:vAlign w:val="center"/>
          </w:tcPr>
          <w:p w14:paraId="173C1AC2">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第9章 跨境电子商务中的个人信息保护与数据安全制度</w:t>
            </w:r>
          </w:p>
        </w:tc>
        <w:tc>
          <w:tcPr>
            <w:tcW w:w="1943" w:type="dxa"/>
            <w:vAlign w:val="center"/>
          </w:tcPr>
          <w:p w14:paraId="6565556F">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讲授</w:t>
            </w:r>
          </w:p>
        </w:tc>
        <w:tc>
          <w:tcPr>
            <w:tcW w:w="1696" w:type="dxa"/>
            <w:vAlign w:val="center"/>
          </w:tcPr>
          <w:p w14:paraId="5D9A35F1">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课堂提问、作业、闭卷考试等</w:t>
            </w:r>
          </w:p>
        </w:tc>
        <w:tc>
          <w:tcPr>
            <w:tcW w:w="712" w:type="dxa"/>
            <w:vAlign w:val="center"/>
          </w:tcPr>
          <w:p w14:paraId="0CEFFCDF">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2</w:t>
            </w:r>
          </w:p>
        </w:tc>
        <w:tc>
          <w:tcPr>
            <w:tcW w:w="658" w:type="dxa"/>
            <w:vAlign w:val="center"/>
          </w:tcPr>
          <w:p w14:paraId="0FE5F171">
            <w:pPr>
              <w:widowControl w:val="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0</w:t>
            </w:r>
          </w:p>
        </w:tc>
        <w:tc>
          <w:tcPr>
            <w:tcW w:w="705" w:type="dxa"/>
            <w:tcBorders>
              <w:right w:val="single" w:color="auto" w:sz="12" w:space="0"/>
            </w:tcBorders>
            <w:vAlign w:val="center"/>
          </w:tcPr>
          <w:p w14:paraId="7F28A087">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2</w:t>
            </w:r>
          </w:p>
        </w:tc>
      </w:tr>
      <w:tr w14:paraId="2FD9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570" w:type="dxa"/>
            <w:tcBorders>
              <w:left w:val="single" w:color="auto" w:sz="12" w:space="0"/>
            </w:tcBorders>
            <w:vAlign w:val="center"/>
          </w:tcPr>
          <w:p w14:paraId="18D13A41">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第10章 跨境电子商务纠纷解决</w:t>
            </w:r>
          </w:p>
        </w:tc>
        <w:tc>
          <w:tcPr>
            <w:tcW w:w="1943" w:type="dxa"/>
            <w:vAlign w:val="center"/>
          </w:tcPr>
          <w:p w14:paraId="63695470">
            <w:pPr>
              <w:widowControl w:val="0"/>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讲授/案例研讨</w:t>
            </w:r>
          </w:p>
        </w:tc>
        <w:tc>
          <w:tcPr>
            <w:tcW w:w="1696" w:type="dxa"/>
            <w:vAlign w:val="center"/>
          </w:tcPr>
          <w:p w14:paraId="6BB86AC4">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课堂提问、作业、闭卷考试等</w:t>
            </w:r>
          </w:p>
        </w:tc>
        <w:tc>
          <w:tcPr>
            <w:tcW w:w="712" w:type="dxa"/>
            <w:vAlign w:val="center"/>
          </w:tcPr>
          <w:p w14:paraId="67B02614">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c>
          <w:tcPr>
            <w:tcW w:w="658" w:type="dxa"/>
            <w:vAlign w:val="center"/>
          </w:tcPr>
          <w:p w14:paraId="5895CE55">
            <w:pPr>
              <w:widowControl w:val="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0</w:t>
            </w:r>
          </w:p>
        </w:tc>
        <w:tc>
          <w:tcPr>
            <w:tcW w:w="705" w:type="dxa"/>
            <w:tcBorders>
              <w:right w:val="single" w:color="auto" w:sz="12" w:space="0"/>
            </w:tcBorders>
            <w:vAlign w:val="center"/>
          </w:tcPr>
          <w:p w14:paraId="0D9DDFA9">
            <w:pPr>
              <w:widowControl w:val="0"/>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4</w:t>
            </w:r>
          </w:p>
        </w:tc>
      </w:tr>
      <w:tr w14:paraId="44AE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09" w:type="dxa"/>
            <w:gridSpan w:val="3"/>
            <w:tcBorders>
              <w:left w:val="single" w:color="auto" w:sz="12" w:space="0"/>
              <w:bottom w:val="single" w:color="auto" w:sz="12" w:space="0"/>
            </w:tcBorders>
            <w:vAlign w:val="center"/>
          </w:tcPr>
          <w:p w14:paraId="2ECBEBC5">
            <w:pPr>
              <w:pStyle w:val="13"/>
              <w:widowControl w:val="0"/>
              <w:rPr>
                <w:rFonts w:ascii="Times New Roman" w:hAnsi="Times New Roman" w:cs="Times New Roman"/>
                <w:szCs w:val="21"/>
              </w:rPr>
            </w:pPr>
            <w:r>
              <w:rPr>
                <w:rFonts w:ascii="Times New Roman" w:cs="Times New Roman"/>
                <w:szCs w:val="21"/>
              </w:rPr>
              <w:t>合计</w:t>
            </w:r>
          </w:p>
        </w:tc>
        <w:tc>
          <w:tcPr>
            <w:tcW w:w="712" w:type="dxa"/>
            <w:tcBorders>
              <w:bottom w:val="single" w:color="auto" w:sz="12" w:space="0"/>
            </w:tcBorders>
            <w:vAlign w:val="center"/>
          </w:tcPr>
          <w:p w14:paraId="6E760D6B">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32</w:t>
            </w:r>
          </w:p>
        </w:tc>
        <w:tc>
          <w:tcPr>
            <w:tcW w:w="658" w:type="dxa"/>
            <w:tcBorders>
              <w:bottom w:val="single" w:color="auto" w:sz="12" w:space="0"/>
            </w:tcBorders>
            <w:vAlign w:val="center"/>
          </w:tcPr>
          <w:p w14:paraId="148FF5CD">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05" w:type="dxa"/>
            <w:tcBorders>
              <w:bottom w:val="single" w:color="auto" w:sz="12" w:space="0"/>
              <w:right w:val="single" w:color="auto" w:sz="12" w:space="0"/>
            </w:tcBorders>
            <w:vAlign w:val="center"/>
          </w:tcPr>
          <w:p w14:paraId="3AE5F89B">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32</w:t>
            </w:r>
          </w:p>
        </w:tc>
      </w:tr>
    </w:tbl>
    <w:p w14:paraId="5045AB9A">
      <w:pPr>
        <w:pStyle w:val="17"/>
        <w:numPr>
          <w:ilvl w:val="0"/>
          <w:numId w:val="0"/>
        </w:numPr>
        <w:spacing w:before="326" w:beforeLines="100" w:after="163"/>
        <w:ind w:leftChars="0"/>
        <w:rPr>
          <w:rFonts w:hint="eastAsia"/>
        </w:rPr>
      </w:pPr>
    </w:p>
    <w:p w14:paraId="45C4F00F">
      <w:pPr>
        <w:pStyle w:val="17"/>
        <w:spacing w:before="326" w:beforeLines="100" w:after="163"/>
      </w:pPr>
      <w:r>
        <w:rPr>
          <w:rFonts w:hint="eastAsia"/>
        </w:rPr>
        <w:t>（四）课内实验项目与基本要求</w:t>
      </w:r>
    </w:p>
    <w:tbl>
      <w:tblPr>
        <w:tblStyle w:val="7"/>
        <w:tblW w:w="48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691"/>
        <w:gridCol w:w="1800"/>
        <w:gridCol w:w="3878"/>
        <w:gridCol w:w="827"/>
        <w:gridCol w:w="911"/>
      </w:tblGrid>
      <w:tr w14:paraId="4A16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6" w:type="dxa"/>
            <w:tcBorders>
              <w:top w:val="single" w:color="auto" w:sz="12" w:space="0"/>
              <w:left w:val="single" w:color="auto" w:sz="12" w:space="0"/>
              <w:bottom w:val="single" w:color="auto" w:sz="4" w:space="0"/>
              <w:right w:val="single" w:color="auto" w:sz="4" w:space="0"/>
            </w:tcBorders>
            <w:shd w:val="clear" w:color="auto" w:fill="auto"/>
            <w:vAlign w:val="center"/>
          </w:tcPr>
          <w:p w14:paraId="2F3A5820">
            <w:pPr>
              <w:pStyle w:val="13"/>
              <w:rPr>
                <w:szCs w:val="16"/>
              </w:rPr>
            </w:pPr>
            <w:r>
              <w:rPr>
                <w:rFonts w:hint="eastAsia"/>
                <w:szCs w:val="16"/>
              </w:rPr>
              <w:t>序号</w:t>
            </w:r>
          </w:p>
        </w:tc>
        <w:tc>
          <w:tcPr>
            <w:tcW w:w="1839" w:type="dxa"/>
            <w:tcBorders>
              <w:top w:val="single" w:color="auto" w:sz="12" w:space="0"/>
              <w:left w:val="single" w:color="auto" w:sz="4" w:space="0"/>
              <w:bottom w:val="single" w:color="auto" w:sz="4" w:space="0"/>
              <w:right w:val="single" w:color="auto" w:sz="4" w:space="0"/>
            </w:tcBorders>
            <w:shd w:val="clear" w:color="auto" w:fill="auto"/>
            <w:vAlign w:val="center"/>
          </w:tcPr>
          <w:p w14:paraId="6C5393F2">
            <w:pPr>
              <w:pStyle w:val="13"/>
              <w:rPr>
                <w:szCs w:val="16"/>
              </w:rPr>
            </w:pPr>
            <w:r>
              <w:rPr>
                <w:rFonts w:hint="eastAsia"/>
                <w:szCs w:val="16"/>
              </w:rPr>
              <w:t>实验项目名称</w:t>
            </w:r>
          </w:p>
        </w:tc>
        <w:tc>
          <w:tcPr>
            <w:tcW w:w="3963" w:type="dxa"/>
            <w:tcBorders>
              <w:top w:val="single" w:color="auto" w:sz="12" w:space="0"/>
              <w:left w:val="single" w:color="auto" w:sz="4" w:space="0"/>
              <w:bottom w:val="single" w:color="auto" w:sz="4" w:space="0"/>
              <w:right w:val="single" w:color="auto" w:sz="4" w:space="0"/>
            </w:tcBorders>
            <w:vAlign w:val="center"/>
          </w:tcPr>
          <w:p w14:paraId="5D5FA053">
            <w:pPr>
              <w:pStyle w:val="13"/>
              <w:rPr>
                <w:szCs w:val="16"/>
              </w:rPr>
            </w:pPr>
            <w:r>
              <w:rPr>
                <w:rFonts w:hint="eastAsia" w:ascii="黑体" w:hAnsi="宋体"/>
                <w:szCs w:val="16"/>
              </w:rPr>
              <w:t>目标要求与</w:t>
            </w:r>
            <w:r>
              <w:rPr>
                <w:rFonts w:hint="eastAsia"/>
                <w:szCs w:val="16"/>
              </w:rPr>
              <w:t>主要内容</w:t>
            </w:r>
          </w:p>
        </w:tc>
        <w:tc>
          <w:tcPr>
            <w:tcW w:w="845" w:type="dxa"/>
            <w:tcBorders>
              <w:top w:val="single" w:color="auto" w:sz="12" w:space="0"/>
              <w:left w:val="single" w:color="auto" w:sz="4" w:space="0"/>
              <w:right w:val="single" w:color="auto" w:sz="4" w:space="0"/>
            </w:tcBorders>
            <w:shd w:val="clear" w:color="auto" w:fill="auto"/>
            <w:vAlign w:val="center"/>
          </w:tcPr>
          <w:p w14:paraId="38968245">
            <w:pPr>
              <w:pStyle w:val="13"/>
              <w:rPr>
                <w:szCs w:val="16"/>
              </w:rPr>
            </w:pPr>
            <w:r>
              <w:rPr>
                <w:rFonts w:hint="eastAsia"/>
                <w:szCs w:val="16"/>
              </w:rPr>
              <w:t>实验</w:t>
            </w:r>
          </w:p>
          <w:p w14:paraId="01105D0C">
            <w:pPr>
              <w:pStyle w:val="13"/>
              <w:rPr>
                <w:szCs w:val="16"/>
              </w:rPr>
            </w:pPr>
            <w:r>
              <w:rPr>
                <w:rFonts w:hint="eastAsia"/>
                <w:szCs w:val="16"/>
              </w:rPr>
              <w:t>时数</w:t>
            </w:r>
          </w:p>
        </w:tc>
        <w:tc>
          <w:tcPr>
            <w:tcW w:w="931" w:type="dxa"/>
            <w:tcBorders>
              <w:top w:val="single" w:color="auto" w:sz="12" w:space="0"/>
              <w:left w:val="single" w:color="auto" w:sz="4" w:space="0"/>
              <w:right w:val="single" w:color="auto" w:sz="12" w:space="0"/>
            </w:tcBorders>
            <w:shd w:val="clear" w:color="auto" w:fill="auto"/>
            <w:vAlign w:val="center"/>
          </w:tcPr>
          <w:p w14:paraId="6BCE4FE0">
            <w:pPr>
              <w:pStyle w:val="13"/>
              <w:rPr>
                <w:szCs w:val="16"/>
              </w:rPr>
            </w:pPr>
            <w:r>
              <w:rPr>
                <w:rFonts w:hint="eastAsia"/>
                <w:szCs w:val="16"/>
              </w:rPr>
              <w:t>实验</w:t>
            </w:r>
          </w:p>
          <w:p w14:paraId="64DB3F42">
            <w:pPr>
              <w:pStyle w:val="13"/>
              <w:rPr>
                <w:szCs w:val="16"/>
              </w:rPr>
            </w:pPr>
            <w:r>
              <w:rPr>
                <w:rFonts w:hint="eastAsia"/>
                <w:szCs w:val="16"/>
              </w:rPr>
              <w:t>类型</w:t>
            </w:r>
          </w:p>
        </w:tc>
      </w:tr>
      <w:tr w14:paraId="2959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6" w:type="dxa"/>
            <w:tcBorders>
              <w:top w:val="single" w:color="auto" w:sz="4" w:space="0"/>
              <w:left w:val="single" w:color="auto" w:sz="12" w:space="0"/>
              <w:bottom w:val="single" w:color="auto" w:sz="4" w:space="0"/>
              <w:right w:val="single" w:color="auto" w:sz="4" w:space="0"/>
            </w:tcBorders>
            <w:shd w:val="clear" w:color="auto" w:fill="auto"/>
            <w:vAlign w:val="center"/>
          </w:tcPr>
          <w:p w14:paraId="0D84B06C">
            <w:pPr>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1</w:t>
            </w:r>
          </w:p>
        </w:tc>
        <w:tc>
          <w:tcPr>
            <w:tcW w:w="1839" w:type="dxa"/>
            <w:tcBorders>
              <w:top w:val="single" w:color="auto" w:sz="4" w:space="0"/>
              <w:left w:val="single" w:color="auto" w:sz="4" w:space="0"/>
              <w:bottom w:val="single" w:color="auto" w:sz="4" w:space="0"/>
              <w:right w:val="single" w:color="auto" w:sz="4" w:space="0"/>
            </w:tcBorders>
            <w:shd w:val="clear" w:color="auto" w:fill="auto"/>
            <w:vAlign w:val="center"/>
          </w:tcPr>
          <w:p w14:paraId="3670E6CB">
            <w:pPr>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跨境电子商务法律案例分析</w:t>
            </w:r>
          </w:p>
        </w:tc>
        <w:tc>
          <w:tcPr>
            <w:tcW w:w="3963" w:type="dxa"/>
            <w:tcBorders>
              <w:top w:val="single" w:color="auto" w:sz="4" w:space="0"/>
              <w:left w:val="single" w:color="auto" w:sz="4" w:space="0"/>
              <w:bottom w:val="single" w:color="auto" w:sz="4" w:space="0"/>
              <w:right w:val="single" w:color="auto" w:sz="4" w:space="0"/>
            </w:tcBorders>
            <w:vAlign w:val="center"/>
          </w:tcPr>
          <w:p w14:paraId="2452BF22">
            <w:pPr>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结合课程各单元主题，围绕跨境电子商务企业设立、合同、物流、支付、清关、知识产权、消费者权益保护、个人信息保护、纠纷解决等内容，进行案例讨论与分析，培养学生分析问题、解决问题、理论应用于实践的能力。</w:t>
            </w:r>
          </w:p>
        </w:tc>
        <w:tc>
          <w:tcPr>
            <w:tcW w:w="845" w:type="dxa"/>
            <w:tcBorders>
              <w:left w:val="single" w:color="auto" w:sz="4" w:space="0"/>
              <w:bottom w:val="single" w:color="auto" w:sz="4" w:space="0"/>
              <w:right w:val="single" w:color="auto" w:sz="4" w:space="0"/>
            </w:tcBorders>
            <w:shd w:val="clear" w:color="auto" w:fill="auto"/>
            <w:vAlign w:val="center"/>
          </w:tcPr>
          <w:p w14:paraId="157B3679">
            <w:pPr>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原文未单列</w:t>
            </w:r>
          </w:p>
        </w:tc>
        <w:tc>
          <w:tcPr>
            <w:tcW w:w="931" w:type="dxa"/>
            <w:tcBorders>
              <w:left w:val="single" w:color="auto" w:sz="4" w:space="0"/>
              <w:bottom w:val="single" w:color="auto" w:sz="4" w:space="0"/>
              <w:right w:val="single" w:color="auto" w:sz="12" w:space="0"/>
            </w:tcBorders>
            <w:shd w:val="clear" w:color="auto" w:fill="auto"/>
            <w:vAlign w:val="center"/>
          </w:tcPr>
          <w:p w14:paraId="32E57F7F">
            <w:pPr>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④综合型</w:t>
            </w:r>
          </w:p>
        </w:tc>
      </w:tr>
      <w:tr w14:paraId="34A3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6" w:type="dxa"/>
            <w:tcBorders>
              <w:top w:val="single" w:color="auto" w:sz="4" w:space="0"/>
              <w:left w:val="single" w:color="auto" w:sz="12" w:space="0"/>
              <w:bottom w:val="single" w:color="auto" w:sz="4" w:space="0"/>
              <w:right w:val="single" w:color="auto" w:sz="4" w:space="0"/>
            </w:tcBorders>
            <w:shd w:val="clear" w:color="auto" w:fill="auto"/>
            <w:vAlign w:val="center"/>
          </w:tcPr>
          <w:p w14:paraId="0603BB9E">
            <w:pPr>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2</w:t>
            </w:r>
          </w:p>
        </w:tc>
        <w:tc>
          <w:tcPr>
            <w:tcW w:w="1839" w:type="dxa"/>
            <w:tcBorders>
              <w:top w:val="single" w:color="auto" w:sz="4" w:space="0"/>
              <w:left w:val="single" w:color="auto" w:sz="4" w:space="0"/>
              <w:bottom w:val="single" w:color="auto" w:sz="4" w:space="0"/>
              <w:right w:val="single" w:color="auto" w:sz="4" w:space="0"/>
            </w:tcBorders>
            <w:shd w:val="clear" w:color="auto" w:fill="auto"/>
            <w:vAlign w:val="center"/>
          </w:tcPr>
          <w:p w14:paraId="41095B55">
            <w:pPr>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课堂讨论与分组研讨</w:t>
            </w:r>
          </w:p>
        </w:tc>
        <w:tc>
          <w:tcPr>
            <w:tcW w:w="3963" w:type="dxa"/>
            <w:tcBorders>
              <w:top w:val="single" w:color="auto" w:sz="4" w:space="0"/>
              <w:left w:val="single" w:color="auto" w:sz="4" w:space="0"/>
              <w:bottom w:val="single" w:color="auto" w:sz="4" w:space="0"/>
              <w:right w:val="single" w:color="auto" w:sz="4" w:space="0"/>
            </w:tcBorders>
            <w:vAlign w:val="center"/>
          </w:tcPr>
          <w:p w14:paraId="7D0415D9">
            <w:pPr>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通过课堂讨论、分组讨论等形式，引导学生关注跨境电子商务法律领域最新发展，培养学生讨论、沟通、交流和合作能力。</w:t>
            </w:r>
          </w:p>
        </w:tc>
        <w:tc>
          <w:tcPr>
            <w:tcW w:w="845" w:type="dxa"/>
            <w:tcBorders>
              <w:left w:val="single" w:color="auto" w:sz="4" w:space="0"/>
              <w:bottom w:val="single" w:color="auto" w:sz="4" w:space="0"/>
              <w:right w:val="single" w:color="auto" w:sz="4" w:space="0"/>
            </w:tcBorders>
            <w:shd w:val="clear" w:color="auto" w:fill="auto"/>
            <w:vAlign w:val="center"/>
          </w:tcPr>
          <w:p w14:paraId="718C4EE3">
            <w:pPr>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原文未单列</w:t>
            </w:r>
          </w:p>
        </w:tc>
        <w:tc>
          <w:tcPr>
            <w:tcW w:w="931" w:type="dxa"/>
            <w:tcBorders>
              <w:left w:val="single" w:color="auto" w:sz="4" w:space="0"/>
              <w:bottom w:val="single" w:color="auto" w:sz="4" w:space="0"/>
              <w:right w:val="single" w:color="auto" w:sz="12" w:space="0"/>
            </w:tcBorders>
            <w:shd w:val="clear" w:color="auto" w:fill="auto"/>
            <w:vAlign w:val="center"/>
          </w:tcPr>
          <w:p w14:paraId="7505D0B8">
            <w:pPr>
              <w:jc w:val="center"/>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④综合型</w:t>
            </w:r>
          </w:p>
        </w:tc>
      </w:tr>
      <w:tr w14:paraId="0252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284" w:type="dxa"/>
            <w:gridSpan w:val="5"/>
            <w:tcBorders>
              <w:top w:val="single" w:color="auto" w:sz="12" w:space="0"/>
              <w:left w:val="nil"/>
              <w:bottom w:val="nil"/>
              <w:right w:val="nil"/>
            </w:tcBorders>
            <w:shd w:val="clear" w:color="auto" w:fill="auto"/>
            <w:vAlign w:val="center"/>
          </w:tcPr>
          <w:p w14:paraId="574EBA6C">
            <w:pPr>
              <w:pStyle w:val="13"/>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25733011">
      <w:pPr>
        <w:pStyle w:val="16"/>
        <w:spacing w:before="326" w:beforeLines="100" w:line="360" w:lineRule="auto"/>
        <w:ind w:firstLine="140" w:firstLineChars="50"/>
        <w:rPr>
          <w:rFonts w:ascii="黑体" w:hAnsi="宋体"/>
        </w:rPr>
      </w:pPr>
      <w:bookmarkStart w:id="0" w:name="OLE_LINK1"/>
      <w:bookmarkStart w:id="1" w:name="OLE_LINK2"/>
    </w:p>
    <w:p w14:paraId="37A0A7BA">
      <w:pPr>
        <w:pStyle w:val="16"/>
        <w:numPr>
          <w:ilvl w:val="0"/>
          <w:numId w:val="3"/>
        </w:numPr>
        <w:spacing w:before="326" w:beforeLines="100" w:line="360" w:lineRule="auto"/>
        <w:ind w:firstLine="140" w:firstLineChars="50"/>
        <w:rPr>
          <w:rFonts w:hint="eastAsia" w:ascii="黑体" w:hAnsi="宋体"/>
        </w:rPr>
      </w:pPr>
      <w:r>
        <w:rPr>
          <w:rFonts w:hint="eastAsia" w:ascii="黑体" w:hAnsi="宋体"/>
        </w:rPr>
        <w:t>课程思政教学设计</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2C0287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67337F15">
            <w:pPr>
              <w:widowControl w:val="0"/>
              <w:spacing w:line="300" w:lineRule="auto"/>
              <w:ind w:left="57" w:firstLine="420" w:firstLineChars="200"/>
              <w:jc w:val="both"/>
              <w:rPr>
                <w:rFonts w:hint="eastAsia"/>
                <w:color w:val="000000"/>
                <w:sz w:val="21"/>
                <w:szCs w:val="21"/>
                <w:lang w:val="en-US" w:eastAsia="zh-CN"/>
              </w:rPr>
            </w:pPr>
            <w:r>
              <w:rPr>
                <w:rFonts w:hint="eastAsia"/>
                <w:color w:val="000000"/>
                <w:sz w:val="21"/>
                <w:szCs w:val="21"/>
                <w:lang w:val="en-US" w:eastAsia="zh-CN"/>
              </w:rPr>
              <w:t>《课程不仅仅局限于跨境电子商务法律知识的传授，更注重在教学过程中融入德育教育。通过对跨境电子商务法律制度的深入探讨，课程思政得以巧妙融入，使学生在学习法律规则的同时，也能接受到道德和思想教育的熏陶。</w:t>
            </w:r>
          </w:p>
          <w:p w14:paraId="6185AB4E">
            <w:pPr>
              <w:widowControl w:val="0"/>
              <w:spacing w:line="300" w:lineRule="auto"/>
              <w:ind w:left="57" w:firstLine="420" w:firstLineChars="200"/>
              <w:jc w:val="both"/>
              <w:rPr>
                <w:rFonts w:hint="eastAsia"/>
                <w:color w:val="000000"/>
                <w:sz w:val="21"/>
                <w:szCs w:val="21"/>
                <w:lang w:val="en-US" w:eastAsia="zh-CN"/>
              </w:rPr>
            </w:pPr>
            <w:r>
              <w:rPr>
                <w:rFonts w:hint="eastAsia"/>
                <w:color w:val="000000"/>
                <w:sz w:val="21"/>
                <w:szCs w:val="21"/>
                <w:lang w:val="en-US" w:eastAsia="zh-CN"/>
              </w:rPr>
              <w:t>在“跨境电子商务法律法规概述”部分，课程从跨境电子商务的概念、特征及发展状况入手，引导学生了解我国跨境电子商务法律法规发展现状及其完善，培养学生遵纪守法、诚实信用的良好职业素质，增强法律意识和整体价值观。</w:t>
            </w:r>
          </w:p>
          <w:p w14:paraId="4DF6158D">
            <w:pPr>
              <w:widowControl w:val="0"/>
              <w:spacing w:line="300" w:lineRule="auto"/>
              <w:ind w:left="57" w:firstLine="420" w:firstLineChars="200"/>
              <w:jc w:val="both"/>
              <w:rPr>
                <w:rFonts w:hint="eastAsia"/>
                <w:color w:val="000000"/>
                <w:sz w:val="21"/>
                <w:szCs w:val="21"/>
                <w:lang w:val="en-US" w:eastAsia="zh-CN"/>
              </w:rPr>
            </w:pPr>
            <w:r>
              <w:rPr>
                <w:rFonts w:hint="eastAsia"/>
                <w:color w:val="000000"/>
                <w:sz w:val="21"/>
                <w:szCs w:val="21"/>
                <w:lang w:val="en-US" w:eastAsia="zh-CN"/>
              </w:rPr>
              <w:t>在“跨境电子商务企业设立的法律规则”部分，课程从商事组织法律制度入手，引导学生了解合伙企业、有限责任公司、股份有限公司等组织形式，以及《电子商务法》对电子商务经营者的一般规定，培养学生的探究态度和求知欲，强化依法设立、合规经营的意识。</w:t>
            </w:r>
          </w:p>
          <w:p w14:paraId="4B5D75BF">
            <w:pPr>
              <w:widowControl w:val="0"/>
              <w:spacing w:line="300" w:lineRule="auto"/>
              <w:ind w:left="57" w:firstLine="420" w:firstLineChars="200"/>
              <w:jc w:val="both"/>
              <w:rPr>
                <w:rFonts w:hint="eastAsia"/>
                <w:color w:val="000000"/>
                <w:sz w:val="21"/>
                <w:szCs w:val="21"/>
                <w:lang w:val="en-US" w:eastAsia="zh-CN"/>
              </w:rPr>
            </w:pPr>
            <w:r>
              <w:rPr>
                <w:rFonts w:hint="eastAsia"/>
                <w:color w:val="000000"/>
                <w:sz w:val="21"/>
                <w:szCs w:val="21"/>
                <w:lang w:val="en-US" w:eastAsia="zh-CN"/>
              </w:rPr>
              <w:t>在“跨境电子商务合同规则及法律适用”部分，课程从电子商务合同的订立、内容、效力、认证、履行及违约责任等方面展开，引导学生理解有约必守、诚信交易的法律观念，培养利用所学知识处理实际问题的能力。</w:t>
            </w:r>
          </w:p>
          <w:p w14:paraId="658F54A0">
            <w:pPr>
              <w:widowControl w:val="0"/>
              <w:spacing w:line="300" w:lineRule="auto"/>
              <w:ind w:left="57" w:firstLine="420" w:firstLineChars="200"/>
              <w:jc w:val="both"/>
              <w:rPr>
                <w:rFonts w:hint="eastAsia"/>
                <w:color w:val="000000"/>
                <w:sz w:val="21"/>
                <w:szCs w:val="21"/>
                <w:lang w:val="en-US" w:eastAsia="zh-CN"/>
              </w:rPr>
            </w:pPr>
            <w:r>
              <w:rPr>
                <w:rFonts w:hint="eastAsia"/>
                <w:color w:val="000000"/>
                <w:sz w:val="21"/>
                <w:szCs w:val="21"/>
                <w:lang w:val="en-US" w:eastAsia="zh-CN"/>
              </w:rPr>
              <w:t>在“跨境电子商务物流法律规则”部分，课程从跨境货物运输、海外仓建设等法律问题入手，引导学生关注国际货物运输规则、违约及救济，培养依据国际通行规则进行救济的意识和能力。</w:t>
            </w:r>
          </w:p>
          <w:p w14:paraId="30E51FEB">
            <w:pPr>
              <w:widowControl w:val="0"/>
              <w:spacing w:line="300" w:lineRule="auto"/>
              <w:ind w:left="57" w:firstLine="420" w:firstLineChars="200"/>
              <w:jc w:val="both"/>
              <w:rPr>
                <w:rFonts w:hint="eastAsia"/>
                <w:color w:val="000000"/>
                <w:sz w:val="21"/>
                <w:szCs w:val="21"/>
                <w:lang w:val="en-US" w:eastAsia="zh-CN"/>
              </w:rPr>
            </w:pPr>
            <w:r>
              <w:rPr>
                <w:rFonts w:hint="eastAsia"/>
                <w:color w:val="000000"/>
                <w:sz w:val="21"/>
                <w:szCs w:val="21"/>
                <w:lang w:val="en-US" w:eastAsia="zh-CN"/>
              </w:rPr>
              <w:t>在“跨境支付的法律规则”部分，课程从跨境支付方式、信用证支付、第三方支付等内容入手，培养学生遵纪守法的法律意识、诚实守信的职业素质。</w:t>
            </w:r>
          </w:p>
          <w:p w14:paraId="2429B9EA">
            <w:pPr>
              <w:widowControl w:val="0"/>
              <w:spacing w:line="300" w:lineRule="auto"/>
              <w:ind w:left="57" w:firstLine="420" w:firstLineChars="200"/>
              <w:jc w:val="both"/>
              <w:rPr>
                <w:rFonts w:hint="eastAsia"/>
                <w:color w:val="000000"/>
                <w:sz w:val="21"/>
                <w:szCs w:val="21"/>
                <w:lang w:val="en-US" w:eastAsia="zh-CN"/>
              </w:rPr>
            </w:pPr>
            <w:r>
              <w:rPr>
                <w:rFonts w:hint="eastAsia"/>
                <w:color w:val="000000"/>
                <w:sz w:val="21"/>
                <w:szCs w:val="21"/>
                <w:lang w:val="en-US" w:eastAsia="zh-CN"/>
              </w:rPr>
              <w:t>在“跨境电子商务货物清关与贸易管制法律规则”部分，课程从进出口货物报关流程、贸易监管方式及规则、税收规则等内容入手，引导学生正确判断和深入理解清关与贸易管制法律规则，提高学习能力和分析能力。</w:t>
            </w:r>
          </w:p>
          <w:p w14:paraId="46A7B9ED">
            <w:pPr>
              <w:widowControl w:val="0"/>
              <w:spacing w:line="300" w:lineRule="auto"/>
              <w:ind w:left="57" w:firstLine="420" w:firstLineChars="200"/>
              <w:jc w:val="both"/>
              <w:rPr>
                <w:rFonts w:hint="eastAsia"/>
                <w:color w:val="000000"/>
                <w:sz w:val="21"/>
                <w:szCs w:val="21"/>
                <w:lang w:val="en-US" w:eastAsia="zh-CN"/>
              </w:rPr>
            </w:pPr>
            <w:r>
              <w:rPr>
                <w:rFonts w:hint="eastAsia"/>
                <w:color w:val="000000"/>
                <w:sz w:val="21"/>
                <w:szCs w:val="21"/>
                <w:lang w:val="en-US" w:eastAsia="zh-CN"/>
              </w:rPr>
              <w:t>在“跨境电子商务的知识产权保护制度”部分，课程从著作权、商标权、专利权的一般规则及侵权情形入手，引导学生了解我国在跨境电子商务活动中保护知识产权的主要规则，培养尊重知识、崇尚创新的意识。</w:t>
            </w:r>
          </w:p>
          <w:p w14:paraId="30AF5316">
            <w:pPr>
              <w:widowControl w:val="0"/>
              <w:spacing w:line="300" w:lineRule="auto"/>
              <w:ind w:left="57" w:firstLine="420" w:firstLineChars="200"/>
              <w:jc w:val="both"/>
              <w:rPr>
                <w:rFonts w:hint="eastAsia"/>
                <w:color w:val="000000"/>
                <w:sz w:val="21"/>
                <w:szCs w:val="21"/>
                <w:lang w:val="en-US" w:eastAsia="zh-CN"/>
              </w:rPr>
            </w:pPr>
            <w:r>
              <w:rPr>
                <w:rFonts w:hint="eastAsia"/>
                <w:color w:val="000000"/>
                <w:sz w:val="21"/>
                <w:szCs w:val="21"/>
                <w:lang w:val="en-US" w:eastAsia="zh-CN"/>
              </w:rPr>
              <w:t>在“电子商务经营中的消费者权益保护与市场监管”部分，课程从消费者权利保护、不正当竞争、互联网广告等法律规则入手，引导学生运用相关知识维护消费者合法权益和企业合法权益，培养公平竞争、诚信经营的理念。</w:t>
            </w:r>
          </w:p>
          <w:p w14:paraId="291ADB38">
            <w:pPr>
              <w:widowControl w:val="0"/>
              <w:spacing w:line="300" w:lineRule="auto"/>
              <w:ind w:left="57" w:firstLine="420" w:firstLineChars="200"/>
              <w:jc w:val="both"/>
              <w:rPr>
                <w:rFonts w:hint="eastAsia"/>
                <w:color w:val="000000"/>
                <w:sz w:val="21"/>
                <w:szCs w:val="21"/>
                <w:lang w:val="en-US" w:eastAsia="zh-CN"/>
              </w:rPr>
            </w:pPr>
            <w:r>
              <w:rPr>
                <w:rFonts w:hint="eastAsia"/>
                <w:color w:val="000000"/>
                <w:sz w:val="21"/>
                <w:szCs w:val="21"/>
                <w:lang w:val="en-US" w:eastAsia="zh-CN"/>
              </w:rPr>
              <w:t>在“跨境电子商务中的个人信息保护与数据安全制度”部分，课程从个人信息保护、数据保护、跨境数据提供等法律规则入手，引导学生掌握跨境电子商务企业对于个人信息保护和数据安全的法律规则，培养维护企业合法权益和数据安全意识。</w:t>
            </w:r>
          </w:p>
          <w:p w14:paraId="5AFFBCFB">
            <w:pPr>
              <w:widowControl w:val="0"/>
              <w:spacing w:line="300" w:lineRule="auto"/>
              <w:ind w:left="57" w:firstLine="420" w:firstLineChars="200"/>
              <w:jc w:val="both"/>
              <w:rPr>
                <w:rFonts w:hint="eastAsia"/>
                <w:color w:val="000000"/>
                <w:sz w:val="21"/>
                <w:szCs w:val="21"/>
                <w:lang w:val="en-US" w:eastAsia="zh-CN"/>
              </w:rPr>
            </w:pPr>
            <w:r>
              <w:rPr>
                <w:rFonts w:hint="eastAsia"/>
                <w:color w:val="000000"/>
                <w:sz w:val="21"/>
                <w:szCs w:val="21"/>
                <w:lang w:val="en-US" w:eastAsia="zh-CN"/>
              </w:rPr>
              <w:t>在“跨境电子商务纠纷解决”部分，课程从纠纷解决途径、国际商事仲裁、涉外商事诉讼等内容入手，引导学生掌握跨境电子商务纠纷解决规则，培养运用相关知识维护企业合法权益的能力。</w:t>
            </w:r>
          </w:p>
          <w:p w14:paraId="174F39D4">
            <w:pPr>
              <w:widowControl w:val="0"/>
              <w:spacing w:line="300" w:lineRule="auto"/>
              <w:ind w:left="57" w:firstLine="420" w:firstLineChars="200"/>
              <w:jc w:val="both"/>
              <w:rPr>
                <w:rFonts w:hint="default"/>
                <w:color w:val="000000"/>
                <w:sz w:val="21"/>
                <w:szCs w:val="21"/>
                <w:lang w:val="en-US" w:eastAsia="zh-CN"/>
              </w:rPr>
            </w:pPr>
            <w:r>
              <w:rPr>
                <w:rFonts w:hint="eastAsia"/>
                <w:color w:val="000000"/>
                <w:sz w:val="21"/>
                <w:szCs w:val="21"/>
                <w:lang w:val="en-US" w:eastAsia="zh-CN"/>
              </w:rPr>
              <w:t>通过这些丰富多样的教学内容和方法，《跨境电子商务法律法规》课程旨在全面提升学生的法律理论能力、职业素养和道德观念，为他们未来在跨境电子商务和国际商事领域中的成功奠定坚实的基础。</w:t>
            </w:r>
          </w:p>
        </w:tc>
      </w:tr>
    </w:tbl>
    <w:p w14:paraId="6DB924AD">
      <w:pPr>
        <w:pStyle w:val="16"/>
        <w:numPr>
          <w:ilvl w:val="0"/>
          <w:numId w:val="0"/>
        </w:numPr>
        <w:spacing w:before="326" w:beforeLines="100" w:line="360" w:lineRule="auto"/>
        <w:rPr>
          <w:rFonts w:hint="eastAsia" w:ascii="黑体" w:hAnsi="宋体"/>
        </w:rPr>
      </w:pPr>
    </w:p>
    <w:bookmarkEnd w:id="0"/>
    <w:bookmarkEnd w:id="1"/>
    <w:p w14:paraId="2D32871E">
      <w:pPr>
        <w:pStyle w:val="16"/>
        <w:spacing w:before="326" w:beforeLines="100" w:line="360" w:lineRule="auto"/>
        <w:rPr>
          <w:rFonts w:ascii="黑体" w:hAnsi="宋体"/>
        </w:rPr>
      </w:pPr>
      <w:r>
        <w:rPr>
          <w:rFonts w:hint="eastAsia" w:ascii="黑体" w:hAnsi="宋体"/>
        </w:rPr>
        <w:t>五、课程考核</w:t>
      </w:r>
      <w:bookmarkStart w:id="2" w:name="OLE_LINK4"/>
      <w:bookmarkStart w:id="3" w:name="OLE_LINK3"/>
    </w:p>
    <w:bookmarkEnd w:id="2"/>
    <w:bookmarkEnd w:id="3"/>
    <w:tbl>
      <w:tblPr>
        <w:tblStyle w:val="8"/>
        <w:tblW w:w="81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833"/>
        <w:gridCol w:w="3542"/>
        <w:gridCol w:w="426"/>
        <w:gridCol w:w="426"/>
        <w:gridCol w:w="426"/>
        <w:gridCol w:w="426"/>
        <w:gridCol w:w="775"/>
      </w:tblGrid>
      <w:tr w14:paraId="758A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Merge w:val="restart"/>
            <w:tcBorders>
              <w:top w:val="single" w:color="auto" w:sz="12" w:space="0"/>
              <w:left w:val="single" w:color="auto" w:sz="12" w:space="0"/>
            </w:tcBorders>
            <w:vAlign w:val="center"/>
          </w:tcPr>
          <w:p w14:paraId="5B30C8FD">
            <w:pPr>
              <w:keepNext/>
              <w:widowControl w:val="0"/>
              <w:snapToGrid w:val="0"/>
              <w:ind w:left="0" w:leftChars="0" w:right="0" w:rightChars="0" w:firstLine="0" w:firstLineChars="0"/>
              <w:jc w:val="center"/>
              <w:rPr>
                <w:rFonts w:ascii="黑体" w:hAnsi="黑体" w:eastAsia="黑体"/>
                <w:b/>
                <w:bCs/>
                <w:sz w:val="21"/>
                <w:szCs w:val="21"/>
              </w:rPr>
            </w:pPr>
            <w:r>
              <w:rPr>
                <w:rFonts w:hint="eastAsia" w:ascii="黑体" w:hAnsi="黑体" w:eastAsia="黑体"/>
                <w:b/>
                <w:bCs/>
                <w:sz w:val="21"/>
                <w:szCs w:val="21"/>
              </w:rPr>
              <w:t>总评构成</w:t>
            </w:r>
          </w:p>
        </w:tc>
        <w:tc>
          <w:tcPr>
            <w:tcW w:w="0" w:type="auto"/>
            <w:vMerge w:val="restart"/>
            <w:tcBorders>
              <w:top w:val="single" w:color="auto" w:sz="12" w:space="0"/>
            </w:tcBorders>
            <w:vAlign w:val="center"/>
          </w:tcPr>
          <w:p w14:paraId="799B7556">
            <w:pPr>
              <w:pStyle w:val="16"/>
              <w:keepNext/>
              <w:widowControl w:val="0"/>
              <w:snapToGrid w:val="0"/>
              <w:spacing w:line="240" w:lineRule="auto"/>
              <w:ind w:left="0" w:leftChars="0" w:right="0" w:rightChars="0" w:firstLine="0" w:firstLineChars="0"/>
              <w:jc w:val="center"/>
              <w:rPr>
                <w:rFonts w:ascii="黑体" w:hAnsi="宋体" w:eastAsia="黑体"/>
                <w:b/>
                <w:sz w:val="21"/>
              </w:rPr>
            </w:pPr>
            <w:r>
              <w:rPr>
                <w:rFonts w:hint="eastAsia" w:ascii="黑体" w:hAnsi="黑体" w:eastAsia="黑体"/>
                <w:b/>
                <w:bCs/>
                <w:sz w:val="21"/>
                <w:szCs w:val="21"/>
              </w:rPr>
              <w:t>占比</w:t>
            </w:r>
          </w:p>
        </w:tc>
        <w:tc>
          <w:tcPr>
            <w:tcW w:w="0" w:type="auto"/>
            <w:vMerge w:val="restart"/>
            <w:tcBorders>
              <w:top w:val="single" w:color="auto" w:sz="12" w:space="0"/>
              <w:right w:val="double" w:color="auto" w:sz="4" w:space="0"/>
            </w:tcBorders>
            <w:vAlign w:val="center"/>
          </w:tcPr>
          <w:p w14:paraId="5BF165DE">
            <w:pPr>
              <w:pStyle w:val="16"/>
              <w:keepNext/>
              <w:widowControl w:val="0"/>
              <w:snapToGrid w:val="0"/>
              <w:spacing w:line="240" w:lineRule="auto"/>
              <w:ind w:left="0" w:leftChars="0" w:right="0" w:rightChars="0" w:firstLine="0" w:firstLineChars="0"/>
              <w:jc w:val="center"/>
              <w:rPr>
                <w:rFonts w:ascii="黑体" w:hAnsi="黑体" w:eastAsia="黑体"/>
                <w:b/>
                <w:bCs/>
                <w:sz w:val="21"/>
                <w:szCs w:val="21"/>
              </w:rPr>
            </w:pPr>
            <w:r>
              <w:rPr>
                <w:rFonts w:hint="eastAsia" w:ascii="黑体" w:hAnsi="黑体" w:eastAsia="黑体"/>
                <w:b/>
                <w:bCs/>
                <w:sz w:val="21"/>
                <w:szCs w:val="21"/>
              </w:rPr>
              <w:t>考核方式</w:t>
            </w:r>
          </w:p>
        </w:tc>
        <w:tc>
          <w:tcPr>
            <w:tcW w:w="0" w:type="auto"/>
            <w:gridSpan w:val="4"/>
            <w:tcBorders>
              <w:top w:val="single" w:color="auto" w:sz="12" w:space="0"/>
              <w:left w:val="double" w:color="auto" w:sz="4" w:space="0"/>
            </w:tcBorders>
            <w:vAlign w:val="center"/>
          </w:tcPr>
          <w:p w14:paraId="56DDD8C7">
            <w:pPr>
              <w:pStyle w:val="16"/>
              <w:keepNext/>
              <w:widowControl w:val="0"/>
              <w:snapToGrid w:val="0"/>
              <w:spacing w:line="240" w:lineRule="auto"/>
              <w:ind w:left="0" w:leftChars="0" w:right="0" w:rightChars="0" w:firstLine="0" w:firstLineChars="0"/>
              <w:jc w:val="center"/>
              <w:rPr>
                <w:rFonts w:ascii="黑体" w:hAnsi="宋体" w:eastAsia="黑体"/>
                <w:b/>
                <w:sz w:val="21"/>
              </w:rPr>
            </w:pPr>
            <w:r>
              <w:rPr>
                <w:rFonts w:hint="eastAsia" w:ascii="黑体" w:hAnsi="黑体" w:eastAsia="黑体"/>
                <w:b/>
                <w:bCs/>
                <w:sz w:val="21"/>
                <w:szCs w:val="21"/>
              </w:rPr>
              <w:t>课程目标</w:t>
            </w:r>
          </w:p>
        </w:tc>
        <w:tc>
          <w:tcPr>
            <w:tcW w:w="782" w:type="dxa"/>
            <w:vMerge w:val="restart"/>
            <w:tcBorders>
              <w:top w:val="single" w:color="auto" w:sz="12" w:space="0"/>
              <w:right w:val="single" w:color="auto" w:sz="12" w:space="0"/>
            </w:tcBorders>
            <w:vAlign w:val="center"/>
          </w:tcPr>
          <w:p w14:paraId="17D2300C">
            <w:pPr>
              <w:pStyle w:val="16"/>
              <w:keepNext/>
              <w:widowControl w:val="0"/>
              <w:snapToGrid w:val="0"/>
              <w:spacing w:line="240" w:lineRule="auto"/>
              <w:ind w:left="0" w:leftChars="0" w:right="0" w:rightChars="0" w:firstLine="0" w:firstLineChars="0"/>
              <w:jc w:val="center"/>
              <w:rPr>
                <w:rFonts w:ascii="黑体" w:hAnsi="黑体" w:eastAsia="黑体"/>
                <w:b/>
                <w:bCs/>
                <w:sz w:val="21"/>
                <w:szCs w:val="21"/>
              </w:rPr>
            </w:pPr>
            <w:r>
              <w:rPr>
                <w:rFonts w:hint="eastAsia" w:ascii="黑体" w:hAnsi="黑体" w:eastAsia="黑体"/>
                <w:b/>
                <w:bCs/>
                <w:sz w:val="21"/>
                <w:szCs w:val="21"/>
              </w:rPr>
              <w:t>合计</w:t>
            </w:r>
          </w:p>
        </w:tc>
      </w:tr>
      <w:tr w14:paraId="3369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Merge w:val="continue"/>
            <w:tcBorders>
              <w:left w:val="single" w:color="auto" w:sz="12" w:space="0"/>
            </w:tcBorders>
            <w:vAlign w:val="center"/>
          </w:tcPr>
          <w:p w14:paraId="4B99CA2F">
            <w:pPr>
              <w:keepNext/>
              <w:widowControl w:val="0"/>
              <w:snapToGrid w:val="0"/>
              <w:ind w:left="0" w:leftChars="0" w:right="0" w:rightChars="0" w:firstLine="0" w:firstLineChars="0"/>
              <w:jc w:val="center"/>
              <w:rPr>
                <w:rFonts w:ascii="黑体" w:hAnsi="黑体" w:eastAsia="黑体"/>
                <w:b/>
                <w:bCs/>
                <w:sz w:val="21"/>
                <w:szCs w:val="21"/>
              </w:rPr>
            </w:pPr>
          </w:p>
        </w:tc>
        <w:tc>
          <w:tcPr>
            <w:tcW w:w="0" w:type="auto"/>
            <w:vMerge w:val="continue"/>
            <w:vAlign w:val="center"/>
          </w:tcPr>
          <w:p w14:paraId="65EE5081">
            <w:pPr>
              <w:pStyle w:val="16"/>
              <w:keepNext/>
              <w:widowControl w:val="0"/>
              <w:snapToGrid w:val="0"/>
              <w:spacing w:line="240" w:lineRule="auto"/>
              <w:ind w:left="0" w:leftChars="0" w:right="0" w:rightChars="0" w:firstLine="0" w:firstLineChars="0"/>
              <w:jc w:val="center"/>
              <w:rPr>
                <w:rFonts w:ascii="黑体" w:hAnsi="黑体" w:eastAsia="黑体"/>
                <w:b/>
                <w:bCs/>
                <w:sz w:val="21"/>
                <w:szCs w:val="21"/>
              </w:rPr>
            </w:pPr>
          </w:p>
        </w:tc>
        <w:tc>
          <w:tcPr>
            <w:tcW w:w="0" w:type="auto"/>
            <w:vMerge w:val="continue"/>
            <w:tcBorders>
              <w:right w:val="double" w:color="auto" w:sz="4" w:space="0"/>
            </w:tcBorders>
            <w:vAlign w:val="center"/>
          </w:tcPr>
          <w:p w14:paraId="02934021">
            <w:pPr>
              <w:pStyle w:val="16"/>
              <w:keepNext/>
              <w:widowControl w:val="0"/>
              <w:snapToGrid w:val="0"/>
              <w:spacing w:line="240" w:lineRule="auto"/>
              <w:ind w:left="0" w:leftChars="0" w:right="0" w:rightChars="0" w:firstLine="0" w:firstLineChars="0"/>
              <w:jc w:val="center"/>
              <w:rPr>
                <w:rFonts w:ascii="黑体" w:hAnsi="黑体" w:eastAsia="黑体"/>
                <w:b/>
                <w:bCs/>
                <w:sz w:val="21"/>
                <w:szCs w:val="21"/>
              </w:rPr>
            </w:pPr>
          </w:p>
        </w:tc>
        <w:tc>
          <w:tcPr>
            <w:tcW w:w="0" w:type="auto"/>
            <w:tcBorders>
              <w:left w:val="double" w:color="auto" w:sz="4" w:space="0"/>
              <w:right w:val="single" w:color="auto" w:sz="4" w:space="0"/>
            </w:tcBorders>
            <w:vAlign w:val="center"/>
          </w:tcPr>
          <w:p w14:paraId="660FEE9A">
            <w:pPr>
              <w:pStyle w:val="16"/>
              <w:keepNext/>
              <w:widowControl w:val="0"/>
              <w:snapToGrid w:val="0"/>
              <w:spacing w:line="240" w:lineRule="auto"/>
              <w:ind w:left="0" w:leftChars="0" w:right="0" w:rightChars="0" w:firstLine="0" w:firstLineChars="0"/>
              <w:jc w:val="center"/>
              <w:rPr>
                <w:rFonts w:ascii="黑体" w:hAnsi="黑体" w:eastAsia="黑体"/>
                <w:b/>
                <w:bCs/>
                <w:sz w:val="21"/>
                <w:szCs w:val="21"/>
              </w:rPr>
            </w:pPr>
            <w:r>
              <w:rPr>
                <w:rFonts w:hint="eastAsia" w:ascii="黑体" w:hAnsi="黑体" w:eastAsia="黑体"/>
                <w:b/>
                <w:bCs/>
                <w:sz w:val="21"/>
                <w:szCs w:val="21"/>
              </w:rPr>
              <w:t>1</w:t>
            </w:r>
          </w:p>
        </w:tc>
        <w:tc>
          <w:tcPr>
            <w:tcW w:w="0" w:type="auto"/>
            <w:tcBorders>
              <w:left w:val="single" w:color="auto" w:sz="4" w:space="0"/>
            </w:tcBorders>
            <w:vAlign w:val="center"/>
          </w:tcPr>
          <w:p w14:paraId="0C418821">
            <w:pPr>
              <w:pStyle w:val="16"/>
              <w:keepNext/>
              <w:widowControl w:val="0"/>
              <w:snapToGrid w:val="0"/>
              <w:spacing w:line="240" w:lineRule="auto"/>
              <w:ind w:left="0" w:leftChars="0" w:right="0" w:rightChars="0" w:firstLine="0" w:firstLineChars="0"/>
              <w:jc w:val="center"/>
              <w:rPr>
                <w:rFonts w:ascii="黑体" w:hAnsi="黑体" w:eastAsia="黑体"/>
                <w:b/>
                <w:bCs/>
                <w:sz w:val="21"/>
                <w:szCs w:val="21"/>
              </w:rPr>
            </w:pPr>
            <w:r>
              <w:rPr>
                <w:rFonts w:ascii="黑体" w:hAnsi="黑体" w:eastAsia="黑体"/>
                <w:b/>
                <w:bCs/>
                <w:sz w:val="21"/>
                <w:szCs w:val="21"/>
              </w:rPr>
              <w:t>2</w:t>
            </w:r>
          </w:p>
        </w:tc>
        <w:tc>
          <w:tcPr>
            <w:tcW w:w="0" w:type="auto"/>
            <w:vAlign w:val="center"/>
          </w:tcPr>
          <w:p w14:paraId="5219254D">
            <w:pPr>
              <w:pStyle w:val="16"/>
              <w:keepNext/>
              <w:widowControl w:val="0"/>
              <w:snapToGrid w:val="0"/>
              <w:spacing w:line="240" w:lineRule="auto"/>
              <w:ind w:left="0" w:leftChars="0" w:right="0" w:rightChars="0" w:firstLine="0" w:firstLineChars="0"/>
              <w:jc w:val="center"/>
              <w:rPr>
                <w:rFonts w:ascii="黑体" w:hAnsi="黑体" w:eastAsia="黑体"/>
                <w:b/>
                <w:bCs/>
                <w:sz w:val="21"/>
                <w:szCs w:val="21"/>
              </w:rPr>
            </w:pPr>
            <w:r>
              <w:rPr>
                <w:rFonts w:hint="eastAsia" w:ascii="黑体" w:hAnsi="黑体" w:eastAsia="黑体"/>
                <w:b/>
                <w:bCs/>
                <w:sz w:val="21"/>
                <w:szCs w:val="21"/>
              </w:rPr>
              <w:t>3</w:t>
            </w:r>
          </w:p>
        </w:tc>
        <w:tc>
          <w:tcPr>
            <w:tcW w:w="0" w:type="auto"/>
            <w:vAlign w:val="center"/>
          </w:tcPr>
          <w:p w14:paraId="2DF91FF3">
            <w:pPr>
              <w:pStyle w:val="16"/>
              <w:keepNext/>
              <w:widowControl w:val="0"/>
              <w:snapToGrid w:val="0"/>
              <w:spacing w:line="240" w:lineRule="auto"/>
              <w:ind w:left="0" w:leftChars="0" w:right="0" w:rightChars="0" w:firstLine="0" w:firstLineChars="0"/>
              <w:jc w:val="center"/>
              <w:rPr>
                <w:rFonts w:hint="eastAsia" w:ascii="黑体" w:hAnsi="黑体" w:eastAsia="黑体"/>
                <w:b/>
                <w:bCs/>
                <w:sz w:val="21"/>
                <w:szCs w:val="21"/>
                <w:lang w:val="en-US" w:eastAsia="zh-CN"/>
              </w:rPr>
            </w:pPr>
            <w:r>
              <w:rPr>
                <w:rFonts w:hint="eastAsia" w:ascii="黑体" w:hAnsi="黑体" w:eastAsia="黑体"/>
                <w:b/>
                <w:bCs/>
                <w:sz w:val="21"/>
                <w:szCs w:val="21"/>
                <w:lang w:val="en-US" w:eastAsia="zh-CN"/>
              </w:rPr>
              <w:t>4</w:t>
            </w:r>
          </w:p>
        </w:tc>
        <w:tc>
          <w:tcPr>
            <w:tcW w:w="782" w:type="dxa"/>
            <w:vMerge w:val="continue"/>
            <w:tcBorders>
              <w:right w:val="single" w:color="auto" w:sz="12" w:space="0"/>
            </w:tcBorders>
            <w:vAlign w:val="center"/>
          </w:tcPr>
          <w:p w14:paraId="72A4B3F1">
            <w:pPr>
              <w:pStyle w:val="16"/>
              <w:keepNext/>
              <w:widowControl w:val="0"/>
              <w:snapToGrid w:val="0"/>
              <w:spacing w:line="240" w:lineRule="auto"/>
              <w:ind w:left="0" w:leftChars="0" w:right="0" w:rightChars="0" w:firstLine="0" w:firstLineChars="0"/>
              <w:jc w:val="center"/>
              <w:rPr>
                <w:rFonts w:ascii="黑体" w:hAnsi="黑体" w:eastAsia="黑体"/>
                <w:b/>
                <w:bCs/>
                <w:sz w:val="21"/>
                <w:szCs w:val="21"/>
              </w:rPr>
            </w:pPr>
          </w:p>
        </w:tc>
      </w:tr>
      <w:tr w14:paraId="01310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left w:val="single" w:color="auto" w:sz="12" w:space="0"/>
            </w:tcBorders>
            <w:vAlign w:val="center"/>
          </w:tcPr>
          <w:p w14:paraId="03A85E11">
            <w:pPr>
              <w:pStyle w:val="14"/>
              <w:keepNext/>
              <w:widowControl w:val="0"/>
              <w:snapToGrid w:val="0"/>
              <w:ind w:left="0" w:leftChars="0" w:right="0" w:rightChars="0" w:firstLine="0" w:firstLineChars="0"/>
              <w:jc w:val="center"/>
              <w:rPr>
                <w:rFonts w:hint="eastAsia"/>
                <w:lang w:val="en-US" w:eastAsia="zh-CN"/>
              </w:rPr>
            </w:pPr>
            <w:r>
              <w:rPr>
                <w:rFonts w:hint="eastAsia"/>
                <w:lang w:val="en-US" w:eastAsia="zh-CN"/>
              </w:rPr>
              <w:t>1</w:t>
            </w:r>
          </w:p>
        </w:tc>
        <w:tc>
          <w:tcPr>
            <w:tcW w:w="0" w:type="auto"/>
            <w:vAlign w:val="center"/>
          </w:tcPr>
          <w:p w14:paraId="6D2D6F04">
            <w:pPr>
              <w:pStyle w:val="14"/>
              <w:keepNext/>
              <w:widowControl w:val="0"/>
              <w:snapToGrid w:val="0"/>
              <w:ind w:left="0" w:leftChars="0" w:right="0" w:rightChars="0" w:firstLine="0" w:firstLineChars="0"/>
              <w:jc w:val="center"/>
              <w:rPr>
                <w:rFonts w:hint="eastAsia"/>
                <w:lang w:val="en-US" w:eastAsia="zh-CN"/>
              </w:rPr>
            </w:pPr>
            <w:r>
              <w:rPr>
                <w:rFonts w:hint="eastAsia"/>
                <w:lang w:val="en-US" w:eastAsia="zh-CN"/>
              </w:rPr>
              <w:t>50%</w:t>
            </w:r>
          </w:p>
        </w:tc>
        <w:tc>
          <w:tcPr>
            <w:tcW w:w="0" w:type="auto"/>
            <w:tcBorders>
              <w:right w:val="double" w:color="auto" w:sz="4" w:space="0"/>
            </w:tcBorders>
            <w:vAlign w:val="center"/>
          </w:tcPr>
          <w:p w14:paraId="0308D92E">
            <w:pPr>
              <w:pStyle w:val="14"/>
              <w:keepNext/>
              <w:widowControl w:val="0"/>
              <w:snapToGrid w:val="0"/>
              <w:ind w:left="0" w:leftChars="0" w:right="0" w:rightChars="0" w:firstLine="0" w:firstLineChars="0"/>
              <w:jc w:val="left"/>
              <w:rPr>
                <w:rFonts w:hint="eastAsia"/>
                <w:lang w:val="en-US" w:eastAsia="zh-CN"/>
              </w:rPr>
            </w:pPr>
            <w:r>
              <w:rPr>
                <w:rFonts w:hint="eastAsia"/>
                <w:lang w:val="en-US" w:eastAsia="zh-CN"/>
              </w:rPr>
              <w:t>期末考试</w:t>
            </w:r>
          </w:p>
        </w:tc>
        <w:tc>
          <w:tcPr>
            <w:tcW w:w="0" w:type="auto"/>
            <w:tcBorders>
              <w:left w:val="double" w:color="auto" w:sz="4" w:space="0"/>
              <w:right w:val="single" w:color="auto" w:sz="4" w:space="0"/>
            </w:tcBorders>
            <w:vAlign w:val="center"/>
          </w:tcPr>
          <w:p w14:paraId="05805C68">
            <w:pPr>
              <w:pStyle w:val="14"/>
              <w:keepNext/>
              <w:widowControl w:val="0"/>
              <w:snapToGrid w:val="0"/>
              <w:ind w:left="0" w:leftChars="0" w:right="0" w:rightChars="0" w:firstLine="0" w:firstLineChars="0"/>
              <w:jc w:val="center"/>
              <w:rPr>
                <w:rFonts w:hint="default"/>
                <w:lang w:val="en-US" w:eastAsia="zh-CN"/>
              </w:rPr>
            </w:pPr>
            <w:r>
              <w:rPr>
                <w:rFonts w:hint="eastAsia"/>
                <w:lang w:val="en-US" w:eastAsia="zh-CN"/>
              </w:rPr>
              <w:t>70</w:t>
            </w:r>
          </w:p>
        </w:tc>
        <w:tc>
          <w:tcPr>
            <w:tcW w:w="0" w:type="auto"/>
            <w:tcBorders>
              <w:left w:val="single" w:color="auto" w:sz="4" w:space="0"/>
            </w:tcBorders>
            <w:vAlign w:val="center"/>
          </w:tcPr>
          <w:p w14:paraId="2865B915">
            <w:pPr>
              <w:pStyle w:val="14"/>
              <w:keepNext/>
              <w:widowControl w:val="0"/>
              <w:snapToGrid w:val="0"/>
              <w:ind w:left="0" w:leftChars="0" w:right="0" w:rightChars="0" w:firstLine="0" w:firstLineChars="0"/>
              <w:jc w:val="center"/>
              <w:rPr>
                <w:rFonts w:hint="default"/>
                <w:lang w:val="en-US" w:eastAsia="zh-CN"/>
              </w:rPr>
            </w:pPr>
            <w:r>
              <w:rPr>
                <w:rFonts w:hint="eastAsia"/>
                <w:lang w:val="en-US" w:eastAsia="zh-CN"/>
              </w:rPr>
              <w:t>30</w:t>
            </w:r>
          </w:p>
        </w:tc>
        <w:tc>
          <w:tcPr>
            <w:tcW w:w="0" w:type="auto"/>
            <w:vAlign w:val="center"/>
          </w:tcPr>
          <w:p w14:paraId="6C07DB5F">
            <w:pPr>
              <w:pStyle w:val="14"/>
              <w:keepNext/>
              <w:widowControl w:val="0"/>
              <w:snapToGrid w:val="0"/>
              <w:ind w:left="0" w:leftChars="0" w:right="0" w:rightChars="0" w:firstLine="0" w:firstLineChars="0"/>
              <w:jc w:val="center"/>
              <w:rPr>
                <w:rFonts w:hint="default"/>
                <w:lang w:val="en-US" w:eastAsia="zh-CN"/>
              </w:rPr>
            </w:pPr>
          </w:p>
        </w:tc>
        <w:tc>
          <w:tcPr>
            <w:tcW w:w="0" w:type="auto"/>
            <w:vAlign w:val="center"/>
          </w:tcPr>
          <w:p w14:paraId="4FFD8E46">
            <w:pPr>
              <w:pStyle w:val="14"/>
              <w:keepNext/>
              <w:widowControl w:val="0"/>
              <w:snapToGrid w:val="0"/>
              <w:ind w:left="0" w:leftChars="0" w:right="0" w:rightChars="0" w:firstLine="0" w:firstLineChars="0"/>
              <w:jc w:val="center"/>
              <w:rPr>
                <w:rFonts w:hint="eastAsia"/>
                <w:lang w:val="en-US" w:eastAsia="zh-CN"/>
              </w:rPr>
            </w:pPr>
          </w:p>
        </w:tc>
        <w:tc>
          <w:tcPr>
            <w:tcW w:w="782" w:type="dxa"/>
            <w:tcBorders>
              <w:right w:val="single" w:color="auto" w:sz="12" w:space="0"/>
            </w:tcBorders>
            <w:vAlign w:val="center"/>
          </w:tcPr>
          <w:p w14:paraId="0477C0EE">
            <w:pPr>
              <w:pStyle w:val="14"/>
              <w:keepNext/>
              <w:widowControl w:val="0"/>
              <w:snapToGrid w:val="0"/>
              <w:ind w:left="0" w:leftChars="0" w:right="0" w:rightChars="0" w:firstLine="0" w:firstLineChars="0"/>
              <w:jc w:val="center"/>
              <w:rPr>
                <w:rFonts w:hint="eastAsia"/>
                <w:lang w:val="en-US" w:eastAsia="zh-CN"/>
              </w:rPr>
            </w:pPr>
            <w:r>
              <w:rPr>
                <w:rFonts w:hint="eastAsia"/>
                <w:lang w:val="en-US" w:eastAsia="zh-CN"/>
              </w:rPr>
              <w:t>100</w:t>
            </w:r>
          </w:p>
        </w:tc>
      </w:tr>
      <w:tr w14:paraId="625C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left w:val="single" w:color="auto" w:sz="12" w:space="0"/>
            </w:tcBorders>
            <w:vAlign w:val="center"/>
          </w:tcPr>
          <w:p w14:paraId="5239EA2C">
            <w:pPr>
              <w:pStyle w:val="14"/>
              <w:keepNext/>
              <w:widowControl w:val="0"/>
              <w:snapToGrid w:val="0"/>
              <w:ind w:left="0" w:leftChars="0" w:right="0" w:rightChars="0" w:firstLine="0" w:firstLineChars="0"/>
              <w:jc w:val="center"/>
              <w:rPr>
                <w:rFonts w:hint="eastAsia"/>
                <w:lang w:val="en-US" w:eastAsia="zh-CN"/>
              </w:rPr>
            </w:pPr>
            <w:r>
              <w:rPr>
                <w:rFonts w:hint="eastAsia"/>
                <w:lang w:val="en-US" w:eastAsia="zh-CN"/>
              </w:rPr>
              <w:t>X1</w:t>
            </w:r>
          </w:p>
        </w:tc>
        <w:tc>
          <w:tcPr>
            <w:tcW w:w="0" w:type="auto"/>
            <w:vAlign w:val="center"/>
          </w:tcPr>
          <w:p w14:paraId="12D97ADF">
            <w:pPr>
              <w:pStyle w:val="14"/>
              <w:keepNext/>
              <w:widowControl w:val="0"/>
              <w:snapToGrid w:val="0"/>
              <w:ind w:left="0" w:leftChars="0" w:right="0" w:rightChars="0" w:firstLine="0" w:firstLineChars="0"/>
              <w:jc w:val="center"/>
              <w:rPr>
                <w:rFonts w:hint="eastAsia"/>
                <w:lang w:val="en-US" w:eastAsia="zh-CN"/>
              </w:rPr>
            </w:pPr>
            <w:r>
              <w:rPr>
                <w:rFonts w:hint="eastAsia"/>
                <w:lang w:val="en-US" w:eastAsia="zh-CN"/>
              </w:rPr>
              <w:t>10%</w:t>
            </w:r>
          </w:p>
        </w:tc>
        <w:tc>
          <w:tcPr>
            <w:tcW w:w="0" w:type="auto"/>
            <w:tcBorders>
              <w:right w:val="double" w:color="auto" w:sz="4" w:space="0"/>
            </w:tcBorders>
            <w:vAlign w:val="center"/>
          </w:tcPr>
          <w:p w14:paraId="3C4B76A2">
            <w:pPr>
              <w:pStyle w:val="14"/>
              <w:keepNext/>
              <w:widowControl w:val="0"/>
              <w:snapToGrid w:val="0"/>
              <w:ind w:left="0" w:leftChars="0" w:right="0" w:rightChars="0" w:firstLine="0" w:firstLineChars="0"/>
              <w:jc w:val="left"/>
              <w:rPr>
                <w:rFonts w:hint="default"/>
                <w:lang w:val="en-US" w:eastAsia="zh-CN"/>
              </w:rPr>
            </w:pPr>
            <w:r>
              <w:rPr>
                <w:rFonts w:hint="eastAsia"/>
                <w:lang w:val="en-US" w:eastAsia="zh-CN"/>
              </w:rPr>
              <w:t>期中测验</w:t>
            </w:r>
          </w:p>
        </w:tc>
        <w:tc>
          <w:tcPr>
            <w:tcW w:w="0" w:type="auto"/>
            <w:tcBorders>
              <w:left w:val="double" w:color="auto" w:sz="4" w:space="0"/>
              <w:right w:val="single" w:color="auto" w:sz="4" w:space="0"/>
            </w:tcBorders>
            <w:vAlign w:val="center"/>
          </w:tcPr>
          <w:p w14:paraId="3612F27A">
            <w:pPr>
              <w:pStyle w:val="14"/>
              <w:keepNext/>
              <w:widowControl w:val="0"/>
              <w:snapToGrid w:val="0"/>
              <w:ind w:left="0" w:leftChars="0" w:right="0" w:rightChars="0" w:firstLine="0" w:firstLineChars="0"/>
              <w:jc w:val="center"/>
              <w:rPr>
                <w:rFonts w:hint="default"/>
                <w:lang w:val="en-US" w:eastAsia="zh-CN"/>
              </w:rPr>
            </w:pPr>
            <w:r>
              <w:rPr>
                <w:rFonts w:hint="eastAsia"/>
                <w:lang w:val="en-US" w:eastAsia="zh-CN"/>
              </w:rPr>
              <w:t>70</w:t>
            </w:r>
          </w:p>
        </w:tc>
        <w:tc>
          <w:tcPr>
            <w:tcW w:w="0" w:type="auto"/>
            <w:tcBorders>
              <w:left w:val="single" w:color="auto" w:sz="4" w:space="0"/>
            </w:tcBorders>
            <w:vAlign w:val="center"/>
          </w:tcPr>
          <w:p w14:paraId="0FED130E">
            <w:pPr>
              <w:pStyle w:val="14"/>
              <w:keepNext/>
              <w:widowControl w:val="0"/>
              <w:snapToGrid w:val="0"/>
              <w:ind w:left="0" w:leftChars="0" w:right="0" w:rightChars="0" w:firstLine="0" w:firstLineChars="0"/>
              <w:jc w:val="center"/>
              <w:rPr>
                <w:rFonts w:hint="default"/>
                <w:lang w:val="en-US" w:eastAsia="zh-CN"/>
              </w:rPr>
            </w:pPr>
            <w:r>
              <w:rPr>
                <w:rFonts w:hint="eastAsia"/>
                <w:lang w:val="en-US" w:eastAsia="zh-CN"/>
              </w:rPr>
              <w:t>30</w:t>
            </w:r>
          </w:p>
        </w:tc>
        <w:tc>
          <w:tcPr>
            <w:tcW w:w="0" w:type="auto"/>
            <w:vAlign w:val="center"/>
          </w:tcPr>
          <w:p w14:paraId="7886530D">
            <w:pPr>
              <w:pStyle w:val="14"/>
              <w:keepNext/>
              <w:widowControl w:val="0"/>
              <w:snapToGrid w:val="0"/>
              <w:ind w:left="0" w:leftChars="0" w:right="0" w:rightChars="0" w:firstLine="0" w:firstLineChars="0"/>
              <w:jc w:val="center"/>
              <w:rPr>
                <w:rFonts w:hint="default"/>
                <w:lang w:val="en-US" w:eastAsia="zh-CN"/>
              </w:rPr>
            </w:pPr>
          </w:p>
        </w:tc>
        <w:tc>
          <w:tcPr>
            <w:tcW w:w="0" w:type="auto"/>
            <w:vAlign w:val="center"/>
          </w:tcPr>
          <w:p w14:paraId="60597994">
            <w:pPr>
              <w:pStyle w:val="14"/>
              <w:keepNext/>
              <w:widowControl w:val="0"/>
              <w:snapToGrid w:val="0"/>
              <w:ind w:left="0" w:leftChars="0" w:right="0" w:rightChars="0" w:firstLine="0" w:firstLineChars="0"/>
              <w:jc w:val="center"/>
              <w:rPr>
                <w:rFonts w:hint="eastAsia"/>
                <w:lang w:val="en-US" w:eastAsia="zh-CN"/>
              </w:rPr>
            </w:pPr>
          </w:p>
        </w:tc>
        <w:tc>
          <w:tcPr>
            <w:tcW w:w="782" w:type="dxa"/>
            <w:tcBorders>
              <w:right w:val="single" w:color="auto" w:sz="12" w:space="0"/>
            </w:tcBorders>
            <w:vAlign w:val="center"/>
          </w:tcPr>
          <w:p w14:paraId="542D211E">
            <w:pPr>
              <w:pStyle w:val="14"/>
              <w:keepNext/>
              <w:widowControl w:val="0"/>
              <w:snapToGrid w:val="0"/>
              <w:ind w:left="0" w:leftChars="0" w:right="0" w:rightChars="0" w:firstLine="0" w:firstLineChars="0"/>
              <w:jc w:val="center"/>
              <w:rPr>
                <w:rFonts w:hint="eastAsia"/>
                <w:lang w:val="en-US" w:eastAsia="zh-CN"/>
              </w:rPr>
            </w:pPr>
            <w:r>
              <w:rPr>
                <w:rFonts w:hint="eastAsia"/>
                <w:lang w:val="en-US" w:eastAsia="zh-CN"/>
              </w:rPr>
              <w:t>100</w:t>
            </w:r>
          </w:p>
        </w:tc>
      </w:tr>
      <w:tr w14:paraId="4BAA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left w:val="single" w:color="auto" w:sz="12" w:space="0"/>
            </w:tcBorders>
            <w:vAlign w:val="center"/>
          </w:tcPr>
          <w:p w14:paraId="0C9F7655">
            <w:pPr>
              <w:pStyle w:val="14"/>
              <w:keepNext/>
              <w:widowControl w:val="0"/>
              <w:snapToGrid w:val="0"/>
              <w:ind w:left="0" w:leftChars="0" w:right="0" w:rightChars="0" w:firstLine="0" w:firstLineChars="0"/>
              <w:jc w:val="center"/>
              <w:rPr>
                <w:rFonts w:hint="eastAsia"/>
                <w:lang w:val="en-US" w:eastAsia="zh-CN"/>
              </w:rPr>
            </w:pPr>
            <w:r>
              <w:rPr>
                <w:rFonts w:hint="eastAsia"/>
                <w:lang w:val="en-US" w:eastAsia="zh-CN"/>
              </w:rPr>
              <w:t>X2</w:t>
            </w:r>
          </w:p>
        </w:tc>
        <w:tc>
          <w:tcPr>
            <w:tcW w:w="0" w:type="auto"/>
            <w:vAlign w:val="center"/>
          </w:tcPr>
          <w:p w14:paraId="5C8B6295">
            <w:pPr>
              <w:pStyle w:val="14"/>
              <w:keepNext/>
              <w:widowControl w:val="0"/>
              <w:snapToGrid w:val="0"/>
              <w:ind w:left="0" w:leftChars="0" w:right="0" w:rightChars="0" w:firstLine="0" w:firstLineChars="0"/>
              <w:jc w:val="center"/>
              <w:rPr>
                <w:rFonts w:hint="eastAsia"/>
                <w:lang w:val="en-US" w:eastAsia="zh-CN"/>
              </w:rPr>
            </w:pPr>
            <w:r>
              <w:rPr>
                <w:rFonts w:hint="eastAsia"/>
                <w:lang w:val="en-US" w:eastAsia="zh-CN"/>
              </w:rPr>
              <w:t>20%</w:t>
            </w:r>
          </w:p>
        </w:tc>
        <w:tc>
          <w:tcPr>
            <w:tcW w:w="0" w:type="auto"/>
            <w:tcBorders>
              <w:right w:val="double" w:color="auto" w:sz="4" w:space="0"/>
            </w:tcBorders>
            <w:vAlign w:val="center"/>
          </w:tcPr>
          <w:p w14:paraId="6336EFCD">
            <w:pPr>
              <w:pStyle w:val="14"/>
              <w:keepNext/>
              <w:widowControl w:val="0"/>
              <w:snapToGrid w:val="0"/>
              <w:ind w:left="0" w:leftChars="0" w:right="0" w:rightChars="0" w:firstLine="0" w:firstLineChars="0"/>
              <w:jc w:val="left"/>
              <w:rPr>
                <w:rFonts w:hint="eastAsia"/>
                <w:lang w:val="en-US" w:eastAsia="zh-CN"/>
              </w:rPr>
            </w:pPr>
            <w:r>
              <w:rPr>
                <w:rFonts w:hint="eastAsia"/>
                <w:lang w:val="en-US" w:eastAsia="zh-CN"/>
              </w:rPr>
              <w:t>作业</w:t>
            </w:r>
            <w:bookmarkStart w:id="4" w:name="_GoBack"/>
            <w:bookmarkEnd w:id="4"/>
          </w:p>
        </w:tc>
        <w:tc>
          <w:tcPr>
            <w:tcW w:w="0" w:type="auto"/>
            <w:tcBorders>
              <w:left w:val="double" w:color="auto" w:sz="4" w:space="0"/>
              <w:right w:val="single" w:color="auto" w:sz="4" w:space="0"/>
            </w:tcBorders>
            <w:vAlign w:val="center"/>
          </w:tcPr>
          <w:p w14:paraId="4D9A7220">
            <w:pPr>
              <w:pStyle w:val="14"/>
              <w:keepNext/>
              <w:widowControl w:val="0"/>
              <w:snapToGrid w:val="0"/>
              <w:ind w:left="0" w:leftChars="0" w:right="0" w:rightChars="0" w:firstLine="0" w:firstLineChars="0"/>
              <w:jc w:val="center"/>
              <w:rPr>
                <w:rFonts w:hint="eastAsia"/>
                <w:lang w:val="en-US" w:eastAsia="zh-CN"/>
              </w:rPr>
            </w:pPr>
          </w:p>
        </w:tc>
        <w:tc>
          <w:tcPr>
            <w:tcW w:w="0" w:type="auto"/>
            <w:tcBorders>
              <w:left w:val="single" w:color="auto" w:sz="4" w:space="0"/>
            </w:tcBorders>
            <w:vAlign w:val="center"/>
          </w:tcPr>
          <w:p w14:paraId="3919099F">
            <w:pPr>
              <w:pStyle w:val="14"/>
              <w:keepNext/>
              <w:widowControl w:val="0"/>
              <w:snapToGrid w:val="0"/>
              <w:ind w:left="0" w:leftChars="0" w:right="0" w:rightChars="0" w:firstLine="0" w:firstLineChars="0"/>
              <w:jc w:val="center"/>
              <w:rPr>
                <w:rFonts w:hint="default"/>
                <w:lang w:val="en-US" w:eastAsia="zh-CN"/>
              </w:rPr>
            </w:pPr>
            <w:r>
              <w:rPr>
                <w:rFonts w:hint="eastAsia"/>
                <w:lang w:val="en-US" w:eastAsia="zh-CN"/>
              </w:rPr>
              <w:t>30</w:t>
            </w:r>
          </w:p>
        </w:tc>
        <w:tc>
          <w:tcPr>
            <w:tcW w:w="0" w:type="auto"/>
            <w:vAlign w:val="center"/>
          </w:tcPr>
          <w:p w14:paraId="5994111B">
            <w:pPr>
              <w:pStyle w:val="14"/>
              <w:keepNext/>
              <w:widowControl w:val="0"/>
              <w:snapToGrid w:val="0"/>
              <w:ind w:left="0" w:leftChars="0" w:right="0" w:rightChars="0" w:firstLine="0" w:firstLineChars="0"/>
              <w:jc w:val="center"/>
              <w:rPr>
                <w:rFonts w:hint="default"/>
                <w:lang w:val="en-US" w:eastAsia="zh-CN"/>
              </w:rPr>
            </w:pPr>
            <w:r>
              <w:rPr>
                <w:rFonts w:hint="eastAsia"/>
                <w:lang w:val="en-US" w:eastAsia="zh-CN"/>
              </w:rPr>
              <w:t>50</w:t>
            </w:r>
          </w:p>
        </w:tc>
        <w:tc>
          <w:tcPr>
            <w:tcW w:w="0" w:type="auto"/>
            <w:vAlign w:val="center"/>
          </w:tcPr>
          <w:p w14:paraId="659F2157">
            <w:pPr>
              <w:pStyle w:val="14"/>
              <w:keepNext/>
              <w:widowControl w:val="0"/>
              <w:snapToGrid w:val="0"/>
              <w:ind w:left="0" w:leftChars="0" w:right="0" w:rightChars="0" w:firstLine="0" w:firstLineChars="0"/>
              <w:jc w:val="center"/>
              <w:rPr>
                <w:rFonts w:hint="default"/>
                <w:lang w:val="en-US" w:eastAsia="zh-CN"/>
              </w:rPr>
            </w:pPr>
            <w:r>
              <w:rPr>
                <w:rFonts w:hint="eastAsia"/>
                <w:lang w:val="en-US" w:eastAsia="zh-CN"/>
              </w:rPr>
              <w:t>20</w:t>
            </w:r>
          </w:p>
        </w:tc>
        <w:tc>
          <w:tcPr>
            <w:tcW w:w="782" w:type="dxa"/>
            <w:tcBorders>
              <w:right w:val="single" w:color="auto" w:sz="12" w:space="0"/>
            </w:tcBorders>
            <w:vAlign w:val="center"/>
          </w:tcPr>
          <w:p w14:paraId="20613138">
            <w:pPr>
              <w:pStyle w:val="14"/>
              <w:keepNext/>
              <w:widowControl w:val="0"/>
              <w:snapToGrid w:val="0"/>
              <w:ind w:left="0" w:leftChars="0" w:right="0" w:rightChars="0" w:firstLine="0" w:firstLineChars="0"/>
              <w:jc w:val="center"/>
              <w:rPr>
                <w:rFonts w:hint="eastAsia"/>
                <w:lang w:val="en-US" w:eastAsia="zh-CN"/>
              </w:rPr>
            </w:pPr>
            <w:r>
              <w:rPr>
                <w:rFonts w:hint="eastAsia"/>
                <w:lang w:val="en-US" w:eastAsia="zh-CN"/>
              </w:rPr>
              <w:t>100</w:t>
            </w:r>
          </w:p>
        </w:tc>
      </w:tr>
      <w:tr w14:paraId="6EFF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98" w:type="dxa"/>
            <w:tcBorders>
              <w:left w:val="single" w:color="auto" w:sz="12" w:space="0"/>
              <w:bottom w:val="single" w:color="auto" w:sz="12" w:space="0"/>
            </w:tcBorders>
            <w:vAlign w:val="center"/>
          </w:tcPr>
          <w:p w14:paraId="54E38299">
            <w:pPr>
              <w:pStyle w:val="14"/>
              <w:keepNext/>
              <w:widowControl w:val="0"/>
              <w:snapToGrid w:val="0"/>
              <w:ind w:left="0" w:leftChars="0" w:right="0" w:rightChars="0" w:firstLine="0" w:firstLineChars="0"/>
              <w:jc w:val="center"/>
              <w:rPr>
                <w:rFonts w:hint="eastAsia"/>
                <w:lang w:val="en-US" w:eastAsia="zh-CN"/>
              </w:rPr>
            </w:pPr>
            <w:r>
              <w:rPr>
                <w:rFonts w:hint="eastAsia"/>
                <w:lang w:val="en-US" w:eastAsia="zh-CN"/>
              </w:rPr>
              <w:t>X3</w:t>
            </w:r>
          </w:p>
        </w:tc>
        <w:tc>
          <w:tcPr>
            <w:tcW w:w="840" w:type="dxa"/>
            <w:tcBorders>
              <w:bottom w:val="single" w:color="auto" w:sz="12" w:space="0"/>
            </w:tcBorders>
            <w:vAlign w:val="center"/>
          </w:tcPr>
          <w:p w14:paraId="37161B92">
            <w:pPr>
              <w:pStyle w:val="14"/>
              <w:keepNext/>
              <w:widowControl w:val="0"/>
              <w:snapToGrid w:val="0"/>
              <w:ind w:left="0" w:leftChars="0" w:right="0" w:rightChars="0" w:firstLine="0" w:firstLineChars="0"/>
              <w:jc w:val="center"/>
              <w:rPr>
                <w:rFonts w:hint="eastAsia"/>
                <w:lang w:val="en-US" w:eastAsia="zh-CN"/>
              </w:rPr>
            </w:pPr>
            <w:r>
              <w:rPr>
                <w:rFonts w:hint="eastAsia"/>
                <w:lang w:val="en-US" w:eastAsia="zh-CN"/>
              </w:rPr>
              <w:t>20%</w:t>
            </w:r>
          </w:p>
        </w:tc>
        <w:tc>
          <w:tcPr>
            <w:tcW w:w="3629" w:type="dxa"/>
            <w:tcBorders>
              <w:bottom w:val="single" w:color="auto" w:sz="12" w:space="0"/>
              <w:right w:val="double" w:color="auto" w:sz="4" w:space="0"/>
            </w:tcBorders>
            <w:vAlign w:val="center"/>
          </w:tcPr>
          <w:p w14:paraId="662C90C5">
            <w:pPr>
              <w:pStyle w:val="14"/>
              <w:keepNext/>
              <w:widowControl w:val="0"/>
              <w:snapToGrid w:val="0"/>
              <w:ind w:left="0" w:leftChars="0" w:right="0" w:rightChars="0" w:firstLine="0" w:firstLineChars="0"/>
              <w:jc w:val="left"/>
              <w:rPr>
                <w:rFonts w:hint="default"/>
                <w:lang w:val="en-US" w:eastAsia="zh-CN"/>
              </w:rPr>
            </w:pPr>
            <w:r>
              <w:rPr>
                <w:rFonts w:hint="eastAsia"/>
                <w:lang w:val="en-US" w:eastAsia="zh-CN"/>
              </w:rPr>
              <w:t>实训成果报告</w:t>
            </w:r>
          </w:p>
        </w:tc>
        <w:tc>
          <w:tcPr>
            <w:tcW w:w="394" w:type="dxa"/>
            <w:tcBorders>
              <w:left w:val="double" w:color="auto" w:sz="4" w:space="0"/>
              <w:bottom w:val="single" w:color="auto" w:sz="12" w:space="0"/>
              <w:right w:val="single" w:color="auto" w:sz="4" w:space="0"/>
            </w:tcBorders>
            <w:vAlign w:val="center"/>
          </w:tcPr>
          <w:p w14:paraId="56BAC283">
            <w:pPr>
              <w:pStyle w:val="14"/>
              <w:keepNext/>
              <w:widowControl w:val="0"/>
              <w:snapToGrid w:val="0"/>
              <w:ind w:left="0" w:leftChars="0" w:right="0" w:rightChars="0" w:firstLine="0" w:firstLineChars="0"/>
              <w:jc w:val="center"/>
              <w:rPr>
                <w:rFonts w:hint="eastAsia"/>
                <w:lang w:val="en-US" w:eastAsia="zh-CN"/>
              </w:rPr>
            </w:pPr>
          </w:p>
        </w:tc>
        <w:tc>
          <w:tcPr>
            <w:tcW w:w="394" w:type="dxa"/>
            <w:tcBorders>
              <w:left w:val="single" w:color="auto" w:sz="4" w:space="0"/>
              <w:bottom w:val="single" w:color="auto" w:sz="12" w:space="0"/>
            </w:tcBorders>
            <w:vAlign w:val="center"/>
          </w:tcPr>
          <w:p w14:paraId="55C4F979">
            <w:pPr>
              <w:pStyle w:val="14"/>
              <w:keepNext/>
              <w:widowControl w:val="0"/>
              <w:snapToGrid w:val="0"/>
              <w:ind w:left="0" w:leftChars="0" w:right="0" w:rightChars="0" w:firstLine="0" w:firstLineChars="0"/>
              <w:jc w:val="center"/>
              <w:rPr>
                <w:rFonts w:hint="default"/>
                <w:lang w:val="en-US" w:eastAsia="zh-CN"/>
              </w:rPr>
            </w:pPr>
            <w:r>
              <w:rPr>
                <w:rFonts w:hint="eastAsia"/>
                <w:lang w:val="en-US" w:eastAsia="zh-CN"/>
              </w:rPr>
              <w:t>20</w:t>
            </w:r>
          </w:p>
        </w:tc>
        <w:tc>
          <w:tcPr>
            <w:tcW w:w="394" w:type="dxa"/>
            <w:tcBorders>
              <w:bottom w:val="single" w:color="auto" w:sz="12" w:space="0"/>
            </w:tcBorders>
            <w:vAlign w:val="center"/>
          </w:tcPr>
          <w:p w14:paraId="0686E1B4">
            <w:pPr>
              <w:pStyle w:val="14"/>
              <w:keepNext/>
              <w:widowControl w:val="0"/>
              <w:snapToGrid w:val="0"/>
              <w:ind w:left="0" w:leftChars="0" w:right="0" w:rightChars="0" w:firstLine="0" w:firstLineChars="0"/>
              <w:jc w:val="center"/>
              <w:rPr>
                <w:rFonts w:hint="default"/>
                <w:lang w:val="en-US" w:eastAsia="zh-CN"/>
              </w:rPr>
            </w:pPr>
            <w:r>
              <w:rPr>
                <w:rFonts w:hint="eastAsia"/>
                <w:lang w:val="en-US" w:eastAsia="zh-CN"/>
              </w:rPr>
              <w:t>60</w:t>
            </w:r>
          </w:p>
        </w:tc>
        <w:tc>
          <w:tcPr>
            <w:tcW w:w="399" w:type="dxa"/>
            <w:tcBorders>
              <w:bottom w:val="single" w:color="auto" w:sz="12" w:space="0"/>
            </w:tcBorders>
            <w:vAlign w:val="center"/>
          </w:tcPr>
          <w:p w14:paraId="4B28132F">
            <w:pPr>
              <w:pStyle w:val="14"/>
              <w:keepNext/>
              <w:widowControl w:val="0"/>
              <w:snapToGrid w:val="0"/>
              <w:ind w:left="0" w:leftChars="0" w:right="0" w:rightChars="0" w:firstLine="0" w:firstLineChars="0"/>
              <w:jc w:val="center"/>
              <w:rPr>
                <w:rFonts w:hint="default"/>
                <w:lang w:val="en-US" w:eastAsia="zh-CN"/>
              </w:rPr>
            </w:pPr>
            <w:r>
              <w:rPr>
                <w:rFonts w:hint="eastAsia"/>
                <w:lang w:val="en-US" w:eastAsia="zh-CN"/>
              </w:rPr>
              <w:t>20</w:t>
            </w:r>
          </w:p>
        </w:tc>
        <w:tc>
          <w:tcPr>
            <w:tcW w:w="782" w:type="dxa"/>
            <w:tcBorders>
              <w:bottom w:val="single" w:color="auto" w:sz="12" w:space="0"/>
              <w:right w:val="single" w:color="auto" w:sz="12" w:space="0"/>
            </w:tcBorders>
            <w:vAlign w:val="center"/>
          </w:tcPr>
          <w:p w14:paraId="7F8D68ED">
            <w:pPr>
              <w:pStyle w:val="14"/>
              <w:keepNext/>
              <w:widowControl w:val="0"/>
              <w:snapToGrid w:val="0"/>
              <w:ind w:left="0" w:leftChars="0" w:right="0" w:rightChars="0" w:firstLine="0" w:firstLineChars="0"/>
              <w:jc w:val="center"/>
              <w:rPr>
                <w:rFonts w:hint="eastAsia"/>
                <w:lang w:val="en-US" w:eastAsia="zh-CN"/>
              </w:rPr>
            </w:pPr>
            <w:r>
              <w:rPr>
                <w:rFonts w:hint="eastAsia"/>
                <w:lang w:val="en-US" w:eastAsia="zh-CN"/>
              </w:rPr>
              <w:t>100</w:t>
            </w:r>
          </w:p>
        </w:tc>
      </w:tr>
    </w:tbl>
    <w:p w14:paraId="0BDB3963">
      <w:pPr>
        <w:pStyle w:val="17"/>
        <w:spacing w:before="326" w:beforeLines="100" w:after="163"/>
        <w:jc w:val="center"/>
      </w:pPr>
    </w:p>
    <w:p w14:paraId="2685476F">
      <w:pPr>
        <w:pStyle w:val="16"/>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10022FF" w:usb1="C000E47F" w:usb2="00000029" w:usb3="00000000" w:csb0="200001DF" w:csb1="20000000"/>
  </w:font>
  <w:font w:name="Cambria Math">
    <w:panose1 w:val="02040503050406030204"/>
    <w:charset w:val="00"/>
    <w:family w:val="roman"/>
    <w:pitch w:val="default"/>
    <w:sig w:usb0="E00002FF" w:usb1="420024FF" w:usb2="00000000" w:usb3="00000000" w:csb0="2000019F" w:csb1="00000000"/>
  </w:font>
  <w:font w:name="var(--dsw-font-markdown-table-h">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ar(--dsw-font-markdown-table)">
    <w:altName w:val="Segoe Print"/>
    <w:panose1 w:val="00000000000000000000"/>
    <w:charset w:val="00"/>
    <w:family w:val="auto"/>
    <w:pitch w:val="default"/>
    <w:sig w:usb0="00000000" w:usb1="00000000" w:usb2="00000000" w:usb3="00000000" w:csb0="00000000" w:csb1="00000000"/>
  </w:font>
  <w:font w:name="方正小标宋简体">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582C0">
    <w:pPr>
      <w:jc w:val="right"/>
      <w:rPr>
        <w:rFonts w:ascii="方正小标宋简体" w:hAnsi="方正小标宋简体" w:eastAsia="方正小标宋简体"/>
      </w:rPr>
    </w:pPr>
    <w:r>
      <mc:AlternateContent>
        <mc:Choice Requires="wps">
          <w:drawing>
            <wp:anchor distT="0" distB="0" distL="114300" distR="114300" simplePos="0" relativeHeight="251660288"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26030853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2CC9392">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60288;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4ZKZ&#10;1AAAAAkBAAAPAAAAAAAAAAEAIAAAACIAAABkcnMvZG93bnJldi54bWxQSwECFAAUAAAACACHTuJA&#10;NpZT1F4CAAClBAAADgAAAAAAAAABACAAAAAjAQAAZHJzL2Uyb0RvYy54bWxQSwUGAAAAAAYABgBZ&#10;AQAA8wUAAAAA&#10;">
              <v:fill on="t" focussize="0,0"/>
              <v:stroke on="f" weight="0.5pt"/>
              <v:imagedata o:title=""/>
              <o:lock v:ext="edit" aspectratio="f"/>
              <v:textbox>
                <w:txbxContent>
                  <w:p w14:paraId="42CC9392">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3E618D"/>
    <w:multiLevelType w:val="multilevel"/>
    <w:tmpl w:val="AE3E618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BAC9C657"/>
    <w:multiLevelType w:val="singleLevel"/>
    <w:tmpl w:val="BAC9C657"/>
    <w:lvl w:ilvl="0" w:tentative="0">
      <w:start w:val="4"/>
      <w:numFmt w:val="chineseCounting"/>
      <w:suff w:val="nothing"/>
      <w:lvlText w:val="%1、"/>
      <w:lvlJc w:val="left"/>
      <w:rPr>
        <w:rFonts w:hint="eastAsia"/>
      </w:rPr>
    </w:lvl>
  </w:abstractNum>
  <w:abstractNum w:abstractNumId="2">
    <w:nsid w:val="7F595332"/>
    <w:multiLevelType w:val="singleLevel"/>
    <w:tmpl w:val="7F595332"/>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ZhMWNmMzgzMzJhYzQ2M2I4MmJjMmQyYjA1OGI1OGEifQ=="/>
  </w:docVars>
  <w:rsids>
    <w:rsidRoot w:val="00172A27"/>
    <w:rsid w:val="000002E4"/>
    <w:rsid w:val="000160BE"/>
    <w:rsid w:val="000203E0"/>
    <w:rsid w:val="000210E0"/>
    <w:rsid w:val="00021921"/>
    <w:rsid w:val="0002577A"/>
    <w:rsid w:val="00033082"/>
    <w:rsid w:val="00044088"/>
    <w:rsid w:val="00045E3A"/>
    <w:rsid w:val="00053590"/>
    <w:rsid w:val="0006001D"/>
    <w:rsid w:val="00066041"/>
    <w:rsid w:val="00076794"/>
    <w:rsid w:val="00076867"/>
    <w:rsid w:val="0008122A"/>
    <w:rsid w:val="00083AE5"/>
    <w:rsid w:val="00087488"/>
    <w:rsid w:val="0009050A"/>
    <w:rsid w:val="0009721F"/>
    <w:rsid w:val="000A4E73"/>
    <w:rsid w:val="000A79F2"/>
    <w:rsid w:val="000B1BD2"/>
    <w:rsid w:val="000C0F0D"/>
    <w:rsid w:val="000C13BC"/>
    <w:rsid w:val="000C4A5D"/>
    <w:rsid w:val="000C66EE"/>
    <w:rsid w:val="000D28E5"/>
    <w:rsid w:val="000D34D7"/>
    <w:rsid w:val="000D7329"/>
    <w:rsid w:val="000E4EAC"/>
    <w:rsid w:val="000F657C"/>
    <w:rsid w:val="00100633"/>
    <w:rsid w:val="00106FAB"/>
    <w:rsid w:val="001072BC"/>
    <w:rsid w:val="00114BD6"/>
    <w:rsid w:val="00130F6D"/>
    <w:rsid w:val="00131133"/>
    <w:rsid w:val="00133554"/>
    <w:rsid w:val="00143F59"/>
    <w:rsid w:val="00144082"/>
    <w:rsid w:val="00147389"/>
    <w:rsid w:val="00153DD8"/>
    <w:rsid w:val="0016381F"/>
    <w:rsid w:val="00163A48"/>
    <w:rsid w:val="00164BA3"/>
    <w:rsid w:val="00164E36"/>
    <w:rsid w:val="001668F7"/>
    <w:rsid w:val="001678A2"/>
    <w:rsid w:val="00172A27"/>
    <w:rsid w:val="00183AA1"/>
    <w:rsid w:val="0018767C"/>
    <w:rsid w:val="001A085B"/>
    <w:rsid w:val="001A135C"/>
    <w:rsid w:val="001A4C95"/>
    <w:rsid w:val="001B0D49"/>
    <w:rsid w:val="001B546F"/>
    <w:rsid w:val="001B55A9"/>
    <w:rsid w:val="001C16FC"/>
    <w:rsid w:val="001C2E3E"/>
    <w:rsid w:val="001C388D"/>
    <w:rsid w:val="001D7088"/>
    <w:rsid w:val="001E0494"/>
    <w:rsid w:val="001E1D2D"/>
    <w:rsid w:val="001E5A17"/>
    <w:rsid w:val="001F284E"/>
    <w:rsid w:val="001F332E"/>
    <w:rsid w:val="00217861"/>
    <w:rsid w:val="002204E4"/>
    <w:rsid w:val="002211BF"/>
    <w:rsid w:val="00233F15"/>
    <w:rsid w:val="002420F1"/>
    <w:rsid w:val="00253AC8"/>
    <w:rsid w:val="00256B39"/>
    <w:rsid w:val="00256CFB"/>
    <w:rsid w:val="0026033C"/>
    <w:rsid w:val="00261409"/>
    <w:rsid w:val="002645FD"/>
    <w:rsid w:val="00271BE3"/>
    <w:rsid w:val="0027339A"/>
    <w:rsid w:val="00273B23"/>
    <w:rsid w:val="00274E82"/>
    <w:rsid w:val="002757AB"/>
    <w:rsid w:val="0027777C"/>
    <w:rsid w:val="00277FE7"/>
    <w:rsid w:val="002811C2"/>
    <w:rsid w:val="002877FA"/>
    <w:rsid w:val="00290962"/>
    <w:rsid w:val="0029110B"/>
    <w:rsid w:val="002A305C"/>
    <w:rsid w:val="002A4649"/>
    <w:rsid w:val="002A7227"/>
    <w:rsid w:val="002B0773"/>
    <w:rsid w:val="002B0C48"/>
    <w:rsid w:val="002B13CA"/>
    <w:rsid w:val="002B3650"/>
    <w:rsid w:val="002B5821"/>
    <w:rsid w:val="002B7322"/>
    <w:rsid w:val="002C58B6"/>
    <w:rsid w:val="002D0E86"/>
    <w:rsid w:val="002D525C"/>
    <w:rsid w:val="002D7C47"/>
    <w:rsid w:val="002E33CE"/>
    <w:rsid w:val="002E3721"/>
    <w:rsid w:val="002E5925"/>
    <w:rsid w:val="002E6F95"/>
    <w:rsid w:val="002E764D"/>
    <w:rsid w:val="002F3157"/>
    <w:rsid w:val="002F6BD5"/>
    <w:rsid w:val="00301D1E"/>
    <w:rsid w:val="00305F23"/>
    <w:rsid w:val="0031180E"/>
    <w:rsid w:val="00313BBA"/>
    <w:rsid w:val="00317E29"/>
    <w:rsid w:val="00321515"/>
    <w:rsid w:val="0032602E"/>
    <w:rsid w:val="00327B8C"/>
    <w:rsid w:val="00331638"/>
    <w:rsid w:val="00333BCE"/>
    <w:rsid w:val="003344A7"/>
    <w:rsid w:val="00334623"/>
    <w:rsid w:val="003367AE"/>
    <w:rsid w:val="00340439"/>
    <w:rsid w:val="00344EF2"/>
    <w:rsid w:val="00347EB8"/>
    <w:rsid w:val="00347F80"/>
    <w:rsid w:val="00353F74"/>
    <w:rsid w:val="003557DE"/>
    <w:rsid w:val="00361BEB"/>
    <w:rsid w:val="00363C65"/>
    <w:rsid w:val="00365D31"/>
    <w:rsid w:val="00370184"/>
    <w:rsid w:val="00373C8A"/>
    <w:rsid w:val="003757E9"/>
    <w:rsid w:val="00377C10"/>
    <w:rsid w:val="00384A1F"/>
    <w:rsid w:val="00384D60"/>
    <w:rsid w:val="00385D41"/>
    <w:rsid w:val="003861BA"/>
    <w:rsid w:val="0038725C"/>
    <w:rsid w:val="003A1680"/>
    <w:rsid w:val="003A373C"/>
    <w:rsid w:val="003A5874"/>
    <w:rsid w:val="003B1258"/>
    <w:rsid w:val="003B23C9"/>
    <w:rsid w:val="003B4A81"/>
    <w:rsid w:val="003C1F8D"/>
    <w:rsid w:val="003C2D9B"/>
    <w:rsid w:val="003C61A5"/>
    <w:rsid w:val="003D012F"/>
    <w:rsid w:val="003D01A9"/>
    <w:rsid w:val="003D1968"/>
    <w:rsid w:val="003D4994"/>
    <w:rsid w:val="003D623D"/>
    <w:rsid w:val="003E10A5"/>
    <w:rsid w:val="003E7D72"/>
    <w:rsid w:val="003F3923"/>
    <w:rsid w:val="003F43F6"/>
    <w:rsid w:val="003F590A"/>
    <w:rsid w:val="004019DB"/>
    <w:rsid w:val="00402B67"/>
    <w:rsid w:val="00403C91"/>
    <w:rsid w:val="0040433E"/>
    <w:rsid w:val="00404974"/>
    <w:rsid w:val="00406ECF"/>
    <w:rsid w:val="0040726A"/>
    <w:rsid w:val="004100B0"/>
    <w:rsid w:val="0041267F"/>
    <w:rsid w:val="004142D3"/>
    <w:rsid w:val="00424BA5"/>
    <w:rsid w:val="00425431"/>
    <w:rsid w:val="00431829"/>
    <w:rsid w:val="00437B60"/>
    <w:rsid w:val="004405E6"/>
    <w:rsid w:val="004426F1"/>
    <w:rsid w:val="00443C84"/>
    <w:rsid w:val="00443C89"/>
    <w:rsid w:val="00452B7D"/>
    <w:rsid w:val="004540AA"/>
    <w:rsid w:val="00456BD8"/>
    <w:rsid w:val="00456DC8"/>
    <w:rsid w:val="0046549D"/>
    <w:rsid w:val="00471668"/>
    <w:rsid w:val="004747B8"/>
    <w:rsid w:val="00480CCF"/>
    <w:rsid w:val="00481F98"/>
    <w:rsid w:val="004852BF"/>
    <w:rsid w:val="00487A46"/>
    <w:rsid w:val="00493504"/>
    <w:rsid w:val="00494579"/>
    <w:rsid w:val="00497168"/>
    <w:rsid w:val="00497334"/>
    <w:rsid w:val="004A3DAC"/>
    <w:rsid w:val="004A4645"/>
    <w:rsid w:val="004A6F3A"/>
    <w:rsid w:val="004B1442"/>
    <w:rsid w:val="004B408D"/>
    <w:rsid w:val="004B6F68"/>
    <w:rsid w:val="004B73F7"/>
    <w:rsid w:val="004C1E8A"/>
    <w:rsid w:val="004C5B36"/>
    <w:rsid w:val="004D3745"/>
    <w:rsid w:val="004D4FB3"/>
    <w:rsid w:val="004D75A6"/>
    <w:rsid w:val="004E3456"/>
    <w:rsid w:val="004F0221"/>
    <w:rsid w:val="004F3DF0"/>
    <w:rsid w:val="005074E1"/>
    <w:rsid w:val="005126F1"/>
    <w:rsid w:val="00513F2F"/>
    <w:rsid w:val="0051403F"/>
    <w:rsid w:val="0051612A"/>
    <w:rsid w:val="00517176"/>
    <w:rsid w:val="0052192E"/>
    <w:rsid w:val="00524300"/>
    <w:rsid w:val="00541F72"/>
    <w:rsid w:val="00542388"/>
    <w:rsid w:val="00543FC6"/>
    <w:rsid w:val="00544523"/>
    <w:rsid w:val="005467DC"/>
    <w:rsid w:val="00546A82"/>
    <w:rsid w:val="00547C51"/>
    <w:rsid w:val="00551335"/>
    <w:rsid w:val="005519BB"/>
    <w:rsid w:val="005523FD"/>
    <w:rsid w:val="00553D03"/>
    <w:rsid w:val="00555BA0"/>
    <w:rsid w:val="00556E41"/>
    <w:rsid w:val="0057496F"/>
    <w:rsid w:val="005770A6"/>
    <w:rsid w:val="00587164"/>
    <w:rsid w:val="0059045B"/>
    <w:rsid w:val="00591EDE"/>
    <w:rsid w:val="005940D6"/>
    <w:rsid w:val="00596E16"/>
    <w:rsid w:val="00597EC2"/>
    <w:rsid w:val="005A13AB"/>
    <w:rsid w:val="005B1150"/>
    <w:rsid w:val="005B1FFC"/>
    <w:rsid w:val="005B2B6D"/>
    <w:rsid w:val="005B4B4E"/>
    <w:rsid w:val="005C3A76"/>
    <w:rsid w:val="005D5B6F"/>
    <w:rsid w:val="005E38A5"/>
    <w:rsid w:val="005E7118"/>
    <w:rsid w:val="005F5185"/>
    <w:rsid w:val="00603355"/>
    <w:rsid w:val="00604E27"/>
    <w:rsid w:val="006179AB"/>
    <w:rsid w:val="0062115C"/>
    <w:rsid w:val="00622101"/>
    <w:rsid w:val="0062265B"/>
    <w:rsid w:val="00624B5C"/>
    <w:rsid w:val="00624FE1"/>
    <w:rsid w:val="0062577D"/>
    <w:rsid w:val="0063249D"/>
    <w:rsid w:val="006331EE"/>
    <w:rsid w:val="006332DC"/>
    <w:rsid w:val="00633E09"/>
    <w:rsid w:val="006355E6"/>
    <w:rsid w:val="00637463"/>
    <w:rsid w:val="00637E00"/>
    <w:rsid w:val="0064038A"/>
    <w:rsid w:val="00644D2E"/>
    <w:rsid w:val="0065167D"/>
    <w:rsid w:val="00652D13"/>
    <w:rsid w:val="0066595A"/>
    <w:rsid w:val="00666206"/>
    <w:rsid w:val="00672788"/>
    <w:rsid w:val="00676183"/>
    <w:rsid w:val="00680DA3"/>
    <w:rsid w:val="0068377F"/>
    <w:rsid w:val="00686A9E"/>
    <w:rsid w:val="00691B24"/>
    <w:rsid w:val="00695B93"/>
    <w:rsid w:val="00696887"/>
    <w:rsid w:val="00697C16"/>
    <w:rsid w:val="006A2E65"/>
    <w:rsid w:val="006A5A89"/>
    <w:rsid w:val="006B3BB9"/>
    <w:rsid w:val="006B48AC"/>
    <w:rsid w:val="006B5977"/>
    <w:rsid w:val="006D1B59"/>
    <w:rsid w:val="006D2F9C"/>
    <w:rsid w:val="006D4351"/>
    <w:rsid w:val="006D5424"/>
    <w:rsid w:val="006E5CA9"/>
    <w:rsid w:val="006E5E98"/>
    <w:rsid w:val="006E7A37"/>
    <w:rsid w:val="006F0D42"/>
    <w:rsid w:val="006F127F"/>
    <w:rsid w:val="006F3151"/>
    <w:rsid w:val="006F4897"/>
    <w:rsid w:val="006F6A1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453F9"/>
    <w:rsid w:val="00750501"/>
    <w:rsid w:val="00761B3B"/>
    <w:rsid w:val="00764FD9"/>
    <w:rsid w:val="007740B2"/>
    <w:rsid w:val="00774C1F"/>
    <w:rsid w:val="0078194F"/>
    <w:rsid w:val="007934A4"/>
    <w:rsid w:val="007A0AC9"/>
    <w:rsid w:val="007A1B70"/>
    <w:rsid w:val="007A5157"/>
    <w:rsid w:val="007A57F6"/>
    <w:rsid w:val="007A6D94"/>
    <w:rsid w:val="007B45B6"/>
    <w:rsid w:val="007B4FFB"/>
    <w:rsid w:val="007C0BCE"/>
    <w:rsid w:val="007C1D1B"/>
    <w:rsid w:val="007C30C5"/>
    <w:rsid w:val="007C3566"/>
    <w:rsid w:val="007C794A"/>
    <w:rsid w:val="007D3BC0"/>
    <w:rsid w:val="007D3D44"/>
    <w:rsid w:val="007D5326"/>
    <w:rsid w:val="007D5A33"/>
    <w:rsid w:val="007E4F3A"/>
    <w:rsid w:val="007E620F"/>
    <w:rsid w:val="007E663C"/>
    <w:rsid w:val="007E7795"/>
    <w:rsid w:val="0080066B"/>
    <w:rsid w:val="00803578"/>
    <w:rsid w:val="00813E26"/>
    <w:rsid w:val="00815B8D"/>
    <w:rsid w:val="00815B8E"/>
    <w:rsid w:val="00816D99"/>
    <w:rsid w:val="0082324C"/>
    <w:rsid w:val="00823D71"/>
    <w:rsid w:val="008245AF"/>
    <w:rsid w:val="008256B9"/>
    <w:rsid w:val="0083705D"/>
    <w:rsid w:val="0084242F"/>
    <w:rsid w:val="00845795"/>
    <w:rsid w:val="00847437"/>
    <w:rsid w:val="00871FE9"/>
    <w:rsid w:val="00882E15"/>
    <w:rsid w:val="00883C73"/>
    <w:rsid w:val="008901A2"/>
    <w:rsid w:val="0089402C"/>
    <w:rsid w:val="008A08B0"/>
    <w:rsid w:val="008A64E6"/>
    <w:rsid w:val="008B0385"/>
    <w:rsid w:val="008B1082"/>
    <w:rsid w:val="008B188E"/>
    <w:rsid w:val="008B397C"/>
    <w:rsid w:val="008B3CB1"/>
    <w:rsid w:val="008B47F4"/>
    <w:rsid w:val="008B4B33"/>
    <w:rsid w:val="008B571B"/>
    <w:rsid w:val="008B7448"/>
    <w:rsid w:val="008B7E1E"/>
    <w:rsid w:val="008C2AE6"/>
    <w:rsid w:val="008C2DE8"/>
    <w:rsid w:val="008C5113"/>
    <w:rsid w:val="008C5B8A"/>
    <w:rsid w:val="008D3D5F"/>
    <w:rsid w:val="008D4E81"/>
    <w:rsid w:val="008D505F"/>
    <w:rsid w:val="008E0F55"/>
    <w:rsid w:val="008E585B"/>
    <w:rsid w:val="008F253F"/>
    <w:rsid w:val="008F7F31"/>
    <w:rsid w:val="00900019"/>
    <w:rsid w:val="009023B1"/>
    <w:rsid w:val="00907932"/>
    <w:rsid w:val="009147D6"/>
    <w:rsid w:val="00914D98"/>
    <w:rsid w:val="00925F8C"/>
    <w:rsid w:val="00927324"/>
    <w:rsid w:val="009328D7"/>
    <w:rsid w:val="00932ED7"/>
    <w:rsid w:val="00933990"/>
    <w:rsid w:val="00941B89"/>
    <w:rsid w:val="00941DEA"/>
    <w:rsid w:val="009603C6"/>
    <w:rsid w:val="009656CC"/>
    <w:rsid w:val="00970E8C"/>
    <w:rsid w:val="00971671"/>
    <w:rsid w:val="00981A37"/>
    <w:rsid w:val="009830B2"/>
    <w:rsid w:val="0099063E"/>
    <w:rsid w:val="00992356"/>
    <w:rsid w:val="00992674"/>
    <w:rsid w:val="00994793"/>
    <w:rsid w:val="00996AE3"/>
    <w:rsid w:val="009A0450"/>
    <w:rsid w:val="009A1E27"/>
    <w:rsid w:val="009A307B"/>
    <w:rsid w:val="009A451A"/>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5F42"/>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341B0"/>
    <w:rsid w:val="00A34AF8"/>
    <w:rsid w:val="00A40645"/>
    <w:rsid w:val="00A6016C"/>
    <w:rsid w:val="00A74B00"/>
    <w:rsid w:val="00A769B1"/>
    <w:rsid w:val="00A77DA3"/>
    <w:rsid w:val="00A837D5"/>
    <w:rsid w:val="00A83E04"/>
    <w:rsid w:val="00A87F9C"/>
    <w:rsid w:val="00A91091"/>
    <w:rsid w:val="00A93EE3"/>
    <w:rsid w:val="00A94BA9"/>
    <w:rsid w:val="00A976A4"/>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38E6"/>
    <w:rsid w:val="00B37D43"/>
    <w:rsid w:val="00B46F21"/>
    <w:rsid w:val="00B511A5"/>
    <w:rsid w:val="00B51CDE"/>
    <w:rsid w:val="00B56541"/>
    <w:rsid w:val="00B605ED"/>
    <w:rsid w:val="00B71F97"/>
    <w:rsid w:val="00B72538"/>
    <w:rsid w:val="00B736A7"/>
    <w:rsid w:val="00B7651F"/>
    <w:rsid w:val="00B919FA"/>
    <w:rsid w:val="00B94A16"/>
    <w:rsid w:val="00B957E8"/>
    <w:rsid w:val="00B96B85"/>
    <w:rsid w:val="00BA6044"/>
    <w:rsid w:val="00BA6441"/>
    <w:rsid w:val="00BB1A93"/>
    <w:rsid w:val="00BB2350"/>
    <w:rsid w:val="00BC14BF"/>
    <w:rsid w:val="00BC1B10"/>
    <w:rsid w:val="00BC2625"/>
    <w:rsid w:val="00BC303E"/>
    <w:rsid w:val="00BC3200"/>
    <w:rsid w:val="00BC338A"/>
    <w:rsid w:val="00BD7AB0"/>
    <w:rsid w:val="00BE04ED"/>
    <w:rsid w:val="00BE2696"/>
    <w:rsid w:val="00BF3C20"/>
    <w:rsid w:val="00C003BD"/>
    <w:rsid w:val="00C011BC"/>
    <w:rsid w:val="00C03DBA"/>
    <w:rsid w:val="00C112E7"/>
    <w:rsid w:val="00C11C78"/>
    <w:rsid w:val="00C11CD4"/>
    <w:rsid w:val="00C12A7C"/>
    <w:rsid w:val="00C15061"/>
    <w:rsid w:val="00C15084"/>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0799"/>
    <w:rsid w:val="00CC59E6"/>
    <w:rsid w:val="00CD5BDD"/>
    <w:rsid w:val="00CE7C03"/>
    <w:rsid w:val="00CF096B"/>
    <w:rsid w:val="00CF10F7"/>
    <w:rsid w:val="00CF5EE3"/>
    <w:rsid w:val="00CF691F"/>
    <w:rsid w:val="00D00D99"/>
    <w:rsid w:val="00D013A4"/>
    <w:rsid w:val="00D026DC"/>
    <w:rsid w:val="00D15595"/>
    <w:rsid w:val="00D343A8"/>
    <w:rsid w:val="00D343F8"/>
    <w:rsid w:val="00D35AAA"/>
    <w:rsid w:val="00D371E6"/>
    <w:rsid w:val="00D37832"/>
    <w:rsid w:val="00D44860"/>
    <w:rsid w:val="00D47689"/>
    <w:rsid w:val="00D50C42"/>
    <w:rsid w:val="00D57CF5"/>
    <w:rsid w:val="00D612BC"/>
    <w:rsid w:val="00D62F98"/>
    <w:rsid w:val="00D66FD6"/>
    <w:rsid w:val="00D8285B"/>
    <w:rsid w:val="00D862EB"/>
    <w:rsid w:val="00D86619"/>
    <w:rsid w:val="00D92E0D"/>
    <w:rsid w:val="00D93E7C"/>
    <w:rsid w:val="00DA7089"/>
    <w:rsid w:val="00DB075A"/>
    <w:rsid w:val="00DB2BE6"/>
    <w:rsid w:val="00DB76B3"/>
    <w:rsid w:val="00DC60DF"/>
    <w:rsid w:val="00DD1052"/>
    <w:rsid w:val="00DD3C7B"/>
    <w:rsid w:val="00DD416B"/>
    <w:rsid w:val="00DD7563"/>
    <w:rsid w:val="00DE2B21"/>
    <w:rsid w:val="00DE48DE"/>
    <w:rsid w:val="00DF02D8"/>
    <w:rsid w:val="00DF25F2"/>
    <w:rsid w:val="00DF4166"/>
    <w:rsid w:val="00E000F4"/>
    <w:rsid w:val="00E01231"/>
    <w:rsid w:val="00E04279"/>
    <w:rsid w:val="00E11393"/>
    <w:rsid w:val="00E125D9"/>
    <w:rsid w:val="00E13491"/>
    <w:rsid w:val="00E16D30"/>
    <w:rsid w:val="00E21D76"/>
    <w:rsid w:val="00E27AE0"/>
    <w:rsid w:val="00E31E69"/>
    <w:rsid w:val="00E33169"/>
    <w:rsid w:val="00E34A7B"/>
    <w:rsid w:val="00E34BFD"/>
    <w:rsid w:val="00E40973"/>
    <w:rsid w:val="00E425F3"/>
    <w:rsid w:val="00E545FF"/>
    <w:rsid w:val="00E6080E"/>
    <w:rsid w:val="00E64168"/>
    <w:rsid w:val="00E655B3"/>
    <w:rsid w:val="00E7002F"/>
    <w:rsid w:val="00E7081D"/>
    <w:rsid w:val="00E70904"/>
    <w:rsid w:val="00E71319"/>
    <w:rsid w:val="00E75171"/>
    <w:rsid w:val="00E804B0"/>
    <w:rsid w:val="00E86772"/>
    <w:rsid w:val="00E90B8B"/>
    <w:rsid w:val="00E93ADD"/>
    <w:rsid w:val="00E952D8"/>
    <w:rsid w:val="00EA7F12"/>
    <w:rsid w:val="00EB00E4"/>
    <w:rsid w:val="00EB28DA"/>
    <w:rsid w:val="00EB3812"/>
    <w:rsid w:val="00EB44A7"/>
    <w:rsid w:val="00EB44EB"/>
    <w:rsid w:val="00EB66B8"/>
    <w:rsid w:val="00EB752B"/>
    <w:rsid w:val="00EB791E"/>
    <w:rsid w:val="00EC70A9"/>
    <w:rsid w:val="00ED4C3A"/>
    <w:rsid w:val="00EE1C85"/>
    <w:rsid w:val="00EF21D9"/>
    <w:rsid w:val="00EF2A94"/>
    <w:rsid w:val="00EF32FB"/>
    <w:rsid w:val="00EF44B1"/>
    <w:rsid w:val="00EF4865"/>
    <w:rsid w:val="00EF5954"/>
    <w:rsid w:val="00F00E27"/>
    <w:rsid w:val="00F100D2"/>
    <w:rsid w:val="00F12942"/>
    <w:rsid w:val="00F13C41"/>
    <w:rsid w:val="00F14886"/>
    <w:rsid w:val="00F16421"/>
    <w:rsid w:val="00F201EE"/>
    <w:rsid w:val="00F35AA0"/>
    <w:rsid w:val="00F363AA"/>
    <w:rsid w:val="00F43C49"/>
    <w:rsid w:val="00F45C12"/>
    <w:rsid w:val="00F51CA3"/>
    <w:rsid w:val="00F5444E"/>
    <w:rsid w:val="00F544A2"/>
    <w:rsid w:val="00F71392"/>
    <w:rsid w:val="00F73D03"/>
    <w:rsid w:val="00F76CB9"/>
    <w:rsid w:val="00F77A73"/>
    <w:rsid w:val="00F80E46"/>
    <w:rsid w:val="00F8501A"/>
    <w:rsid w:val="00F87A97"/>
    <w:rsid w:val="00F96236"/>
    <w:rsid w:val="00FA10CE"/>
    <w:rsid w:val="00FA222F"/>
    <w:rsid w:val="00FA2891"/>
    <w:rsid w:val="00FB2976"/>
    <w:rsid w:val="00FB693D"/>
    <w:rsid w:val="00FB7768"/>
    <w:rsid w:val="00FC6FA5"/>
    <w:rsid w:val="00FC7489"/>
    <w:rsid w:val="00FD1BA8"/>
    <w:rsid w:val="00FD218F"/>
    <w:rsid w:val="00FD5663"/>
    <w:rsid w:val="00FD56C6"/>
    <w:rsid w:val="00FE3221"/>
    <w:rsid w:val="00FE48EA"/>
    <w:rsid w:val="00FE571F"/>
    <w:rsid w:val="00FF0698"/>
    <w:rsid w:val="00FF08F6"/>
    <w:rsid w:val="00FF47F6"/>
    <w:rsid w:val="00FF6759"/>
    <w:rsid w:val="016E63C2"/>
    <w:rsid w:val="024B0C39"/>
    <w:rsid w:val="031E278B"/>
    <w:rsid w:val="03217B69"/>
    <w:rsid w:val="03530140"/>
    <w:rsid w:val="06EA1A9B"/>
    <w:rsid w:val="0A8128A6"/>
    <w:rsid w:val="0BF32A1B"/>
    <w:rsid w:val="0D1112F7"/>
    <w:rsid w:val="10BD2C22"/>
    <w:rsid w:val="160F5536"/>
    <w:rsid w:val="1703078E"/>
    <w:rsid w:val="22987C80"/>
    <w:rsid w:val="23EE1EFC"/>
    <w:rsid w:val="24192CCC"/>
    <w:rsid w:val="24735546"/>
    <w:rsid w:val="24991A52"/>
    <w:rsid w:val="25FB36EC"/>
    <w:rsid w:val="275A59B4"/>
    <w:rsid w:val="2C6270DE"/>
    <w:rsid w:val="2DB77EC3"/>
    <w:rsid w:val="2F9F0A1A"/>
    <w:rsid w:val="311C17EC"/>
    <w:rsid w:val="31900060"/>
    <w:rsid w:val="341C228B"/>
    <w:rsid w:val="3687595A"/>
    <w:rsid w:val="39A66CD4"/>
    <w:rsid w:val="3CD52CE1"/>
    <w:rsid w:val="3CF4720D"/>
    <w:rsid w:val="3EDF1D4E"/>
    <w:rsid w:val="410F2E6A"/>
    <w:rsid w:val="4430136C"/>
    <w:rsid w:val="443E0C8F"/>
    <w:rsid w:val="45260E40"/>
    <w:rsid w:val="4560673A"/>
    <w:rsid w:val="478657BA"/>
    <w:rsid w:val="4A11580F"/>
    <w:rsid w:val="4AB0382B"/>
    <w:rsid w:val="4C155F8C"/>
    <w:rsid w:val="4C9646F1"/>
    <w:rsid w:val="4CF84CBE"/>
    <w:rsid w:val="50115BCE"/>
    <w:rsid w:val="55654C60"/>
    <w:rsid w:val="569868B5"/>
    <w:rsid w:val="5BBB440B"/>
    <w:rsid w:val="5D8B63DD"/>
    <w:rsid w:val="611F6817"/>
    <w:rsid w:val="6181593A"/>
    <w:rsid w:val="636B1FDC"/>
    <w:rsid w:val="640A35A3"/>
    <w:rsid w:val="64E30D41"/>
    <w:rsid w:val="655A3F19"/>
    <w:rsid w:val="66CA1754"/>
    <w:rsid w:val="694F3860"/>
    <w:rsid w:val="6F1E65D4"/>
    <w:rsid w:val="6F266C86"/>
    <w:rsid w:val="6F5042C2"/>
    <w:rsid w:val="70FC4273"/>
    <w:rsid w:val="73555EBD"/>
    <w:rsid w:val="74316312"/>
    <w:rsid w:val="745464C6"/>
    <w:rsid w:val="759B4903"/>
    <w:rsid w:val="780F13C8"/>
    <w:rsid w:val="7C385448"/>
    <w:rsid w:val="7CB3663D"/>
    <w:rsid w:val="7E273C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9</Pages>
  <Words>685</Words>
  <Characters>750</Characters>
  <Lines>53</Lines>
  <Paragraphs>15</Paragraphs>
  <TotalTime>74</TotalTime>
  <ScaleCrop>false</ScaleCrop>
  <LinksUpToDate>false</LinksUpToDate>
  <CharactersWithSpaces>765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2024-02-23T07:44:00Z</dcterms:created>
  <dc:creator>juvg</dc:creator>
  <cp:lastModifiedBy>陈银春</cp:lastModifiedBy>
  <cp:lastPrinted>2023-11-21T00:52:00Z</cp:lastPrinted>
  <dcterms:modified xsi:type="dcterms:W3CDTF">2026-09-18T04:18:50Z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7A7B6AC57C0C44A1A46402417E2DA681_13</vt:lpwstr>
  </property>
  <property fmtid="{D5CDD505-2E9C-101B-9397-08002B2CF9AE}" pid="4" name="KSOTemplateDocerSaveRecord">
    <vt:lpwstr>eyJoZGlkIjoiYTNhOTg2ZGRiNDYzMTY3OWI4NDhjMDlkZWU4NmUwNjIiLCJ1c2VySWQiOiI3MzQyMjM4MTIifQ==</vt:lpwstr>
  </property>
</Properties>
</file>