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SimHei" w:hAnsi="SimHei" w:cs="SimHei" w:eastAsia="SimHei"/>
          <w:color w:val="auto"/>
          <w:spacing w:val="0"/>
          <w:position w:val="0"/>
          <w:sz w:val="32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32"/>
          <w:shd w:fill="auto" w:val="clear"/>
        </w:rPr>
        <w:t xml:space="preserve">《日语拓展训练2》本科课程教学大纲</w:t>
      </w:r>
    </w:p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一、课程基本信息</w:t>
      </w:r>
    </w:p>
    <w:tbl>
      <w:tblPr/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rPr>
          <w:trHeight w:val="340" w:hRule="auto"/>
          <w:jc w:val="left"/>
        </w:trPr>
        <w:tc>
          <w:tcPr>
            <w:tcW w:w="1691" w:type="dxa"/>
            <w:vMerge w:val="restart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课程名称</w:t>
            </w:r>
          </w:p>
        </w:tc>
        <w:tc>
          <w:tcPr>
            <w:tcW w:w="6585" w:type="dxa"/>
            <w:gridSpan w:val="6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（中文）日语拓展训练2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（英文）</w:t>
            </w: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Japanese outward bound2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课程代码</w:t>
            </w:r>
          </w:p>
        </w:tc>
        <w:tc>
          <w:tcPr>
            <w:tcW w:w="2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2145028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课程学分</w:t>
            </w:r>
          </w:p>
        </w:tc>
        <w:tc>
          <w:tcPr>
            <w:tcW w:w="21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课程学时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</w:p>
        </w:tc>
        <w:tc>
          <w:tcPr>
            <w:tcW w:w="2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32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理论学时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0</w:t>
            </w:r>
          </w:p>
        </w:tc>
        <w:tc>
          <w:tcPr>
            <w:tcW w:w="141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实践学时</w:t>
            </w:r>
          </w:p>
        </w:tc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32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开课学院</w:t>
            </w:r>
          </w:p>
        </w:tc>
        <w:tc>
          <w:tcPr>
            <w:tcW w:w="2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国际教育学院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适用专业与年级</w:t>
            </w:r>
          </w:p>
        </w:tc>
        <w:tc>
          <w:tcPr>
            <w:tcW w:w="21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日语专业第二学期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课程类别与性质</w:t>
            </w:r>
          </w:p>
        </w:tc>
        <w:tc>
          <w:tcPr>
            <w:tcW w:w="2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专业选修课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考核方式</w:t>
            </w:r>
          </w:p>
        </w:tc>
        <w:tc>
          <w:tcPr>
            <w:tcW w:w="21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考查</w:t>
            </w:r>
          </w:p>
        </w:tc>
      </w:tr>
      <w:tr>
        <w:trPr>
          <w:trHeight w:val="34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选用教材</w:t>
            </w:r>
          </w:p>
        </w:tc>
        <w:tc>
          <w:tcPr>
            <w:tcW w:w="43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《日语拓展训练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》自编</w:t>
            </w:r>
          </w:p>
        </w:tc>
        <w:tc>
          <w:tcPr>
            <w:tcW w:w="141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是否为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马工程教材</w:t>
            </w:r>
          </w:p>
        </w:tc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12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否</w:t>
            </w:r>
          </w:p>
        </w:tc>
      </w:tr>
      <w:tr>
        <w:trPr>
          <w:trHeight w:val="68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先修课程</w:t>
            </w:r>
          </w:p>
        </w:tc>
        <w:tc>
          <w:tcPr>
            <w:tcW w:w="658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《日语拓展训练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》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2145027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（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）</w:t>
            </w:r>
          </w:p>
        </w:tc>
      </w:tr>
      <w:tr>
        <w:trPr>
          <w:trHeight w:val="3796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课程简介</w:t>
            </w:r>
          </w:p>
        </w:tc>
        <w:tc>
          <w:tcPr>
            <w:tcW w:w="658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88"/>
              <w:ind w:right="0" w:left="0" w:firstLine="40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88"/>
              <w:ind w:right="0" w:left="0" w:firstLine="40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本课程是日语专业的专业基础选修课，共开设四个学期。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日语拓展训练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开设在第一学年第二学期，作为《基础日语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》课程的强化训练和补充。本课程课时数为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，且全部为实践课时，即独立实践课，共计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学分。</w:t>
            </w:r>
          </w:p>
          <w:p>
            <w:pPr>
              <w:spacing w:before="0" w:after="0" w:line="300"/>
              <w:ind w:right="0" w:left="0" w:firstLine="40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《日语拓展训练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》与《日语拓展训练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》相同，以任务型专项训练模式为主，重点培养学生基础语言运用能力。任务设计循序渐进，由简入繁、由易入难，选材真实生动、文化内涵丰富，涵盖社会、文化、经济、自然、科学、娱乐等诸多领域，即有实战性，又有趣味性。</w:t>
            </w:r>
          </w:p>
          <w:p>
            <w:pPr>
              <w:spacing w:before="0" w:after="0" w:line="300"/>
              <w:ind w:right="0" w:left="0" w:firstLine="40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本课程编写的阅读材料依托当课的课程思政点，通过阅读提高学生的理解能力与表达能力，同时激发学生思考课程思政的相关内容，真正做到育知和育德的有机融合，达到育人和育才的真正统一。</w:t>
            </w:r>
          </w:p>
        </w:tc>
      </w:tr>
      <w:tr>
        <w:trPr>
          <w:trHeight w:val="779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选课建议与学习要求</w:t>
            </w:r>
          </w:p>
        </w:tc>
        <w:tc>
          <w:tcPr>
            <w:tcW w:w="658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40"/>
              <w:ind w:right="0" w:left="0" w:firstLine="40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本课程在本科日语专业第一学年第二学期开设。与基础日语课程同步，培养日语语言基础能力，要求日语初学者具备日语基本能力、思考问题的能力，培养大学生理想信念、价值取向等。</w:t>
            </w:r>
          </w:p>
        </w:tc>
      </w:tr>
      <w:tr>
        <w:trPr>
          <w:trHeight w:val="52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大纲编写人</w:t>
            </w:r>
          </w:p>
        </w:tc>
        <w:tc>
          <w:tcPr>
            <w:tcW w:w="35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800" w:dyaOrig="1098">
                <v:rect xmlns:o="urn:schemas-microsoft-com:office:office" xmlns:v="urn:schemas-microsoft-com:vml" id="rectole0000000000" style="width:90.000000pt;height:54.9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制/修订时间</w:t>
            </w:r>
          </w:p>
        </w:tc>
        <w:tc>
          <w:tcPr>
            <w:tcW w:w="16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2026.3.5</w:t>
            </w:r>
          </w:p>
        </w:tc>
      </w:tr>
      <w:tr>
        <w:trPr>
          <w:trHeight w:val="51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专业负责人</w:t>
            </w:r>
          </w:p>
        </w:tc>
        <w:tc>
          <w:tcPr>
            <w:tcW w:w="35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140" w:dyaOrig="824">
                <v:rect xmlns:o="urn:schemas-microsoft-com:office:office" xmlns:v="urn:schemas-microsoft-com:vml" id="rectole0000000001" style="width:57.000000pt;height:41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1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审定时间</w:t>
            </w:r>
          </w:p>
        </w:tc>
        <w:tc>
          <w:tcPr>
            <w:tcW w:w="16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2026.3.10</w:t>
            </w:r>
          </w:p>
        </w:tc>
      </w:tr>
      <w:tr>
        <w:trPr>
          <w:trHeight w:val="510" w:hRule="auto"/>
          <w:jc w:val="left"/>
        </w:trPr>
        <w:tc>
          <w:tcPr>
            <w:tcW w:w="1691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学院负责人</w:t>
            </w:r>
          </w:p>
        </w:tc>
        <w:tc>
          <w:tcPr>
            <w:tcW w:w="3532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54" w:dyaOrig="840">
                <v:rect xmlns:o="urn:schemas-microsoft-com:office:office" xmlns:v="urn:schemas-microsoft-com:vml" id="rectole0000000002" style="width:72.700000pt;height:42.0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批准时间</w:t>
            </w:r>
          </w:p>
        </w:tc>
        <w:tc>
          <w:tcPr>
            <w:tcW w:w="1628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2026.3.10</w:t>
            </w:r>
          </w:p>
        </w:tc>
      </w:tr>
    </w:tbl>
    <w:p>
      <w:pPr>
        <w:spacing w:before="326" w:after="0" w:line="360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二、课程目标与毕业要求</w:t>
      </w:r>
    </w:p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（一）课程目标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1209"/>
        <w:gridCol w:w="767"/>
        <w:gridCol w:w="6300"/>
      </w:tblGrid>
      <w:tr>
        <w:trPr>
          <w:trHeight w:val="454" w:hRule="auto"/>
          <w:jc w:val="center"/>
        </w:trPr>
        <w:tc>
          <w:tcPr>
            <w:tcW w:w="120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类型</w:t>
            </w:r>
          </w:p>
        </w:tc>
        <w:tc>
          <w:tcPr>
            <w:tcW w:w="76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630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内容</w:t>
            </w:r>
          </w:p>
        </w:tc>
      </w:tr>
      <w:tr>
        <w:trPr>
          <w:trHeight w:val="340" w:hRule="auto"/>
          <w:jc w:val="center"/>
        </w:trPr>
        <w:tc>
          <w:tcPr>
            <w:tcW w:w="120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知识目标</w:t>
            </w:r>
          </w:p>
        </w:tc>
        <w:tc>
          <w:tcPr>
            <w:tcW w:w="76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630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掌握课文中的词汇以及基本句型</w:t>
            </w:r>
          </w:p>
        </w:tc>
      </w:tr>
      <w:tr>
        <w:trPr>
          <w:trHeight w:val="340" w:hRule="auto"/>
          <w:jc w:val="center"/>
        </w:trPr>
        <w:tc>
          <w:tcPr>
            <w:tcW w:w="1209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技能目标</w:t>
            </w:r>
          </w:p>
        </w:tc>
        <w:tc>
          <w:tcPr>
            <w:tcW w:w="76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630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具备一定的阅读能力</w:t>
            </w:r>
          </w:p>
        </w:tc>
      </w:tr>
      <w:tr>
        <w:trPr>
          <w:trHeight w:val="340" w:hRule="auto"/>
          <w:jc w:val="center"/>
        </w:trPr>
        <w:tc>
          <w:tcPr>
            <w:tcW w:w="1209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630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根据课文所给的课程思政点进行自主查阅资料、思考并发表观点</w:t>
            </w:r>
          </w:p>
        </w:tc>
      </w:tr>
      <w:tr>
        <w:trPr>
          <w:trHeight w:val="340" w:hRule="auto"/>
          <w:jc w:val="center"/>
        </w:trPr>
        <w:tc>
          <w:tcPr>
            <w:tcW w:w="120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素养目标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(含课程思政目标)</w:t>
            </w:r>
          </w:p>
        </w:tc>
        <w:tc>
          <w:tcPr>
            <w:tcW w:w="76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630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遵守学校的校纪校规，上课听从教师的教导</w:t>
            </w:r>
          </w:p>
        </w:tc>
      </w:tr>
    </w:tbl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（二）课程支撑的毕业要求</w:t>
      </w:r>
    </w:p>
    <w:tbl>
      <w:tblPr/>
      <w:tblGrid>
        <w:gridCol w:w="8276"/>
      </w:tblGrid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00" w:leader="none"/>
              </w:tabs>
              <w:spacing w:before="0" w:after="0" w:line="4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imSun" w:hAnsi="SimSun" w:cs="SimSun" w:eastAsia="SimSu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LO1品德修养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>
            <w:pPr>
              <w:tabs>
                <w:tab w:val="left" w:pos="4200" w:leader="none"/>
              </w:tabs>
              <w:spacing w:before="0" w:after="0" w:line="4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②遵纪守法，增强法律意识，培养法律思维，自觉遵守法律法规、校纪校规。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imSun" w:hAnsi="SimSun" w:cs="SimSun" w:eastAsia="SimSu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LO2专业能力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4"/>
                <w:shd w:fill="auto" w:val="clear"/>
              </w:rPr>
              <w:t xml:space="preserve">具有人文科学素养，具备从事某项工作或专业的理论知识、实践能力。</w:t>
            </w:r>
          </w:p>
          <w:p>
            <w:pPr>
              <w:tabs>
                <w:tab w:val="left" w:pos="4200" w:leader="none"/>
              </w:tabs>
              <w:spacing w:before="0" w:after="0" w:line="4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①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掌握日语语言基础知识，具有扎实的语言基本功和听、说、读、写、译等语言应用能力。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40"/>
              <w:ind w:right="0" w:left="0" w:firstLine="0"/>
              <w:jc w:val="both"/>
              <w:rPr>
                <w:rFonts w:ascii="SimSun" w:hAnsi="SimSun" w:cs="SimSun" w:eastAsia="SimSu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imSun" w:hAnsi="SimSun" w:cs="SimSun" w:eastAsia="SimSu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LO4 自主学习: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4"/>
                <w:shd w:fill="auto" w:val="clear"/>
              </w:rPr>
              <w:t xml:space="preserve">能根据环境需要确定自己的学习目标，并主动地通过搜集信息、分析信息、讨论、实践、质疑、创造等方法来实现学习目标。</w:t>
            </w:r>
          </w:p>
          <w:p>
            <w:pPr>
              <w:spacing w:before="0" w:after="0" w:line="4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4"/>
                <w:shd w:fill="auto" w:val="clear"/>
              </w:rPr>
              <w:t xml:space="preserve"> ①能根据需要确定学习目标，并设计学习计划。</w:t>
            </w:r>
          </w:p>
        </w:tc>
      </w:tr>
    </w:tbl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（三）毕业要求与课程目标的关系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762"/>
        <w:gridCol w:w="778"/>
        <w:gridCol w:w="778"/>
        <w:gridCol w:w="4641"/>
        <w:gridCol w:w="1317"/>
      </w:tblGrid>
      <w:tr>
        <w:trPr>
          <w:trHeight w:val="391" w:hRule="auto"/>
          <w:jc w:val="center"/>
        </w:trPr>
        <w:tc>
          <w:tcPr>
            <w:tcW w:w="76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毕业要求</w:t>
            </w:r>
          </w:p>
        </w:tc>
        <w:tc>
          <w:tcPr>
            <w:tcW w:w="77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指标点</w:t>
            </w:r>
          </w:p>
        </w:tc>
        <w:tc>
          <w:tcPr>
            <w:tcW w:w="77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支撑度</w:t>
            </w:r>
          </w:p>
        </w:tc>
        <w:tc>
          <w:tcPr>
            <w:tcW w:w="464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课程目标</w:t>
            </w:r>
          </w:p>
        </w:tc>
        <w:tc>
          <w:tcPr>
            <w:tcW w:w="1317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对指标点的贡献度</w:t>
            </w:r>
          </w:p>
        </w:tc>
      </w:tr>
      <w:tr>
        <w:trPr>
          <w:trHeight w:val="412" w:hRule="auto"/>
          <w:jc w:val="center"/>
        </w:trPr>
        <w:tc>
          <w:tcPr>
            <w:tcW w:w="76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LO1</w:t>
            </w:r>
          </w:p>
        </w:tc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②</w:t>
            </w:r>
          </w:p>
        </w:tc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H</w:t>
            </w:r>
          </w:p>
        </w:tc>
        <w:tc>
          <w:tcPr>
            <w:tcW w:w="4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4.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遵守学校的校纪校规，上课听从教师的教导</w:t>
            </w:r>
          </w:p>
        </w:tc>
        <w:tc>
          <w:tcPr>
            <w:tcW w:w="1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100%</w:t>
            </w:r>
          </w:p>
        </w:tc>
      </w:tr>
      <w:tr>
        <w:trPr>
          <w:trHeight w:val="446" w:hRule="auto"/>
          <w:jc w:val="center"/>
        </w:trPr>
        <w:tc>
          <w:tcPr>
            <w:tcW w:w="762" w:type="dxa"/>
            <w:vMerge w:val="restart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LO2</w:t>
            </w:r>
          </w:p>
        </w:tc>
        <w:tc>
          <w:tcPr>
            <w:tcW w:w="7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①</w:t>
            </w:r>
          </w:p>
        </w:tc>
        <w:tc>
          <w:tcPr>
            <w:tcW w:w="7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H</w:t>
            </w:r>
          </w:p>
        </w:tc>
        <w:tc>
          <w:tcPr>
            <w:tcW w:w="4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1.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掌握课文中的词汇以及基本句型</w:t>
            </w:r>
          </w:p>
        </w:tc>
        <w:tc>
          <w:tcPr>
            <w:tcW w:w="1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50%</w:t>
            </w:r>
          </w:p>
        </w:tc>
      </w:tr>
      <w:tr>
        <w:trPr>
          <w:trHeight w:val="340" w:hRule="auto"/>
          <w:jc w:val="center"/>
        </w:trPr>
        <w:tc>
          <w:tcPr>
            <w:tcW w:w="762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2.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具备一定的阅读理解能力</w:t>
            </w:r>
          </w:p>
        </w:tc>
        <w:tc>
          <w:tcPr>
            <w:tcW w:w="1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50%</w:t>
            </w:r>
          </w:p>
        </w:tc>
      </w:tr>
      <w:tr>
        <w:trPr>
          <w:trHeight w:val="340" w:hRule="auto"/>
          <w:jc w:val="center"/>
        </w:trPr>
        <w:tc>
          <w:tcPr>
            <w:tcW w:w="76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LO4</w:t>
            </w:r>
          </w:p>
        </w:tc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①</w:t>
            </w:r>
          </w:p>
        </w:tc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M</w:t>
            </w:r>
          </w:p>
        </w:tc>
        <w:tc>
          <w:tcPr>
            <w:tcW w:w="4641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3.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根据课文所给的课程思政点进行自主查阅资料、思考并发表观点</w:t>
            </w:r>
          </w:p>
        </w:tc>
        <w:tc>
          <w:tcPr>
            <w:tcW w:w="1317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100%</w:t>
            </w:r>
          </w:p>
        </w:tc>
      </w:tr>
    </w:tbl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三、实验</w:t>
      </w:r>
      <w:r>
        <w:rPr>
          <w:rFonts w:ascii="SimHei" w:hAnsi="SimHei" w:cs="SimHei" w:eastAsia="SimHei"/>
          <w:color w:val="000000"/>
          <w:spacing w:val="0"/>
          <w:position w:val="0"/>
          <w:sz w:val="28"/>
          <w:shd w:fill="auto" w:val="clear"/>
        </w:rPr>
        <w:t xml:space="preserve">内容与要求</w:t>
      </w:r>
    </w:p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（一）各实验项目的基本信息</w:t>
      </w:r>
    </w:p>
    <w:tbl>
      <w:tblPr/>
      <w:tblGrid>
        <w:gridCol w:w="1010"/>
        <w:gridCol w:w="3504"/>
        <w:gridCol w:w="1273"/>
        <w:gridCol w:w="851"/>
        <w:gridCol w:w="850"/>
        <w:gridCol w:w="788"/>
      </w:tblGrid>
      <w:tr>
        <w:trPr>
          <w:trHeight w:val="149" w:hRule="auto"/>
          <w:jc w:val="center"/>
        </w:trPr>
        <w:tc>
          <w:tcPr>
            <w:tcW w:w="1010" w:type="dxa"/>
            <w:vMerge w:val="restart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3504" w:type="dxa"/>
            <w:vMerge w:val="restart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实验项目名称</w:t>
            </w:r>
          </w:p>
        </w:tc>
        <w:tc>
          <w:tcPr>
            <w:tcW w:w="1273" w:type="dxa"/>
            <w:vMerge w:val="restart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实验类型</w:t>
            </w:r>
          </w:p>
        </w:tc>
        <w:tc>
          <w:tcPr>
            <w:tcW w:w="2489" w:type="dxa"/>
            <w:gridSpan w:val="3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学时分配</w:t>
            </w:r>
          </w:p>
        </w:tc>
      </w:tr>
      <w:tr>
        <w:trPr>
          <w:trHeight w:val="149" w:hRule="auto"/>
          <w:jc w:val="center"/>
        </w:trPr>
        <w:tc>
          <w:tcPr>
            <w:tcW w:w="1010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4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理论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实践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000000"/>
                <w:spacing w:val="0"/>
                <w:position w:val="0"/>
                <w:sz w:val="21"/>
                <w:shd w:fill="auto" w:val="clear"/>
              </w:rPr>
              <w:t xml:space="preserve">小计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一課　新学期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573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二課　春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のバーゲン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三課　病気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四課　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ご馳走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五課　地下鉄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に乗る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68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六課　誕生日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七課　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と中国語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8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八課　体験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を話す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9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九課　読書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のレポート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第十課　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の授業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11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一課　敬語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12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二課　日本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の先生を迎える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13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三課　東京見物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14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第十四課　工場現場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15</w:t>
            </w:r>
          </w:p>
        </w:tc>
        <w:tc>
          <w:tcPr>
            <w:tcW w:w="35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第十五課　家庭訪問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101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16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复习、考核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8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</w:tr>
      <w:tr>
        <w:trPr>
          <w:trHeight w:val="454" w:hRule="auto"/>
          <w:jc w:val="center"/>
        </w:trPr>
        <w:tc>
          <w:tcPr>
            <w:tcW w:w="8276" w:type="dxa"/>
            <w:gridSpan w:val="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实验类型：①演示型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②验证型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③设计型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④综合型</w:t>
            </w:r>
          </w:p>
        </w:tc>
      </w:tr>
    </w:tbl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（二）各实验项目教学目标、内容与要求</w:t>
      </w:r>
    </w:p>
    <w:tbl>
      <w:tblPr/>
      <w:tblGrid>
        <w:gridCol w:w="8276"/>
      </w:tblGrid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实验1：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18"/>
                <w:shd w:fill="auto" w:val="clear"/>
              </w:rPr>
              <w:t xml:space="preserve">新学期</w:t>
            </w:r>
          </w:p>
        </w:tc>
      </w:tr>
      <w:tr>
        <w:trPr>
          <w:trHeight w:val="281" w:hRule="auto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巩固五十音图的内容，阅读补充短文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、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引导学生思考引导学生思考中国高铁发展的意义，和中国科学技术的发展。</w:t>
            </w:r>
          </w:p>
        </w:tc>
      </w:tr>
      <w:tr>
        <w:trPr>
          <w:trHeight w:val="404" w:hRule="auto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实验2：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18"/>
                <w:shd w:fill="auto" w:val="clear"/>
              </w:rPr>
              <w:t xml:space="preserve">春</w:t>
            </w:r>
            <w:r>
              <w:rPr>
                <w:rFonts w:ascii="MS Mincho" w:hAnsi="MS Mincho" w:cs="MS Mincho" w:eastAsia="MS Mincho"/>
                <w:color w:val="auto"/>
                <w:spacing w:val="0"/>
                <w:position w:val="0"/>
                <w:sz w:val="18"/>
                <w:shd w:fill="auto" w:val="clear"/>
              </w:rPr>
              <w:t xml:space="preserve">のバーゲン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复习巩固课文语法内容，阅读补充短文，引导学生思考经济活动中药诚实守信。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实验３：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病気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复习巩固课文语法内容，阅读补充短文，引导学生认识到面对疫情时我国的政治优势，制度优越。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实验４：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ご馳走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复习巩固课文语法内容，阅读补充短文，引导学生正确认识中国传统的待客之道，批判性思考某些请客铺张浪费的现象。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实验５：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地下鉄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に乗る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复习巩固课文语法内容，阅读补充短文，引导学生认识到交通工具变化所反映的经济发展和科技发展。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实验６：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誕生日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复习巩固课文语法内容，阅读补充短文，引导学生正确认识礼物的意义，理解中国传统赠礼习俗的文化内涵。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实验７：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と中国語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复习巩固课文语法内容，阅读补充短文，引导学生认识到对外汉语教学的意义，是实现中国文化走出去，提升国家软实力的重要举措之一。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实验８：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体験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を話す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引导学生认识中国传统养老文化，辩证思考日本的遗弃老人传说（《楢山节考》），结合自身思考养老问题的优化方法。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实验9：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読書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のレポート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引导学生结合自身外语专业的特点来思考阅读的意义，教育的意义，引导学生积极响应政府“倡导全民阅读。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实验10：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の授業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复习巩固课文语法内容，阅读补充短文，引导学生结合自身专业思考外语学习的目的和意义，认识到作为日语专业人才在中日文化交流中应承担的责任。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实验11：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敬語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引导学生认识敬语使用所折射出的日本纵向社会的人际关系，辩证思考中日社会文化的异同。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实验12：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日本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の先生を迎える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引导学生再认识尊敬师长的优良文化传统，思考如何建立良好的师生关系，批判性分析某些不尊师敬道的社会现象。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实验13：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東京見物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比较北京和东京的布局与发展－－引导学生认识到北京城市的快速发展和我国经济发展的成绩。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实验14：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工場現場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引导学生了解中国工业生产和高科技的发展，结合专业思考自身所应负担的责任。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实验15：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家庭訪問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1"/>
                <w:shd w:fill="auto" w:val="clear"/>
              </w:rPr>
              <w:t xml:space="preserve">复习巩固课文语法内容，阅读补充短文，引导学生再认识中国的生活礼仪，提升学生的文明礼貌礼仪知识等礼仪文化素养。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实验16：复习、考核</w:t>
            </w:r>
          </w:p>
        </w:tc>
      </w:tr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学生选择一个主题，提交大报告。</w:t>
            </w:r>
          </w:p>
        </w:tc>
      </w:tr>
    </w:tbl>
    <w:p>
      <w:pPr>
        <w:spacing w:before="163" w:after="163" w:line="4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（三）各实验项目对课程目标的支撑关系</w:t>
      </w:r>
    </w:p>
    <w:tbl>
      <w:tblPr/>
      <w:tblGrid>
        <w:gridCol w:w="3980"/>
        <w:gridCol w:w="957"/>
        <w:gridCol w:w="957"/>
        <w:gridCol w:w="957"/>
        <w:gridCol w:w="1215"/>
      </w:tblGrid>
      <w:tr>
        <w:trPr>
          <w:trHeight w:val="794" w:hRule="auto"/>
          <w:jc w:val="center"/>
        </w:trPr>
        <w:tc>
          <w:tcPr>
            <w:tcW w:w="3980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40"/>
              <w:ind w:right="0" w:left="0" w:firstLine="489"/>
              <w:jc w:val="righ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课程目标</w:t>
            </w:r>
          </w:p>
          <w:p>
            <w:pPr>
              <w:spacing w:before="0" w:after="0" w:line="240"/>
              <w:ind w:right="21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21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实验项目名称</w:t>
            </w:r>
          </w:p>
        </w:tc>
        <w:tc>
          <w:tcPr>
            <w:tcW w:w="957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957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957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21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一課　新学期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二課　春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のバーゲン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三課　病気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四課　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ご馳走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五課　地下鉄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に乗る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六課　誕生日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七課　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と中国語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八課　体験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を話す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九課　読書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のレポート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第十課　日本語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の授業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一課　敬語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二課　日本</w:t>
            </w:r>
            <w:r>
              <w:rPr>
                <w:rFonts w:ascii="MS Mincho" w:hAnsi="MS Mincho" w:cs="MS Mincho" w:eastAsia="MS Mincho"/>
                <w:color w:val="000000"/>
                <w:spacing w:val="0"/>
                <w:position w:val="0"/>
                <w:sz w:val="18"/>
                <w:shd w:fill="auto" w:val="clear"/>
              </w:rPr>
              <w:t xml:space="preserve">の先生を迎える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</w:t>
            </w: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18"/>
                <w:shd w:fill="auto" w:val="clear"/>
              </w:rPr>
              <w:t xml:space="preserve">三課　東京見物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第十四課　工場現場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8"/>
                <w:shd w:fill="auto" w:val="clear"/>
              </w:rPr>
              <w:t xml:space="preserve">第十五課　家庭訪問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</w:tr>
      <w:tr>
        <w:trPr>
          <w:trHeight w:val="283" w:hRule="auto"/>
          <w:jc w:val="center"/>
        </w:trPr>
        <w:tc>
          <w:tcPr>
            <w:tcW w:w="3980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auto" w:fill="auto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复习、考核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√</w:t>
            </w:r>
          </w:p>
        </w:tc>
        <w:tc>
          <w:tcPr>
            <w:tcW w:w="121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00FF00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四、课程思政教学设计</w:t>
      </w:r>
    </w:p>
    <w:tbl>
      <w:tblPr/>
      <w:tblGrid>
        <w:gridCol w:w="8276"/>
      </w:tblGrid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LO1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品德修养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②遵纪守法，增强法律意识，培养法律思维，自觉遵守法律法规、校纪校规。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SimSun" w:hAnsi="SimSun" w:cs="SimSun" w:eastAsia="SimSun"/>
                <w:color w:val="060607"/>
                <w:spacing w:val="4"/>
                <w:position w:val="0"/>
                <w:sz w:val="21"/>
                <w:shd w:fill="FFFFFF" w:val="clear"/>
              </w:rPr>
              <w:t xml:space="preserve">教师结合实际授课内容讲授法律知识，为学生打下坚实的理论基础。同时组织学生就法律案例进行讨论，提高学生的批判性思维和表达能力。通过情景模拟的教学方法，设置违反校规的情景，让学生讨论和解决，增强实践能力。</w:t>
            </w:r>
          </w:p>
        </w:tc>
      </w:tr>
    </w:tbl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五、课程考核</w:t>
      </w:r>
    </w:p>
    <w:tbl>
      <w:tblPr/>
      <w:tblGrid>
        <w:gridCol w:w="831"/>
        <w:gridCol w:w="704"/>
        <w:gridCol w:w="2322"/>
        <w:gridCol w:w="806"/>
        <w:gridCol w:w="851"/>
        <w:gridCol w:w="708"/>
        <w:gridCol w:w="709"/>
        <w:gridCol w:w="1276"/>
      </w:tblGrid>
      <w:tr>
        <w:trPr>
          <w:trHeight w:val="454" w:hRule="auto"/>
          <w:jc w:val="left"/>
        </w:trPr>
        <w:tc>
          <w:tcPr>
            <w:tcW w:w="831" w:type="dxa"/>
            <w:vMerge w:val="restart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总评构成</w:t>
            </w:r>
          </w:p>
        </w:tc>
        <w:tc>
          <w:tcPr>
            <w:tcW w:w="704" w:type="dxa"/>
            <w:vMerge w:val="restart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占比</w:t>
            </w:r>
          </w:p>
        </w:tc>
        <w:tc>
          <w:tcPr>
            <w:tcW w:w="2322" w:type="dxa"/>
            <w:vMerge w:val="restart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考核方式</w:t>
            </w:r>
          </w:p>
        </w:tc>
        <w:tc>
          <w:tcPr>
            <w:tcW w:w="3074" w:type="dxa"/>
            <w:gridSpan w:val="4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课程目标</w:t>
            </w:r>
          </w:p>
        </w:tc>
        <w:tc>
          <w:tcPr>
            <w:tcW w:w="1276" w:type="dxa"/>
            <w:vMerge w:val="restart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Hei" w:hAnsi="SimHei" w:cs="SimHei" w:eastAsia="SimHei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</w:t>
            </w:r>
          </w:p>
        </w:tc>
      </w:tr>
      <w:tr>
        <w:trPr>
          <w:trHeight w:val="454" w:hRule="auto"/>
          <w:jc w:val="left"/>
        </w:trPr>
        <w:tc>
          <w:tcPr>
            <w:tcW w:w="831" w:type="dxa"/>
            <w:vMerge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83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X1</w:t>
            </w:r>
          </w:p>
        </w:tc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15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课堂发表+作业+课堂表现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</w:t>
            </w:r>
          </w:p>
        </w:tc>
      </w:tr>
      <w:tr>
        <w:trPr>
          <w:trHeight w:val="454" w:hRule="auto"/>
          <w:jc w:val="left"/>
        </w:trPr>
        <w:tc>
          <w:tcPr>
            <w:tcW w:w="83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X2</w:t>
            </w:r>
          </w:p>
        </w:tc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课堂发表+作业+课堂表现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</w:t>
            </w:r>
          </w:p>
        </w:tc>
      </w:tr>
      <w:tr>
        <w:trPr>
          <w:trHeight w:val="454" w:hRule="auto"/>
          <w:jc w:val="left"/>
        </w:trPr>
        <w:tc>
          <w:tcPr>
            <w:tcW w:w="83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X3</w:t>
            </w:r>
          </w:p>
        </w:tc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15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  <w:t xml:space="preserve">课堂发表+作业+课堂表现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</w:t>
            </w:r>
          </w:p>
        </w:tc>
      </w:tr>
      <w:tr>
        <w:trPr>
          <w:trHeight w:val="454" w:hRule="auto"/>
          <w:jc w:val="left"/>
        </w:trPr>
        <w:tc>
          <w:tcPr>
            <w:tcW w:w="831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X4</w:t>
            </w:r>
          </w:p>
        </w:tc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60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期末报告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40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25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100</w:t>
            </w:r>
          </w:p>
        </w:tc>
      </w:tr>
    </w:tbl>
    <w:p>
      <w:pPr>
        <w:spacing w:before="326" w:after="0" w:line="360"/>
        <w:ind w:right="0" w:left="0" w:firstLine="0"/>
        <w:jc w:val="left"/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</w:pPr>
      <w:r>
        <w:rPr>
          <w:rFonts w:ascii="SimHei" w:hAnsi="SimHei" w:cs="SimHei" w:eastAsia="SimHei"/>
          <w:color w:val="auto"/>
          <w:spacing w:val="0"/>
          <w:position w:val="0"/>
          <w:sz w:val="28"/>
          <w:shd w:fill="auto" w:val="clear"/>
        </w:rPr>
        <w:t xml:space="preserve">六、其他需要说明的问题 </w:t>
      </w:r>
    </w:p>
    <w:tbl>
      <w:tblPr/>
      <w:tblGrid>
        <w:gridCol w:w="8276"/>
      </w:tblGrid>
      <w:tr>
        <w:trPr>
          <w:trHeight w:val="1" w:hRule="atLeast"/>
          <w:jc w:val="left"/>
        </w:trPr>
        <w:tc>
          <w:tcPr>
            <w:tcW w:w="8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imSun" w:hAnsi="SimSun" w:cs="SimSun" w:eastAsia="SimSu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326" w:after="163" w:line="440"/>
        <w:ind w:right="0" w:left="0" w:firstLine="0"/>
        <w:jc w:val="left"/>
        <w:rPr>
          <w:rFonts w:ascii="SimHei" w:hAnsi="SimHei" w:cs="SimHei" w:eastAsia="SimHe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